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580B7">
      <w:pPr>
        <w:rPr>
          <w:rFonts w:eastAsia="仿宋_GB2312"/>
          <w:color w:val="000000"/>
          <w:sz w:val="36"/>
          <w:szCs w:val="36"/>
        </w:rPr>
      </w:pPr>
    </w:p>
    <w:p w14:paraId="163BF742">
      <w:pPr>
        <w:rPr>
          <w:rFonts w:eastAsia="仿宋_GB2312"/>
          <w:color w:val="000000"/>
          <w:sz w:val="36"/>
          <w:szCs w:val="36"/>
        </w:rPr>
      </w:pPr>
    </w:p>
    <w:p w14:paraId="02BEB275">
      <w:pPr>
        <w:rPr>
          <w:rFonts w:eastAsia="仿宋_GB2312"/>
          <w:color w:val="000000"/>
          <w:sz w:val="36"/>
          <w:szCs w:val="36"/>
        </w:rPr>
      </w:pPr>
    </w:p>
    <w:p w14:paraId="2EB88623">
      <w:pPr>
        <w:rPr>
          <w:rFonts w:eastAsia="仿宋_GB2312"/>
          <w:color w:val="000000"/>
          <w:sz w:val="36"/>
          <w:szCs w:val="36"/>
        </w:rPr>
      </w:pPr>
    </w:p>
    <w:p w14:paraId="793070D6">
      <w:pPr>
        <w:rPr>
          <w:rFonts w:eastAsia="仿宋_GB2312"/>
          <w:color w:val="000000"/>
          <w:sz w:val="36"/>
          <w:szCs w:val="36"/>
        </w:rPr>
      </w:pPr>
    </w:p>
    <w:p w14:paraId="1D52D014">
      <w:pPr>
        <w:pStyle w:val="13"/>
        <w:rPr>
          <w:color w:val="000000"/>
        </w:rPr>
      </w:pPr>
    </w:p>
    <w:p w14:paraId="32E98D06">
      <w:pPr>
        <w:adjustRightInd w:val="0"/>
        <w:snapToGrid w:val="0"/>
        <w:jc w:val="center"/>
        <w:outlineLvl w:val="0"/>
        <w:rPr>
          <w:rFonts w:eastAsia="黑体"/>
          <w:bCs/>
          <w:color w:val="000000"/>
          <w:sz w:val="72"/>
          <w:szCs w:val="72"/>
        </w:rPr>
      </w:pPr>
      <w:r>
        <w:rPr>
          <w:rFonts w:eastAsia="黑体"/>
          <w:bCs/>
          <w:color w:val="000000"/>
          <w:sz w:val="72"/>
          <w:szCs w:val="72"/>
        </w:rPr>
        <w:t>建设项目环境影响报告表</w:t>
      </w:r>
    </w:p>
    <w:p w14:paraId="13538CA3">
      <w:pPr>
        <w:adjustRightInd w:val="0"/>
        <w:snapToGrid w:val="0"/>
        <w:spacing w:before="192" w:beforeLines="80"/>
        <w:jc w:val="center"/>
        <w:rPr>
          <w:rFonts w:eastAsia="楷体_GB2312"/>
          <w:bCs/>
          <w:color w:val="000000"/>
          <w:sz w:val="48"/>
          <w:szCs w:val="48"/>
        </w:rPr>
      </w:pPr>
      <w:r>
        <w:rPr>
          <w:rFonts w:eastAsia="楷体_GB2312"/>
          <w:bCs/>
          <w:color w:val="000000"/>
          <w:sz w:val="48"/>
          <w:szCs w:val="48"/>
        </w:rPr>
        <w:t>（污染影响类）</w:t>
      </w:r>
    </w:p>
    <w:p w14:paraId="1C16EEDB">
      <w:pPr>
        <w:ind w:firstLine="1040"/>
        <w:rPr>
          <w:rFonts w:eastAsia="仿宋"/>
          <w:color w:val="000000"/>
          <w:sz w:val="44"/>
          <w:szCs w:val="44"/>
        </w:rPr>
      </w:pPr>
    </w:p>
    <w:p w14:paraId="6B2C8C68">
      <w:pPr>
        <w:ind w:firstLine="1040"/>
        <w:rPr>
          <w:rFonts w:eastAsia="仿宋"/>
          <w:color w:val="000000"/>
          <w:sz w:val="44"/>
          <w:szCs w:val="44"/>
        </w:rPr>
      </w:pPr>
    </w:p>
    <w:p w14:paraId="35FA2867">
      <w:pPr>
        <w:ind w:firstLine="1040"/>
        <w:rPr>
          <w:rFonts w:eastAsia="仿宋"/>
          <w:color w:val="000000"/>
          <w:sz w:val="44"/>
          <w:szCs w:val="44"/>
        </w:rPr>
      </w:pPr>
    </w:p>
    <w:p w14:paraId="67183F89">
      <w:pPr>
        <w:ind w:firstLine="1040"/>
        <w:rPr>
          <w:rFonts w:eastAsia="仿宋"/>
          <w:color w:val="000000"/>
          <w:sz w:val="44"/>
          <w:szCs w:val="44"/>
        </w:rPr>
      </w:pPr>
    </w:p>
    <w:p w14:paraId="0658ADF3">
      <w:pPr>
        <w:ind w:firstLine="1040"/>
        <w:rPr>
          <w:rFonts w:hint="eastAsia" w:eastAsia="仿宋"/>
          <w:color w:val="000000"/>
          <w:sz w:val="44"/>
          <w:szCs w:val="44"/>
        </w:rPr>
      </w:pPr>
    </w:p>
    <w:p w14:paraId="28956978">
      <w:pPr>
        <w:ind w:firstLine="1040"/>
        <w:rPr>
          <w:rFonts w:eastAsia="仿宋"/>
          <w:color w:val="000000"/>
          <w:sz w:val="44"/>
          <w:szCs w:val="44"/>
        </w:rPr>
      </w:pPr>
    </w:p>
    <w:p w14:paraId="5893206E">
      <w:pPr>
        <w:adjustRightInd w:val="0"/>
        <w:snapToGrid w:val="0"/>
        <w:spacing w:line="480" w:lineRule="auto"/>
        <w:rPr>
          <w:rFonts w:hint="default" w:eastAsia="仿宋_GB2312"/>
          <w:color w:val="000000"/>
          <w:sz w:val="32"/>
          <w:szCs w:val="36"/>
          <w:u w:val="single"/>
          <w:lang w:val="en-US" w:eastAsia="zh-CN"/>
        </w:rPr>
      </w:pPr>
      <w:bookmarkStart w:id="0" w:name="_Hlk57884087"/>
      <w:r>
        <w:rPr>
          <w:rFonts w:eastAsia="仿宋_GB2312"/>
          <w:b/>
          <w:bCs/>
          <w:color w:val="000000"/>
          <w:sz w:val="32"/>
          <w:szCs w:val="36"/>
        </w:rPr>
        <w:t>项目名称：</w:t>
      </w:r>
      <w:r>
        <w:rPr>
          <w:rFonts w:hint="eastAsia" w:eastAsia="仿宋_GB2312"/>
          <w:color w:val="000000"/>
          <w:sz w:val="32"/>
          <w:szCs w:val="36"/>
          <w:u w:val="single"/>
          <w:lang w:val="en-US" w:eastAsia="zh-CN"/>
        </w:rPr>
        <w:t>内蒙古伊泰化工有限责任公司费托油水处理技改项目</w:t>
      </w:r>
    </w:p>
    <w:p w14:paraId="0273F8AC">
      <w:pPr>
        <w:adjustRightInd w:val="0"/>
        <w:snapToGrid w:val="0"/>
        <w:spacing w:line="480" w:lineRule="auto"/>
        <w:rPr>
          <w:rFonts w:hint="eastAsia" w:eastAsia="仿宋_GB2312"/>
          <w:color w:val="000000"/>
          <w:sz w:val="32"/>
          <w:szCs w:val="36"/>
          <w:u w:val="single"/>
          <w:lang w:eastAsia="zh-CN"/>
        </w:rPr>
      </w:pPr>
      <w:r>
        <w:rPr>
          <w:rFonts w:eastAsia="仿宋_GB2312"/>
          <w:b/>
          <w:bCs/>
          <w:color w:val="000000"/>
          <w:sz w:val="32"/>
          <w:szCs w:val="36"/>
        </w:rPr>
        <w:t>建设单位（盖章）：</w:t>
      </w:r>
      <w:r>
        <w:rPr>
          <w:rFonts w:hint="eastAsia" w:eastAsia="仿宋_GB2312"/>
          <w:color w:val="000000"/>
          <w:sz w:val="32"/>
          <w:szCs w:val="36"/>
          <w:u w:val="single"/>
        </w:rPr>
        <w:t>内蒙古伊泰化工有限责任公司</w:t>
      </w:r>
    </w:p>
    <w:p w14:paraId="03DA0A49">
      <w:pPr>
        <w:adjustRightInd w:val="0"/>
        <w:snapToGrid w:val="0"/>
        <w:spacing w:line="480" w:lineRule="auto"/>
        <w:rPr>
          <w:rFonts w:hint="eastAsia" w:eastAsia="仿宋_GB2312"/>
          <w:color w:val="000000"/>
          <w:sz w:val="32"/>
          <w:szCs w:val="36"/>
          <w:u w:val="single"/>
        </w:rPr>
      </w:pPr>
      <w:r>
        <w:rPr>
          <w:rFonts w:eastAsia="仿宋_GB2312"/>
          <w:b/>
          <w:bCs/>
          <w:color w:val="000000"/>
          <w:sz w:val="32"/>
          <w:szCs w:val="36"/>
        </w:rPr>
        <w:t>编制日期：</w:t>
      </w:r>
      <w:r>
        <w:rPr>
          <w:rFonts w:eastAsia="仿宋_GB2312"/>
          <w:color w:val="000000"/>
          <w:sz w:val="32"/>
          <w:szCs w:val="36"/>
          <w:u w:val="single"/>
        </w:rPr>
        <w:t>202</w:t>
      </w:r>
      <w:r>
        <w:rPr>
          <w:rFonts w:hint="eastAsia" w:eastAsia="仿宋_GB2312"/>
          <w:color w:val="000000"/>
          <w:sz w:val="32"/>
          <w:szCs w:val="36"/>
          <w:u w:val="single"/>
        </w:rPr>
        <w:t>5</w:t>
      </w:r>
      <w:r>
        <w:rPr>
          <w:rFonts w:eastAsia="仿宋_GB2312"/>
          <w:color w:val="000000"/>
          <w:sz w:val="32"/>
          <w:szCs w:val="36"/>
          <w:u w:val="single"/>
        </w:rPr>
        <w:t>年</w:t>
      </w:r>
      <w:r>
        <w:rPr>
          <w:rFonts w:hint="eastAsia" w:eastAsia="仿宋_GB2312"/>
          <w:color w:val="000000"/>
          <w:sz w:val="32"/>
          <w:szCs w:val="36"/>
          <w:u w:val="single"/>
          <w:lang w:val="en-US" w:eastAsia="zh-CN"/>
        </w:rPr>
        <w:t>12</w:t>
      </w:r>
      <w:r>
        <w:rPr>
          <w:rFonts w:eastAsia="仿宋_GB2312"/>
          <w:color w:val="000000"/>
          <w:sz w:val="32"/>
          <w:szCs w:val="36"/>
          <w:u w:val="single"/>
        </w:rPr>
        <w:t>月</w:t>
      </w:r>
    </w:p>
    <w:p w14:paraId="26620BCE">
      <w:pPr>
        <w:adjustRightInd w:val="0"/>
        <w:snapToGrid w:val="0"/>
        <w:spacing w:line="288" w:lineRule="auto"/>
        <w:ind w:firstLine="1040"/>
        <w:rPr>
          <w:rFonts w:eastAsia="仿宋_GB2312"/>
          <w:color w:val="000000"/>
          <w:sz w:val="36"/>
          <w:szCs w:val="36"/>
        </w:rPr>
      </w:pPr>
    </w:p>
    <w:bookmarkEnd w:id="0"/>
    <w:p w14:paraId="75661925">
      <w:pPr>
        <w:adjustRightInd w:val="0"/>
        <w:snapToGrid w:val="0"/>
        <w:spacing w:line="288" w:lineRule="auto"/>
        <w:jc w:val="center"/>
        <w:rPr>
          <w:rFonts w:eastAsia="楷体_GB2312"/>
          <w:color w:val="000000"/>
          <w:sz w:val="36"/>
          <w:szCs w:val="36"/>
        </w:rPr>
      </w:pPr>
      <w:r>
        <w:rPr>
          <w:rFonts w:eastAsia="楷体_GB2312"/>
          <w:color w:val="000000"/>
          <w:sz w:val="36"/>
          <w:szCs w:val="36"/>
        </w:rPr>
        <w:t>中华人民共和国生态环境部制</w:t>
      </w:r>
    </w:p>
    <w:p w14:paraId="4FE49BDA">
      <w:pPr>
        <w:adjustRightInd w:val="0"/>
        <w:snapToGrid w:val="0"/>
        <w:spacing w:line="288" w:lineRule="auto"/>
        <w:rPr>
          <w:rFonts w:eastAsia="仿宋_GB2312"/>
          <w:color w:val="000000"/>
          <w:sz w:val="36"/>
          <w:szCs w:val="36"/>
        </w:rPr>
        <w:sectPr>
          <w:headerReference r:id="rId3" w:type="default"/>
          <w:footerReference r:id="rId4" w:type="default"/>
          <w:footerReference r:id="rId5" w:type="even"/>
          <w:pgSz w:w="11906" w:h="16838"/>
          <w:pgMar w:top="1134" w:right="1531" w:bottom="1134"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62D1E6BA">
      <w:pPr>
        <w:pStyle w:val="37"/>
        <w:snapToGrid w:val="0"/>
        <w:spacing w:before="0" w:beforeAutospacing="0" w:after="0" w:afterAutospacing="0" w:line="288" w:lineRule="auto"/>
        <w:outlineLvl w:val="0"/>
        <w:rPr>
          <w:rFonts w:ascii="Times New Roman" w:hAnsi="Times New Roman"/>
          <w:b/>
          <w:snapToGrid w:val="0"/>
          <w:color w:val="000000"/>
          <w:sz w:val="32"/>
          <w:szCs w:val="32"/>
        </w:rPr>
      </w:pPr>
      <w:r>
        <w:rPr>
          <w:rFonts w:ascii="Times New Roman" w:hAnsi="Times New Roman"/>
          <w:b/>
          <w:snapToGrid w:val="0"/>
          <w:color w:val="000000"/>
          <w:sz w:val="32"/>
          <w:szCs w:val="32"/>
        </w:rPr>
        <w:t>一、建设项目基本情况</w:t>
      </w:r>
    </w:p>
    <w:tbl>
      <w:tblPr>
        <w:tblStyle w:val="41"/>
        <w:tblW w:w="935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816"/>
        <w:gridCol w:w="2423"/>
        <w:gridCol w:w="2333"/>
        <w:gridCol w:w="2784"/>
      </w:tblGrid>
      <w:tr w14:paraId="5314FD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34CA3EF5">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建设项目名称</w:t>
            </w:r>
          </w:p>
        </w:tc>
        <w:tc>
          <w:tcPr>
            <w:tcW w:w="7540" w:type="dxa"/>
            <w:gridSpan w:val="3"/>
            <w:noWrap w:val="0"/>
            <w:vAlign w:val="center"/>
          </w:tcPr>
          <w:p w14:paraId="07D3AF7C">
            <w:pPr>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内蒙古伊泰化工有限责任公司费托油水处理技改项目</w:t>
            </w:r>
          </w:p>
        </w:tc>
      </w:tr>
      <w:tr w14:paraId="64C856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5483D672">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项目代码</w:t>
            </w:r>
          </w:p>
        </w:tc>
        <w:tc>
          <w:tcPr>
            <w:tcW w:w="7540" w:type="dxa"/>
            <w:gridSpan w:val="3"/>
            <w:noWrap w:val="0"/>
            <w:vAlign w:val="center"/>
          </w:tcPr>
          <w:p w14:paraId="26996513">
            <w:pPr>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250</w:t>
            </w:r>
            <w:r>
              <w:rPr>
                <w:rFonts w:hint="eastAsia" w:ascii="Times New Roman" w:hAnsi="Times New Roman" w:eastAsia="宋体" w:cs="Times New Roman"/>
                <w:color w:val="000000"/>
                <w:sz w:val="24"/>
                <w:lang w:val="en-US" w:eastAsia="zh-CN"/>
              </w:rPr>
              <w:t>7</w:t>
            </w:r>
            <w:r>
              <w:rPr>
                <w:rFonts w:hint="eastAsia" w:ascii="Times New Roman" w:hAnsi="Times New Roman" w:eastAsia="宋体" w:cs="Times New Roman"/>
                <w:color w:val="000000"/>
                <w:sz w:val="24"/>
              </w:rPr>
              <w:t>-150625-07-02-</w:t>
            </w:r>
            <w:r>
              <w:rPr>
                <w:rFonts w:hint="eastAsia" w:cs="Times New Roman"/>
                <w:color w:val="000000"/>
                <w:sz w:val="24"/>
                <w:lang w:val="en-US" w:eastAsia="zh-CN"/>
              </w:rPr>
              <w:t>581957</w:t>
            </w:r>
          </w:p>
        </w:tc>
      </w:tr>
      <w:tr w14:paraId="114C3F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1165DE3C">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建设单位联系人</w:t>
            </w:r>
          </w:p>
        </w:tc>
        <w:tc>
          <w:tcPr>
            <w:tcW w:w="2423" w:type="dxa"/>
            <w:noWrap w:val="0"/>
            <w:vAlign w:val="center"/>
          </w:tcPr>
          <w:p w14:paraId="0DE5BBB5">
            <w:pPr>
              <w:adjustRightInd w:val="0"/>
              <w:snapToGrid w:val="0"/>
              <w:jc w:val="center"/>
              <w:rPr>
                <w:rFonts w:ascii="Times New Roman" w:hAnsi="Times New Roman" w:eastAsia="宋体" w:cs="Times New Roman"/>
                <w:color w:val="000000"/>
                <w:sz w:val="24"/>
              </w:rPr>
            </w:pPr>
            <w:r>
              <w:rPr>
                <w:rFonts w:hint="eastAsia" w:ascii="Times New Roman" w:hAnsi="Times New Roman" w:eastAsia="宋体" w:cs="Times New Roman"/>
                <w:sz w:val="24"/>
                <w:szCs w:val="21"/>
              </w:rPr>
              <w:t>王超</w:t>
            </w:r>
          </w:p>
        </w:tc>
        <w:tc>
          <w:tcPr>
            <w:tcW w:w="2333" w:type="dxa"/>
            <w:noWrap w:val="0"/>
            <w:vAlign w:val="center"/>
          </w:tcPr>
          <w:p w14:paraId="5493CEDD">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联系方式</w:t>
            </w:r>
          </w:p>
        </w:tc>
        <w:tc>
          <w:tcPr>
            <w:tcW w:w="2784" w:type="dxa"/>
            <w:noWrap w:val="0"/>
            <w:vAlign w:val="center"/>
          </w:tcPr>
          <w:p w14:paraId="767873B5">
            <w:pPr>
              <w:adjustRightInd w:val="0"/>
              <w:snapToGrid w:val="0"/>
              <w:jc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15149466912</w:t>
            </w:r>
          </w:p>
        </w:tc>
      </w:tr>
      <w:tr w14:paraId="1BB368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16" w:type="dxa"/>
            <w:noWrap w:val="0"/>
            <w:tcMar>
              <w:top w:w="16" w:type="dxa"/>
              <w:left w:w="16" w:type="dxa"/>
              <w:right w:w="16" w:type="dxa"/>
            </w:tcMar>
            <w:vAlign w:val="center"/>
          </w:tcPr>
          <w:p w14:paraId="5C70D90D">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建设地点</w:t>
            </w:r>
          </w:p>
        </w:tc>
        <w:tc>
          <w:tcPr>
            <w:tcW w:w="7540" w:type="dxa"/>
            <w:gridSpan w:val="3"/>
            <w:noWrap w:val="0"/>
            <w:vAlign w:val="center"/>
          </w:tcPr>
          <w:p w14:paraId="7EEF9509">
            <w:pPr>
              <w:adjustRightInd w:val="0"/>
              <w:snapToGrid w:val="0"/>
              <w:jc w:val="center"/>
              <w:rPr>
                <w:rFonts w:hint="eastAsia" w:ascii="Times New Roman" w:hAnsi="Times New Roman" w:eastAsia="宋体" w:cs="Times New Roman"/>
                <w:color w:val="000000"/>
                <w:sz w:val="24"/>
                <w:lang w:eastAsia="zh-CN"/>
              </w:rPr>
            </w:pPr>
            <w:r>
              <w:rPr>
                <w:rFonts w:hint="eastAsia" w:ascii="Times New Roman" w:hAnsi="Times New Roman" w:eastAsia="宋体" w:cs="Times New Roman"/>
                <w:bCs/>
                <w:color w:val="000000"/>
                <w:sz w:val="24"/>
              </w:rPr>
              <w:t>内蒙古</w:t>
            </w:r>
            <w:r>
              <w:rPr>
                <w:rFonts w:hint="eastAsia" w:ascii="Times New Roman" w:hAnsi="Times New Roman" w:eastAsia="宋体" w:cs="Times New Roman"/>
                <w:bCs/>
                <w:color w:val="000000"/>
                <w:sz w:val="24"/>
                <w:lang w:val="en-US" w:eastAsia="zh-CN"/>
              </w:rPr>
              <w:t>自治区</w:t>
            </w:r>
            <w:r>
              <w:rPr>
                <w:rFonts w:hint="eastAsia" w:ascii="Times New Roman" w:hAnsi="Times New Roman" w:eastAsia="宋体" w:cs="Times New Roman"/>
                <w:bCs/>
                <w:color w:val="000000"/>
                <w:sz w:val="24"/>
              </w:rPr>
              <w:t>鄂尔多斯市杭锦旗经济开发区独贵塔拉产业园</w:t>
            </w:r>
            <w:r>
              <w:rPr>
                <w:rFonts w:hint="eastAsia" w:cs="Times New Roman"/>
                <w:bCs/>
                <w:color w:val="000000"/>
                <w:sz w:val="24"/>
                <w:lang w:eastAsia="zh-CN"/>
              </w:rPr>
              <w:t>，</w:t>
            </w:r>
            <w:r>
              <w:rPr>
                <w:rFonts w:hint="eastAsia" w:ascii="Times New Roman" w:hAnsi="Times New Roman" w:eastAsia="宋体" w:cs="Times New Roman"/>
                <w:bCs/>
                <w:color w:val="000000"/>
                <w:sz w:val="24"/>
              </w:rPr>
              <w:t>内蒙古伊泰化工有限责任公司预留精细化学品加工装置区南侧</w:t>
            </w:r>
            <w:r>
              <w:rPr>
                <w:rFonts w:hint="eastAsia" w:cs="Times New Roman"/>
                <w:bCs/>
                <w:color w:val="000000"/>
                <w:sz w:val="24"/>
                <w:lang w:eastAsia="zh-CN"/>
              </w:rPr>
              <w:t>。</w:t>
            </w:r>
          </w:p>
        </w:tc>
      </w:tr>
      <w:tr w14:paraId="13FC21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13A914F6">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地理坐标</w:t>
            </w:r>
          </w:p>
        </w:tc>
        <w:tc>
          <w:tcPr>
            <w:tcW w:w="7540" w:type="dxa"/>
            <w:gridSpan w:val="3"/>
            <w:noWrap w:val="0"/>
            <w:vAlign w:val="center"/>
          </w:tcPr>
          <w:p w14:paraId="28D81EFB">
            <w:pPr>
              <w:jc w:val="center"/>
              <w:rPr>
                <w:rFonts w:ascii="Times New Roman" w:hAnsi="Times New Roman" w:eastAsia="宋体" w:cs="Times New Roman"/>
                <w:color w:val="000000"/>
                <w:sz w:val="24"/>
              </w:rPr>
            </w:pPr>
            <w:r>
              <w:rPr>
                <w:rFonts w:ascii="Times New Roman" w:hAnsi="Times New Roman" w:eastAsia="宋体" w:cs="Times New Roman"/>
                <w:color w:val="000000"/>
                <w:sz w:val="24"/>
                <w:highlight w:val="none"/>
              </w:rPr>
              <w:t>（E：</w:t>
            </w:r>
            <w:r>
              <w:rPr>
                <w:rFonts w:ascii="Times New Roman" w:hAnsi="Times New Roman" w:eastAsia="宋体" w:cs="Times New Roman"/>
                <w:color w:val="000000"/>
                <w:sz w:val="24"/>
                <w:highlight w:val="none"/>
                <w:u w:val="single"/>
              </w:rPr>
              <w:t>108</w:t>
            </w:r>
            <w:r>
              <w:rPr>
                <w:rFonts w:ascii="Times New Roman" w:hAnsi="Times New Roman" w:eastAsia="宋体" w:cs="Times New Roman"/>
                <w:color w:val="000000"/>
                <w:sz w:val="24"/>
                <w:highlight w:val="none"/>
              </w:rPr>
              <w:t>度</w:t>
            </w:r>
            <w:r>
              <w:rPr>
                <w:rFonts w:hint="eastAsia" w:ascii="Times New Roman" w:hAnsi="Times New Roman" w:eastAsia="宋体" w:cs="Times New Roman"/>
                <w:color w:val="000000"/>
                <w:sz w:val="24"/>
                <w:highlight w:val="none"/>
                <w:u w:val="single"/>
                <w:lang w:val="en-US" w:eastAsia="zh-CN"/>
              </w:rPr>
              <w:t>30</w:t>
            </w:r>
            <w:r>
              <w:rPr>
                <w:rFonts w:ascii="Times New Roman" w:hAnsi="Times New Roman" w:eastAsia="宋体" w:cs="Times New Roman"/>
                <w:color w:val="000000"/>
                <w:sz w:val="24"/>
                <w:highlight w:val="none"/>
              </w:rPr>
              <w:t>分</w:t>
            </w:r>
            <w:r>
              <w:rPr>
                <w:rFonts w:hint="eastAsia" w:ascii="Times New Roman" w:hAnsi="Times New Roman" w:eastAsia="宋体" w:cs="Times New Roman"/>
                <w:color w:val="000000"/>
                <w:sz w:val="24"/>
                <w:highlight w:val="none"/>
                <w:u w:val="single"/>
                <w:lang w:val="en-US" w:eastAsia="zh-CN"/>
              </w:rPr>
              <w:t>16.957</w:t>
            </w:r>
            <w:r>
              <w:rPr>
                <w:rFonts w:ascii="Times New Roman" w:hAnsi="Times New Roman" w:eastAsia="宋体" w:cs="Times New Roman"/>
                <w:color w:val="000000"/>
                <w:sz w:val="24"/>
                <w:highlight w:val="none"/>
              </w:rPr>
              <w:t>秒</w:t>
            </w:r>
            <w:r>
              <w:rPr>
                <w:rFonts w:hint="eastAsia" w:ascii="Times New Roman" w:hAnsi="Times New Roman" w:eastAsia="宋体" w:cs="Times New Roman"/>
                <w:color w:val="000000"/>
                <w:sz w:val="24"/>
                <w:highlight w:val="none"/>
              </w:rPr>
              <w:t>，</w:t>
            </w:r>
            <w:r>
              <w:rPr>
                <w:rFonts w:ascii="Times New Roman" w:hAnsi="Times New Roman" w:eastAsia="宋体" w:cs="Times New Roman"/>
                <w:color w:val="000000"/>
                <w:sz w:val="24"/>
                <w:highlight w:val="none"/>
              </w:rPr>
              <w:t>N：</w:t>
            </w:r>
            <w:r>
              <w:rPr>
                <w:rFonts w:ascii="Times New Roman" w:hAnsi="Times New Roman" w:eastAsia="宋体" w:cs="Times New Roman"/>
                <w:color w:val="000000"/>
                <w:sz w:val="24"/>
                <w:highlight w:val="none"/>
                <w:u w:val="single"/>
              </w:rPr>
              <w:t>40</w:t>
            </w:r>
            <w:r>
              <w:rPr>
                <w:rFonts w:ascii="Times New Roman" w:hAnsi="Times New Roman" w:eastAsia="宋体" w:cs="Times New Roman"/>
                <w:color w:val="000000"/>
                <w:sz w:val="24"/>
                <w:highlight w:val="none"/>
              </w:rPr>
              <w:t>度</w:t>
            </w:r>
            <w:r>
              <w:rPr>
                <w:rFonts w:ascii="Times New Roman" w:hAnsi="Times New Roman" w:eastAsia="宋体" w:cs="Times New Roman"/>
                <w:color w:val="000000"/>
                <w:sz w:val="24"/>
                <w:highlight w:val="none"/>
                <w:u w:val="single"/>
              </w:rPr>
              <w:t>1</w:t>
            </w:r>
            <w:r>
              <w:rPr>
                <w:rFonts w:ascii="Times New Roman" w:hAnsi="Times New Roman" w:eastAsia="宋体" w:cs="Times New Roman"/>
                <w:color w:val="000000"/>
                <w:sz w:val="24"/>
                <w:highlight w:val="none"/>
              </w:rPr>
              <w:t>分</w:t>
            </w:r>
            <w:r>
              <w:rPr>
                <w:rFonts w:hint="eastAsia" w:ascii="Times New Roman" w:hAnsi="Times New Roman" w:eastAsia="宋体" w:cs="Times New Roman"/>
                <w:color w:val="000000"/>
                <w:sz w:val="24"/>
                <w:highlight w:val="none"/>
                <w:u w:val="single"/>
                <w:lang w:val="en-US" w:eastAsia="zh-CN"/>
              </w:rPr>
              <w:t>55.737</w:t>
            </w:r>
            <w:r>
              <w:rPr>
                <w:rFonts w:ascii="Times New Roman" w:hAnsi="Times New Roman" w:eastAsia="宋体" w:cs="Times New Roman"/>
                <w:color w:val="000000"/>
                <w:sz w:val="24"/>
                <w:highlight w:val="none"/>
              </w:rPr>
              <w:t>秒）</w:t>
            </w:r>
          </w:p>
        </w:tc>
      </w:tr>
      <w:tr w14:paraId="12956CA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1" w:hRule="atLeast"/>
          <w:jc w:val="center"/>
        </w:trPr>
        <w:tc>
          <w:tcPr>
            <w:tcW w:w="1816" w:type="dxa"/>
            <w:noWrap w:val="0"/>
            <w:tcMar>
              <w:top w:w="16" w:type="dxa"/>
              <w:left w:w="16" w:type="dxa"/>
              <w:right w:w="16" w:type="dxa"/>
            </w:tcMar>
            <w:vAlign w:val="center"/>
          </w:tcPr>
          <w:p w14:paraId="60241C31">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国民经济</w:t>
            </w:r>
          </w:p>
          <w:p w14:paraId="0DE09583">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行业类别</w:t>
            </w:r>
          </w:p>
        </w:tc>
        <w:tc>
          <w:tcPr>
            <w:tcW w:w="2423" w:type="dxa"/>
            <w:noWrap w:val="0"/>
            <w:vAlign w:val="center"/>
          </w:tcPr>
          <w:p w14:paraId="7B17BFDB">
            <w:pPr>
              <w:adjustRightInd w:val="0"/>
              <w:snapToGrid w:val="0"/>
              <w:jc w:val="center"/>
              <w:rPr>
                <w:rFonts w:ascii="Times New Roman" w:hAnsi="Times New Roman" w:eastAsia="宋体" w:cs="Times New Roman"/>
                <w:bCs/>
                <w:color w:val="000000"/>
                <w:sz w:val="24"/>
              </w:rPr>
            </w:pPr>
            <w:r>
              <w:rPr>
                <w:rFonts w:hint="eastAsia" w:cs="Times New Roman"/>
                <w:bCs/>
                <w:color w:val="000000"/>
                <w:sz w:val="24"/>
                <w:lang w:val="en-US" w:eastAsia="zh-CN"/>
              </w:rPr>
              <w:t>C</w:t>
            </w:r>
            <w:r>
              <w:rPr>
                <w:rFonts w:ascii="Times New Roman" w:hAnsi="Times New Roman" w:eastAsia="宋体" w:cs="Times New Roman"/>
                <w:bCs/>
                <w:color w:val="000000"/>
                <w:sz w:val="24"/>
              </w:rPr>
              <w:t>2619其他基础化学原料制造</w:t>
            </w:r>
          </w:p>
        </w:tc>
        <w:tc>
          <w:tcPr>
            <w:tcW w:w="2333" w:type="dxa"/>
            <w:noWrap w:val="0"/>
            <w:vAlign w:val="center"/>
          </w:tcPr>
          <w:p w14:paraId="6C8E291E">
            <w:pPr>
              <w:adjustRightInd w:val="0"/>
              <w:snapToGrid w:val="0"/>
              <w:jc w:val="center"/>
              <w:rPr>
                <w:rFonts w:ascii="Times New Roman" w:hAnsi="Times New Roman" w:eastAsia="宋体" w:cs="Times New Roman"/>
                <w:b/>
                <w:color w:val="000000"/>
                <w:sz w:val="24"/>
              </w:rPr>
            </w:pPr>
            <w:bookmarkStart w:id="1" w:name="_Hlk49843745"/>
            <w:r>
              <w:rPr>
                <w:rFonts w:ascii="Times New Roman" w:hAnsi="Times New Roman" w:eastAsia="宋体" w:cs="Times New Roman"/>
                <w:b/>
                <w:color w:val="000000"/>
                <w:sz w:val="24"/>
              </w:rPr>
              <w:t>建设项目</w:t>
            </w:r>
          </w:p>
          <w:p w14:paraId="74003A78">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行业类别</w:t>
            </w:r>
            <w:bookmarkEnd w:id="1"/>
          </w:p>
        </w:tc>
        <w:tc>
          <w:tcPr>
            <w:tcW w:w="2784" w:type="dxa"/>
            <w:noWrap w:val="0"/>
            <w:vAlign w:val="center"/>
          </w:tcPr>
          <w:p w14:paraId="679D4448">
            <w:pPr>
              <w:adjustRightInd w:val="0"/>
              <w:snapToGrid w:val="0"/>
              <w:jc w:val="center"/>
              <w:rPr>
                <w:rFonts w:hint="eastAsia" w:ascii="Times New Roman" w:hAnsi="Times New Roman" w:eastAsia="宋体" w:cs="Times New Roman"/>
                <w:color w:val="000000"/>
                <w:sz w:val="24"/>
                <w:szCs w:val="21"/>
                <w:lang w:val="en-US" w:eastAsia="zh-CN"/>
              </w:rPr>
            </w:pPr>
            <w:r>
              <w:rPr>
                <w:rFonts w:ascii="Times New Roman" w:hAnsi="Times New Roman" w:eastAsia="宋体" w:cs="Times New Roman"/>
                <w:bCs/>
                <w:color w:val="000000"/>
                <w:sz w:val="24"/>
              </w:rPr>
              <w:t>二十三</w:t>
            </w:r>
            <w:r>
              <w:rPr>
                <w:rFonts w:hint="eastAsia" w:ascii="Times New Roman" w:hAnsi="Times New Roman" w:eastAsia="宋体" w:cs="Times New Roman"/>
                <w:bCs/>
                <w:color w:val="000000"/>
                <w:sz w:val="24"/>
                <w:lang w:eastAsia="zh-CN"/>
              </w:rPr>
              <w:t>、</w:t>
            </w:r>
            <w:r>
              <w:rPr>
                <w:rFonts w:ascii="Times New Roman" w:hAnsi="Times New Roman" w:eastAsia="宋体" w:cs="Times New Roman"/>
                <w:bCs/>
                <w:color w:val="000000"/>
                <w:sz w:val="24"/>
              </w:rPr>
              <w:t>化学原料和化学制品制造业26</w:t>
            </w:r>
            <w:r>
              <w:rPr>
                <w:rFonts w:hint="eastAsia" w:cs="Times New Roman"/>
                <w:bCs/>
                <w:color w:val="000000"/>
                <w:sz w:val="24"/>
                <w:lang w:eastAsia="zh-CN"/>
              </w:rPr>
              <w:t>，</w:t>
            </w:r>
            <w:r>
              <w:rPr>
                <w:rFonts w:ascii="Times New Roman" w:hAnsi="Times New Roman" w:eastAsia="宋体" w:cs="Times New Roman"/>
                <w:bCs/>
                <w:color w:val="000000"/>
                <w:sz w:val="24"/>
              </w:rPr>
              <w:t>44</w:t>
            </w:r>
            <w:r>
              <w:rPr>
                <w:rFonts w:hint="eastAsia" w:cs="Times New Roman"/>
                <w:bCs/>
                <w:color w:val="000000"/>
                <w:sz w:val="24"/>
                <w:lang w:val="en-US" w:eastAsia="zh-CN"/>
              </w:rPr>
              <w:t>.</w:t>
            </w:r>
            <w:r>
              <w:rPr>
                <w:rFonts w:ascii="Times New Roman" w:hAnsi="Times New Roman" w:eastAsia="宋体" w:cs="Times New Roman"/>
                <w:bCs/>
                <w:color w:val="000000"/>
                <w:sz w:val="24"/>
              </w:rPr>
              <w:t>专用化学产品制造——单纯物理分离、物理提纯、混合、分装的（不产生废水或挥发性有机物的除外）</w:t>
            </w:r>
            <w:r>
              <w:rPr>
                <w:rFonts w:hint="eastAsia" w:cs="Times New Roman"/>
                <w:bCs/>
                <w:color w:val="000000"/>
                <w:sz w:val="24"/>
                <w:lang w:eastAsia="zh-CN"/>
              </w:rPr>
              <w:t>。</w:t>
            </w:r>
          </w:p>
        </w:tc>
      </w:tr>
      <w:tr w14:paraId="424C8C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219" w:hRule="atLeast"/>
          <w:jc w:val="center"/>
        </w:trPr>
        <w:tc>
          <w:tcPr>
            <w:tcW w:w="1816" w:type="dxa"/>
            <w:noWrap w:val="0"/>
            <w:tcMar>
              <w:top w:w="16" w:type="dxa"/>
              <w:left w:w="16" w:type="dxa"/>
              <w:right w:w="16" w:type="dxa"/>
            </w:tcMar>
            <w:vAlign w:val="center"/>
          </w:tcPr>
          <w:p w14:paraId="241AD9B0">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建设性质</w:t>
            </w:r>
          </w:p>
        </w:tc>
        <w:tc>
          <w:tcPr>
            <w:tcW w:w="2423" w:type="dxa"/>
            <w:noWrap w:val="0"/>
            <w:vAlign w:val="center"/>
          </w:tcPr>
          <w:p w14:paraId="67665E26">
            <w:pPr>
              <w:jc w:val="left"/>
              <w:rPr>
                <w:rFonts w:ascii="Times New Roman" w:hAnsi="Times New Roman" w:eastAsia="宋体" w:cs="Times New Roman"/>
                <w:color w:val="000000"/>
                <w:sz w:val="24"/>
              </w:rPr>
            </w:pPr>
            <w:r>
              <w:rPr>
                <w:rFonts w:ascii="Times New Roman" w:hAnsi="Times New Roman" w:eastAsia="宋体" w:cs="Times New Roman"/>
                <w:color w:val="000000"/>
                <w:sz w:val="24"/>
              </w:rPr>
              <w:t>□新建（迁建）</w:t>
            </w:r>
          </w:p>
          <w:p w14:paraId="2BB50BF2">
            <w:pPr>
              <w:jc w:val="left"/>
              <w:rPr>
                <w:rFonts w:ascii="Times New Roman" w:hAnsi="Times New Roman" w:eastAsia="宋体" w:cs="Times New Roman"/>
                <w:color w:val="000000"/>
                <w:sz w:val="24"/>
              </w:rPr>
            </w:pPr>
            <w:r>
              <w:rPr>
                <w:rFonts w:ascii="Times New Roman" w:hAnsi="Times New Roman" w:eastAsia="宋体" w:cs="Times New Roman"/>
                <w:color w:val="000000"/>
                <w:sz w:val="24"/>
              </w:rPr>
              <w:t>□改建</w:t>
            </w:r>
          </w:p>
          <w:p w14:paraId="6CE53643">
            <w:pPr>
              <w:jc w:val="left"/>
              <w:rPr>
                <w:rFonts w:ascii="Times New Roman" w:hAnsi="Times New Roman" w:eastAsia="宋体" w:cs="Times New Roman"/>
                <w:color w:val="000000"/>
                <w:sz w:val="24"/>
              </w:rPr>
            </w:pPr>
            <w:r>
              <w:rPr>
                <w:rFonts w:ascii="Times New Roman" w:hAnsi="Times New Roman" w:eastAsia="宋体" w:cs="Times New Roman"/>
                <w:color w:val="000000"/>
                <w:sz w:val="24"/>
              </w:rPr>
              <w:t>□扩建</w:t>
            </w:r>
          </w:p>
          <w:p w14:paraId="3B80125B">
            <w:pPr>
              <w:jc w:val="left"/>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w:t>
            </w:r>
            <w:r>
              <w:rPr>
                <w:rFonts w:ascii="Times New Roman" w:hAnsi="Times New Roman" w:eastAsia="宋体" w:cs="Times New Roman"/>
                <w:color w:val="000000"/>
                <w:sz w:val="24"/>
              </w:rPr>
              <w:t>技术改造</w:t>
            </w:r>
          </w:p>
        </w:tc>
        <w:tc>
          <w:tcPr>
            <w:tcW w:w="2333" w:type="dxa"/>
            <w:noWrap w:val="0"/>
            <w:vAlign w:val="center"/>
          </w:tcPr>
          <w:p w14:paraId="337D9ACC">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建设项目</w:t>
            </w:r>
          </w:p>
          <w:p w14:paraId="4DFEE6C4">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申报情形</w:t>
            </w:r>
          </w:p>
        </w:tc>
        <w:tc>
          <w:tcPr>
            <w:tcW w:w="2784" w:type="dxa"/>
            <w:noWrap w:val="0"/>
            <w:vAlign w:val="center"/>
          </w:tcPr>
          <w:p w14:paraId="065591C8">
            <w:pPr>
              <w:jc w:val="left"/>
              <w:rPr>
                <w:rFonts w:hint="eastAsia" w:ascii="Times New Roman" w:hAnsi="Times New Roman" w:eastAsia="宋体" w:cs="Times New Roman"/>
                <w:color w:val="000000"/>
                <w:sz w:val="24"/>
              </w:rPr>
            </w:pP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首次申报项目</w:t>
            </w:r>
          </w:p>
          <w:p w14:paraId="7C38947B">
            <w:pPr>
              <w:jc w:val="left"/>
              <w:rPr>
                <w:rFonts w:ascii="Times New Roman" w:hAnsi="Times New Roman" w:eastAsia="宋体" w:cs="Times New Roman"/>
                <w:color w:val="000000"/>
                <w:sz w:val="24"/>
              </w:rPr>
            </w:pPr>
            <w:r>
              <w:rPr>
                <w:rFonts w:ascii="Times New Roman" w:hAnsi="Times New Roman" w:eastAsia="宋体" w:cs="Times New Roman"/>
                <w:color w:val="000000"/>
                <w:sz w:val="24"/>
              </w:rPr>
              <w:t>□不予批准后再次申报项目</w:t>
            </w:r>
          </w:p>
          <w:p w14:paraId="7C39836A">
            <w:pPr>
              <w:jc w:val="left"/>
              <w:rPr>
                <w:rFonts w:hint="eastAsia" w:ascii="Times New Roman" w:hAnsi="Times New Roman" w:eastAsia="宋体" w:cs="Times New Roman"/>
                <w:color w:val="000000"/>
                <w:sz w:val="24"/>
              </w:rPr>
            </w:pPr>
            <w:r>
              <w:rPr>
                <w:rFonts w:ascii="Times New Roman" w:hAnsi="Times New Roman" w:eastAsia="宋体" w:cs="Times New Roman"/>
                <w:color w:val="000000"/>
                <w:sz w:val="24"/>
              </w:rPr>
              <w:t>□超五年重新审核项目</w:t>
            </w:r>
          </w:p>
          <w:p w14:paraId="6B026C35">
            <w:pPr>
              <w:jc w:val="left"/>
              <w:rPr>
                <w:rFonts w:ascii="Times New Roman" w:hAnsi="Times New Roman" w:eastAsia="宋体" w:cs="Times New Roman"/>
                <w:color w:val="000000"/>
                <w:sz w:val="24"/>
              </w:rPr>
            </w:pPr>
            <w:r>
              <w:rPr>
                <w:rFonts w:ascii="Times New Roman" w:hAnsi="Times New Roman" w:eastAsia="宋体" w:cs="Times New Roman"/>
                <w:color w:val="000000"/>
                <w:sz w:val="24"/>
              </w:rPr>
              <w:t>□重大变动重新报批项目</w:t>
            </w:r>
          </w:p>
        </w:tc>
      </w:tr>
      <w:tr w14:paraId="712017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1" w:hRule="atLeast"/>
          <w:jc w:val="center"/>
        </w:trPr>
        <w:tc>
          <w:tcPr>
            <w:tcW w:w="1816" w:type="dxa"/>
            <w:noWrap w:val="0"/>
            <w:tcMar>
              <w:top w:w="16" w:type="dxa"/>
              <w:left w:w="16" w:type="dxa"/>
              <w:right w:w="16" w:type="dxa"/>
            </w:tcMar>
            <w:vAlign w:val="center"/>
          </w:tcPr>
          <w:p w14:paraId="4CA10C88">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项目审批</w:t>
            </w:r>
            <w:r>
              <w:rPr>
                <w:rFonts w:hint="eastAsia" w:ascii="Times New Roman" w:hAnsi="Times New Roman" w:eastAsia="宋体" w:cs="Times New Roman"/>
                <w:b/>
                <w:color w:val="000000"/>
                <w:sz w:val="24"/>
              </w:rPr>
              <w:t>（</w:t>
            </w:r>
            <w:r>
              <w:rPr>
                <w:rFonts w:ascii="Times New Roman" w:hAnsi="Times New Roman" w:eastAsia="宋体" w:cs="Times New Roman"/>
                <w:b/>
                <w:color w:val="000000"/>
                <w:sz w:val="24"/>
              </w:rPr>
              <w:t>核准/备案</w:t>
            </w:r>
            <w:r>
              <w:rPr>
                <w:rFonts w:hint="eastAsia" w:ascii="Times New Roman" w:hAnsi="Times New Roman" w:eastAsia="宋体" w:cs="Times New Roman"/>
                <w:b/>
                <w:color w:val="000000"/>
                <w:sz w:val="24"/>
              </w:rPr>
              <w:t>）</w:t>
            </w:r>
            <w:r>
              <w:rPr>
                <w:rFonts w:ascii="Times New Roman" w:hAnsi="Times New Roman" w:eastAsia="宋体" w:cs="Times New Roman"/>
                <w:b/>
                <w:color w:val="000000"/>
                <w:sz w:val="24"/>
              </w:rPr>
              <w:t>部门（选填）</w:t>
            </w:r>
          </w:p>
        </w:tc>
        <w:tc>
          <w:tcPr>
            <w:tcW w:w="2423" w:type="dxa"/>
            <w:noWrap w:val="0"/>
            <w:vAlign w:val="center"/>
          </w:tcPr>
          <w:p w14:paraId="7D89C8A6">
            <w:pPr>
              <w:adjustRightInd w:val="0"/>
              <w:snapToGrid w:val="0"/>
              <w:jc w:val="center"/>
              <w:rPr>
                <w:rFonts w:ascii="Times New Roman" w:hAnsi="Times New Roman" w:eastAsia="宋体" w:cs="Times New Roman"/>
                <w:color w:val="000000"/>
                <w:sz w:val="24"/>
              </w:rPr>
            </w:pPr>
            <w:r>
              <w:rPr>
                <w:rFonts w:hint="eastAsia" w:ascii="Times New Roman" w:hAnsi="Times New Roman" w:eastAsia="宋体" w:cs="Times New Roman"/>
                <w:color w:val="000000"/>
                <w:sz w:val="24"/>
              </w:rPr>
              <w:t>杭锦旗工信和科技局</w:t>
            </w:r>
          </w:p>
        </w:tc>
        <w:tc>
          <w:tcPr>
            <w:tcW w:w="2333" w:type="dxa"/>
            <w:noWrap w:val="0"/>
            <w:vAlign w:val="center"/>
          </w:tcPr>
          <w:p w14:paraId="101268C2">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项目审批</w:t>
            </w:r>
            <w:r>
              <w:rPr>
                <w:rFonts w:hint="eastAsia" w:ascii="Times New Roman" w:hAnsi="Times New Roman" w:eastAsia="宋体" w:cs="Times New Roman"/>
                <w:b/>
                <w:color w:val="000000"/>
                <w:sz w:val="24"/>
              </w:rPr>
              <w:t>（</w:t>
            </w:r>
            <w:r>
              <w:rPr>
                <w:rFonts w:ascii="Times New Roman" w:hAnsi="Times New Roman" w:eastAsia="宋体" w:cs="Times New Roman"/>
                <w:b/>
                <w:color w:val="000000"/>
                <w:sz w:val="24"/>
              </w:rPr>
              <w:t>核准/</w:t>
            </w:r>
          </w:p>
          <w:p w14:paraId="418AEBA2">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备案</w:t>
            </w:r>
            <w:r>
              <w:rPr>
                <w:rFonts w:hint="eastAsia" w:ascii="Times New Roman" w:hAnsi="Times New Roman" w:eastAsia="宋体" w:cs="Times New Roman"/>
                <w:b/>
                <w:color w:val="000000"/>
                <w:sz w:val="24"/>
              </w:rPr>
              <w:t>）</w:t>
            </w:r>
            <w:r>
              <w:rPr>
                <w:rFonts w:ascii="Times New Roman" w:hAnsi="Times New Roman" w:eastAsia="宋体" w:cs="Times New Roman"/>
                <w:b/>
                <w:color w:val="000000"/>
                <w:sz w:val="24"/>
              </w:rPr>
              <w:t>文号（选填）</w:t>
            </w:r>
          </w:p>
        </w:tc>
        <w:tc>
          <w:tcPr>
            <w:tcW w:w="2784" w:type="dxa"/>
            <w:noWrap w:val="0"/>
            <w:vAlign w:val="center"/>
          </w:tcPr>
          <w:p w14:paraId="4B610979">
            <w:pPr>
              <w:adjustRightInd w:val="0"/>
              <w:snapToGrid w:val="0"/>
              <w:jc w:val="center"/>
              <w:rPr>
                <w:rFonts w:hint="eastAsia" w:ascii="Times New Roman" w:hAnsi="Times New Roman" w:eastAsia="宋体" w:cs="Times New Roman"/>
                <w:color w:val="000000"/>
                <w:sz w:val="24"/>
                <w:lang w:eastAsia="zh-CN"/>
              </w:rPr>
            </w:pPr>
            <w:r>
              <w:rPr>
                <w:rFonts w:hint="eastAsia" w:cs="Times New Roman"/>
                <w:sz w:val="24"/>
                <w:lang w:val="en-US" w:eastAsia="zh-CN"/>
              </w:rPr>
              <w:t>/</w:t>
            </w:r>
          </w:p>
        </w:tc>
      </w:tr>
      <w:tr w14:paraId="26C9DE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1454CA19">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总投资（万元）</w:t>
            </w:r>
          </w:p>
        </w:tc>
        <w:tc>
          <w:tcPr>
            <w:tcW w:w="2423" w:type="dxa"/>
            <w:noWrap w:val="0"/>
            <w:vAlign w:val="center"/>
          </w:tcPr>
          <w:p w14:paraId="26A57AFA">
            <w:pPr>
              <w:adjustRightInd w:val="0"/>
              <w:snapToGrid w:val="0"/>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2493.73</w:t>
            </w:r>
          </w:p>
        </w:tc>
        <w:tc>
          <w:tcPr>
            <w:tcW w:w="2333" w:type="dxa"/>
            <w:noWrap w:val="0"/>
            <w:tcMar>
              <w:top w:w="16" w:type="dxa"/>
              <w:left w:w="16" w:type="dxa"/>
              <w:right w:w="16" w:type="dxa"/>
            </w:tcMar>
            <w:vAlign w:val="center"/>
          </w:tcPr>
          <w:p w14:paraId="5E4AF815">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环保投资（万元）</w:t>
            </w:r>
          </w:p>
        </w:tc>
        <w:tc>
          <w:tcPr>
            <w:tcW w:w="2784" w:type="dxa"/>
            <w:noWrap w:val="0"/>
            <w:vAlign w:val="center"/>
          </w:tcPr>
          <w:p w14:paraId="3FCB446E">
            <w:pPr>
              <w:adjustRightInd w:val="0"/>
              <w:snapToGrid w:val="0"/>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11.5</w:t>
            </w:r>
          </w:p>
        </w:tc>
      </w:tr>
      <w:tr w14:paraId="4B82D2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1B77FCAA">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环保投资占比（%）</w:t>
            </w:r>
          </w:p>
        </w:tc>
        <w:tc>
          <w:tcPr>
            <w:tcW w:w="2423" w:type="dxa"/>
            <w:noWrap w:val="0"/>
            <w:vAlign w:val="center"/>
          </w:tcPr>
          <w:p w14:paraId="0AF3B087">
            <w:pPr>
              <w:adjustRightInd w:val="0"/>
              <w:snapToGrid w:val="0"/>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0.46</w:t>
            </w:r>
          </w:p>
        </w:tc>
        <w:tc>
          <w:tcPr>
            <w:tcW w:w="2333" w:type="dxa"/>
            <w:noWrap w:val="0"/>
            <w:tcMar>
              <w:top w:w="16" w:type="dxa"/>
              <w:left w:w="16" w:type="dxa"/>
              <w:right w:w="16" w:type="dxa"/>
            </w:tcMar>
            <w:vAlign w:val="center"/>
          </w:tcPr>
          <w:p w14:paraId="7A5B648A">
            <w:pPr>
              <w:adjustRightInd w:val="0"/>
              <w:snapToGrid w:val="0"/>
              <w:jc w:val="center"/>
              <w:rPr>
                <w:rFonts w:hint="eastAsia" w:ascii="Times New Roman" w:hAnsi="Times New Roman" w:eastAsia="宋体" w:cs="Times New Roman"/>
                <w:b/>
                <w:color w:val="000000"/>
                <w:sz w:val="24"/>
                <w:lang w:eastAsia="zh-CN"/>
              </w:rPr>
            </w:pPr>
            <w:r>
              <w:rPr>
                <w:rFonts w:ascii="Times New Roman" w:hAnsi="Times New Roman" w:eastAsia="宋体" w:cs="Times New Roman"/>
                <w:b/>
                <w:color w:val="000000"/>
                <w:sz w:val="24"/>
              </w:rPr>
              <w:t>施工工期</w:t>
            </w:r>
            <w:r>
              <w:rPr>
                <w:rFonts w:hint="eastAsia" w:ascii="Times New Roman" w:hAnsi="Times New Roman" w:eastAsia="宋体" w:cs="Times New Roman"/>
                <w:b/>
                <w:color w:val="000000"/>
                <w:sz w:val="24"/>
                <w:lang w:eastAsia="zh-CN"/>
              </w:rPr>
              <w:t>（</w:t>
            </w:r>
            <w:r>
              <w:rPr>
                <w:rFonts w:hint="eastAsia" w:ascii="Times New Roman" w:hAnsi="Times New Roman" w:eastAsia="宋体" w:cs="Times New Roman"/>
                <w:b/>
                <w:color w:val="000000"/>
                <w:sz w:val="24"/>
                <w:lang w:val="en-US" w:eastAsia="zh-CN"/>
              </w:rPr>
              <w:t>月</w:t>
            </w:r>
            <w:r>
              <w:rPr>
                <w:rFonts w:hint="eastAsia" w:ascii="Times New Roman" w:hAnsi="Times New Roman" w:eastAsia="宋体" w:cs="Times New Roman"/>
                <w:b/>
                <w:color w:val="000000"/>
                <w:sz w:val="24"/>
                <w:lang w:eastAsia="zh-CN"/>
              </w:rPr>
              <w:t>）</w:t>
            </w:r>
          </w:p>
        </w:tc>
        <w:tc>
          <w:tcPr>
            <w:tcW w:w="2784" w:type="dxa"/>
            <w:noWrap w:val="0"/>
            <w:vAlign w:val="center"/>
          </w:tcPr>
          <w:p w14:paraId="3EA2A277">
            <w:pPr>
              <w:adjustRightInd w:val="0"/>
              <w:snapToGrid w:val="0"/>
              <w:jc w:val="center"/>
              <w:rPr>
                <w:rFonts w:hint="default"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6</w:t>
            </w:r>
          </w:p>
        </w:tc>
      </w:tr>
      <w:tr w14:paraId="081ACA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1816" w:type="dxa"/>
            <w:noWrap w:val="0"/>
            <w:tcMar>
              <w:top w:w="16" w:type="dxa"/>
              <w:left w:w="16" w:type="dxa"/>
              <w:right w:w="16" w:type="dxa"/>
            </w:tcMar>
            <w:vAlign w:val="center"/>
          </w:tcPr>
          <w:p w14:paraId="7B9F41AA">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是否开工建设</w:t>
            </w:r>
          </w:p>
        </w:tc>
        <w:tc>
          <w:tcPr>
            <w:tcW w:w="2423" w:type="dxa"/>
            <w:noWrap w:val="0"/>
            <w:vAlign w:val="center"/>
          </w:tcPr>
          <w:p w14:paraId="64B21B8F">
            <w:pPr>
              <w:adjustRightInd w:val="0"/>
              <w:snapToGrid w:val="0"/>
              <w:rPr>
                <w:rFonts w:ascii="Times New Roman" w:hAnsi="Times New Roman" w:eastAsia="宋体" w:cs="Times New Roman"/>
                <w:color w:val="000000"/>
                <w:sz w:val="24"/>
              </w:rPr>
            </w:pP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否</w:t>
            </w:r>
          </w:p>
          <w:p w14:paraId="525D71FC">
            <w:pPr>
              <w:adjustRightInd w:val="0"/>
              <w:snapToGrid w:val="0"/>
              <w:rPr>
                <w:rFonts w:hint="eastAsia" w:ascii="Times New Roman" w:hAnsi="Times New Roman" w:eastAsia="宋体" w:cs="Times New Roman"/>
                <w:color w:val="000000"/>
                <w:sz w:val="24"/>
              </w:rPr>
            </w:pPr>
            <w:r>
              <w:rPr>
                <w:rFonts w:ascii="Times New Roman" w:hAnsi="Times New Roman" w:eastAsia="宋体" w:cs="Times New Roman"/>
                <w:color w:val="000000"/>
                <w:sz w:val="24"/>
              </w:rPr>
              <w:t>□是：</w:t>
            </w:r>
          </w:p>
        </w:tc>
        <w:tc>
          <w:tcPr>
            <w:tcW w:w="2333" w:type="dxa"/>
            <w:noWrap w:val="0"/>
            <w:tcMar>
              <w:top w:w="16" w:type="dxa"/>
              <w:left w:w="16" w:type="dxa"/>
              <w:right w:w="16" w:type="dxa"/>
            </w:tcMar>
            <w:vAlign w:val="center"/>
          </w:tcPr>
          <w:p w14:paraId="655E0ECA">
            <w:pPr>
              <w:adjustRightInd w:val="0"/>
              <w:snapToGrid w:val="0"/>
              <w:jc w:val="center"/>
              <w:rPr>
                <w:rFonts w:ascii="Times New Roman" w:hAnsi="Times New Roman" w:eastAsia="宋体" w:cs="Times New Roman"/>
                <w:b/>
                <w:color w:val="000000"/>
                <w:spacing w:val="-6"/>
                <w:sz w:val="24"/>
              </w:rPr>
            </w:pPr>
            <w:r>
              <w:rPr>
                <w:rFonts w:ascii="Times New Roman" w:hAnsi="Times New Roman" w:eastAsia="宋体" w:cs="Times New Roman"/>
                <w:b/>
                <w:color w:val="000000"/>
                <w:spacing w:val="-6"/>
                <w:sz w:val="24"/>
              </w:rPr>
              <w:t>用地面积（m</w:t>
            </w:r>
            <w:r>
              <w:rPr>
                <w:rFonts w:ascii="Times New Roman" w:hAnsi="Times New Roman" w:eastAsia="宋体" w:cs="Times New Roman"/>
                <w:b/>
                <w:color w:val="000000"/>
                <w:spacing w:val="-6"/>
                <w:sz w:val="24"/>
                <w:vertAlign w:val="superscript"/>
              </w:rPr>
              <w:t>2</w:t>
            </w:r>
            <w:r>
              <w:rPr>
                <w:rFonts w:ascii="Times New Roman" w:hAnsi="Times New Roman" w:eastAsia="宋体" w:cs="Times New Roman"/>
                <w:b/>
                <w:color w:val="000000"/>
                <w:spacing w:val="-6"/>
                <w:sz w:val="24"/>
              </w:rPr>
              <w:t>）</w:t>
            </w:r>
          </w:p>
        </w:tc>
        <w:tc>
          <w:tcPr>
            <w:tcW w:w="2784" w:type="dxa"/>
            <w:noWrap w:val="0"/>
            <w:vAlign w:val="center"/>
          </w:tcPr>
          <w:p w14:paraId="2A540B60">
            <w:pPr>
              <w:adjustRightInd w:val="0"/>
              <w:snapToGrid w:val="0"/>
              <w:jc w:val="center"/>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lang w:val="en-US" w:eastAsia="zh-CN"/>
              </w:rPr>
              <w:t>/</w:t>
            </w:r>
          </w:p>
        </w:tc>
      </w:tr>
      <w:tr w14:paraId="6AC735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7" w:hRule="atLeast"/>
          <w:jc w:val="center"/>
        </w:trPr>
        <w:tc>
          <w:tcPr>
            <w:tcW w:w="1816" w:type="dxa"/>
            <w:noWrap w:val="0"/>
            <w:vAlign w:val="center"/>
          </w:tcPr>
          <w:p w14:paraId="77F2D14B">
            <w:pPr>
              <w:autoSpaceDE w:val="0"/>
              <w:autoSpaceDN w:val="0"/>
              <w:adjustRightInd w:val="0"/>
              <w:snapToGrid w:val="0"/>
              <w:jc w:val="center"/>
              <w:rPr>
                <w:rFonts w:ascii="Times New Roman" w:hAnsi="Times New Roman" w:eastAsia="宋体" w:cs="Times New Roman"/>
                <w:b/>
                <w:color w:val="000000"/>
                <w:kern w:val="0"/>
                <w:sz w:val="24"/>
              </w:rPr>
            </w:pPr>
            <w:r>
              <w:rPr>
                <w:rFonts w:ascii="Times New Roman" w:hAnsi="Times New Roman" w:eastAsia="宋体" w:cs="Times New Roman"/>
                <w:b/>
                <w:color w:val="000000"/>
                <w:kern w:val="0"/>
                <w:sz w:val="24"/>
              </w:rPr>
              <w:t>专项评价设置情况</w:t>
            </w:r>
          </w:p>
        </w:tc>
        <w:tc>
          <w:tcPr>
            <w:tcW w:w="7540" w:type="dxa"/>
            <w:gridSpan w:val="3"/>
            <w:noWrap w:val="0"/>
            <w:vAlign w:val="center"/>
          </w:tcPr>
          <w:tbl>
            <w:tblPr>
              <w:tblStyle w:val="41"/>
              <w:tblW w:w="4999"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60"/>
              <w:gridCol w:w="3776"/>
              <w:gridCol w:w="1629"/>
              <w:gridCol w:w="958"/>
            </w:tblGrid>
            <w:tr w14:paraId="23B0D0D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5" w:type="pct"/>
                  <w:tcBorders>
                    <w:left w:val="single" w:color="auto" w:sz="0" w:space="0"/>
                  </w:tcBorders>
                  <w:noWrap w:val="0"/>
                  <w:vAlign w:val="center"/>
                </w:tcPr>
                <w:p w14:paraId="288EBCB8">
                  <w:pPr>
                    <w:autoSpaceDE w:val="0"/>
                    <w:autoSpaceDN w:val="0"/>
                    <w:adjustRightInd w:val="0"/>
                    <w:snapToGrid w:val="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专项评价的类别</w:t>
                  </w:r>
                </w:p>
              </w:tc>
              <w:tc>
                <w:tcPr>
                  <w:tcW w:w="2577" w:type="pct"/>
                  <w:noWrap w:val="0"/>
                  <w:vAlign w:val="center"/>
                </w:tcPr>
                <w:p w14:paraId="556F87B6">
                  <w:pPr>
                    <w:autoSpaceDE w:val="0"/>
                    <w:autoSpaceDN w:val="0"/>
                    <w:adjustRightInd w:val="0"/>
                    <w:snapToGrid w:val="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设置原则</w:t>
                  </w:r>
                </w:p>
              </w:tc>
              <w:tc>
                <w:tcPr>
                  <w:tcW w:w="1112" w:type="pct"/>
                  <w:noWrap w:val="0"/>
                  <w:vAlign w:val="center"/>
                </w:tcPr>
                <w:p w14:paraId="7607BB51">
                  <w:pPr>
                    <w:autoSpaceDE w:val="0"/>
                    <w:autoSpaceDN w:val="0"/>
                    <w:adjustRightInd w:val="0"/>
                    <w:snapToGrid w:val="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本项目情况</w:t>
                  </w:r>
                </w:p>
              </w:tc>
              <w:tc>
                <w:tcPr>
                  <w:tcW w:w="654" w:type="pct"/>
                  <w:tcBorders>
                    <w:right w:val="single" w:color="auto" w:sz="4" w:space="0"/>
                  </w:tcBorders>
                  <w:noWrap w:val="0"/>
                  <w:vAlign w:val="center"/>
                </w:tcPr>
                <w:p w14:paraId="141C43FF">
                  <w:pPr>
                    <w:autoSpaceDE w:val="0"/>
                    <w:autoSpaceDN w:val="0"/>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是否设置专项评价</w:t>
                  </w:r>
                </w:p>
              </w:tc>
            </w:tr>
            <w:tr w14:paraId="30B3C0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5" w:type="pct"/>
                  <w:tcBorders>
                    <w:left w:val="single" w:color="auto" w:sz="4" w:space="0"/>
                  </w:tcBorders>
                  <w:noWrap w:val="0"/>
                  <w:vAlign w:val="center"/>
                </w:tcPr>
                <w:p w14:paraId="05CFA29B">
                  <w:pPr>
                    <w:autoSpaceDE w:val="0"/>
                    <w:autoSpaceDN w:val="0"/>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大气</w:t>
                  </w:r>
                </w:p>
              </w:tc>
              <w:tc>
                <w:tcPr>
                  <w:tcW w:w="2577" w:type="pct"/>
                  <w:noWrap w:val="0"/>
                  <w:vAlign w:val="center"/>
                </w:tcPr>
                <w:p w14:paraId="4246E6A7">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排放废气含有毒有害污染物</w:t>
                  </w:r>
                  <w:r>
                    <w:rPr>
                      <w:rFonts w:hint="eastAsia" w:ascii="Times New Roman" w:hAnsi="Times New Roman" w:eastAsia="宋体" w:cs="Times New Roman"/>
                      <w:kern w:val="0"/>
                      <w:sz w:val="21"/>
                      <w:szCs w:val="21"/>
                      <w:vertAlign w:val="superscript"/>
                    </w:rPr>
                    <w:t>1</w:t>
                  </w:r>
                  <w:r>
                    <w:rPr>
                      <w:rFonts w:hint="eastAsia" w:ascii="Times New Roman" w:hAnsi="Times New Roman" w:eastAsia="宋体" w:cs="Times New Roman"/>
                      <w:kern w:val="0"/>
                      <w:sz w:val="21"/>
                      <w:szCs w:val="21"/>
                    </w:rPr>
                    <w:t>、二噁英、苯并[a]芘、氰化物、氯气且厂界外500米范围内有环境空气保护目标</w:t>
                  </w:r>
                  <w:r>
                    <w:rPr>
                      <w:rFonts w:hint="eastAsia" w:ascii="Times New Roman" w:hAnsi="Times New Roman" w:eastAsia="宋体" w:cs="Times New Roman"/>
                      <w:kern w:val="0"/>
                      <w:sz w:val="21"/>
                      <w:szCs w:val="21"/>
                      <w:vertAlign w:val="superscript"/>
                    </w:rPr>
                    <w:t>2</w:t>
                  </w:r>
                  <w:r>
                    <w:rPr>
                      <w:rFonts w:hint="eastAsia" w:ascii="Times New Roman" w:hAnsi="Times New Roman" w:eastAsia="宋体" w:cs="Times New Roman"/>
                      <w:kern w:val="0"/>
                      <w:sz w:val="21"/>
                      <w:szCs w:val="21"/>
                    </w:rPr>
                    <w:t>的建设项目</w:t>
                  </w:r>
                  <w:r>
                    <w:rPr>
                      <w:rFonts w:hint="eastAsia" w:cs="Times New Roman"/>
                      <w:kern w:val="0"/>
                      <w:sz w:val="21"/>
                      <w:szCs w:val="21"/>
                      <w:lang w:eastAsia="zh-CN"/>
                    </w:rPr>
                    <w:t>。</w:t>
                  </w:r>
                </w:p>
              </w:tc>
              <w:tc>
                <w:tcPr>
                  <w:tcW w:w="1112" w:type="pct"/>
                  <w:noWrap w:val="0"/>
                  <w:vAlign w:val="center"/>
                </w:tcPr>
                <w:p w14:paraId="70E672BE">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lang w:val="en-US" w:eastAsia="zh-CN"/>
                    </w:rPr>
                    <w:t>本项目不产生</w:t>
                  </w:r>
                  <w:r>
                    <w:rPr>
                      <w:rFonts w:hint="eastAsia" w:ascii="Times New Roman" w:hAnsi="Times New Roman" w:eastAsia="宋体" w:cs="Times New Roman"/>
                      <w:kern w:val="0"/>
                      <w:sz w:val="21"/>
                      <w:szCs w:val="21"/>
                    </w:rPr>
                    <w:t>以上废气污染物</w:t>
                  </w:r>
                  <w:r>
                    <w:rPr>
                      <w:rFonts w:hint="eastAsia" w:cs="Times New Roman"/>
                      <w:kern w:val="0"/>
                      <w:sz w:val="21"/>
                      <w:szCs w:val="21"/>
                      <w:lang w:eastAsia="zh-CN"/>
                    </w:rPr>
                    <w:t>。</w:t>
                  </w:r>
                </w:p>
              </w:tc>
              <w:tc>
                <w:tcPr>
                  <w:tcW w:w="654" w:type="pct"/>
                  <w:tcBorders>
                    <w:right w:val="single" w:color="auto" w:sz="4" w:space="0"/>
                  </w:tcBorders>
                  <w:noWrap w:val="0"/>
                  <w:vAlign w:val="center"/>
                </w:tcPr>
                <w:p w14:paraId="4D12863E">
                  <w:pPr>
                    <w:autoSpaceDE w:val="0"/>
                    <w:autoSpaceDN w:val="0"/>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否</w:t>
                  </w:r>
                </w:p>
              </w:tc>
            </w:tr>
            <w:tr w14:paraId="6DBB79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5" w:type="pct"/>
                  <w:tcBorders>
                    <w:left w:val="single" w:color="auto" w:sz="4" w:space="0"/>
                  </w:tcBorders>
                  <w:noWrap w:val="0"/>
                  <w:vAlign w:val="center"/>
                </w:tcPr>
                <w:p w14:paraId="6C063963">
                  <w:pPr>
                    <w:autoSpaceDE w:val="0"/>
                    <w:autoSpaceDN w:val="0"/>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地表水</w:t>
                  </w:r>
                </w:p>
              </w:tc>
              <w:tc>
                <w:tcPr>
                  <w:tcW w:w="2577" w:type="pct"/>
                  <w:noWrap w:val="0"/>
                  <w:vAlign w:val="center"/>
                </w:tcPr>
                <w:p w14:paraId="4AA0021A">
                  <w:pPr>
                    <w:autoSpaceDE w:val="0"/>
                    <w:autoSpaceDN w:val="0"/>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新增工业废水直排建设项目（槽罐车外送</w:t>
                  </w:r>
                  <w:r>
                    <w:rPr>
                      <w:rFonts w:hint="eastAsia" w:cs="Times New Roman"/>
                      <w:kern w:val="0"/>
                      <w:sz w:val="21"/>
                      <w:szCs w:val="21"/>
                      <w:lang w:eastAsia="zh-CN"/>
                    </w:rPr>
                    <w:t>至</w:t>
                  </w:r>
                  <w:r>
                    <w:rPr>
                      <w:rFonts w:hint="eastAsia" w:ascii="Times New Roman" w:hAnsi="Times New Roman" w:eastAsia="宋体" w:cs="Times New Roman"/>
                      <w:kern w:val="0"/>
                      <w:sz w:val="21"/>
                      <w:szCs w:val="21"/>
                    </w:rPr>
                    <w:t>污水处理厂的除外）；</w:t>
                  </w:r>
                </w:p>
                <w:p w14:paraId="1CAFD8BC">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新增废水直排的污水集中处理厂</w:t>
                  </w:r>
                  <w:r>
                    <w:rPr>
                      <w:rFonts w:hint="eastAsia" w:cs="Times New Roman"/>
                      <w:kern w:val="0"/>
                      <w:sz w:val="21"/>
                      <w:szCs w:val="21"/>
                      <w:lang w:eastAsia="zh-CN"/>
                    </w:rPr>
                    <w:t>。</w:t>
                  </w:r>
                </w:p>
              </w:tc>
              <w:tc>
                <w:tcPr>
                  <w:tcW w:w="1112" w:type="pct"/>
                  <w:noWrap w:val="0"/>
                  <w:vAlign w:val="center"/>
                </w:tcPr>
                <w:p w14:paraId="3DBA12C5">
                  <w:pPr>
                    <w:autoSpaceDE w:val="0"/>
                    <w:autoSpaceDN w:val="0"/>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本项目废水依托现有污水处理厂</w:t>
                  </w:r>
                  <w:r>
                    <w:rPr>
                      <w:rFonts w:hint="eastAsia" w:cs="Times New Roman"/>
                      <w:kern w:val="0"/>
                      <w:sz w:val="21"/>
                      <w:szCs w:val="21"/>
                      <w:lang w:val="en-US" w:eastAsia="zh-CN"/>
                    </w:rPr>
                    <w:t>进行处理，</w:t>
                  </w:r>
                  <w:r>
                    <w:rPr>
                      <w:rFonts w:hint="eastAsia" w:ascii="Times New Roman" w:hAnsi="Times New Roman" w:eastAsia="宋体" w:cs="Times New Roman"/>
                      <w:kern w:val="0"/>
                      <w:sz w:val="21"/>
                      <w:szCs w:val="21"/>
                      <w:lang w:val="en-US" w:eastAsia="zh-CN"/>
                    </w:rPr>
                    <w:t>处理后回用不外排</w:t>
                  </w:r>
                  <w:r>
                    <w:rPr>
                      <w:rFonts w:hint="eastAsia" w:cs="Times New Roman"/>
                      <w:kern w:val="0"/>
                      <w:sz w:val="21"/>
                      <w:szCs w:val="21"/>
                      <w:lang w:val="en-US" w:eastAsia="zh-CN"/>
                    </w:rPr>
                    <w:t>。</w:t>
                  </w:r>
                </w:p>
              </w:tc>
              <w:tc>
                <w:tcPr>
                  <w:tcW w:w="654" w:type="pct"/>
                  <w:tcBorders>
                    <w:right w:val="single" w:color="auto" w:sz="4" w:space="0"/>
                  </w:tcBorders>
                  <w:noWrap w:val="0"/>
                  <w:vAlign w:val="center"/>
                </w:tcPr>
                <w:p w14:paraId="065EC1E1">
                  <w:pPr>
                    <w:autoSpaceDE w:val="0"/>
                    <w:autoSpaceDN w:val="0"/>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否</w:t>
                  </w:r>
                </w:p>
              </w:tc>
            </w:tr>
            <w:tr w14:paraId="50A423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655" w:type="pct"/>
                  <w:tcBorders>
                    <w:left w:val="single" w:color="auto" w:sz="4" w:space="0"/>
                  </w:tcBorders>
                  <w:noWrap w:val="0"/>
                  <w:vAlign w:val="center"/>
                </w:tcPr>
                <w:p w14:paraId="2BB77AFC">
                  <w:pPr>
                    <w:autoSpaceDE w:val="0"/>
                    <w:autoSpaceDN w:val="0"/>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环境风险</w:t>
                  </w:r>
                </w:p>
              </w:tc>
              <w:tc>
                <w:tcPr>
                  <w:tcW w:w="2577" w:type="pct"/>
                  <w:noWrap w:val="0"/>
                  <w:vAlign w:val="center"/>
                </w:tcPr>
                <w:p w14:paraId="53C65EDA">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有毒有害和易燃易爆危险物质存储量超过临界量</w:t>
                  </w:r>
                  <w:r>
                    <w:rPr>
                      <w:rFonts w:hint="eastAsia" w:ascii="Times New Roman" w:hAnsi="Times New Roman" w:eastAsia="宋体" w:cs="Times New Roman"/>
                      <w:kern w:val="0"/>
                      <w:sz w:val="21"/>
                      <w:szCs w:val="21"/>
                      <w:vertAlign w:val="superscript"/>
                    </w:rPr>
                    <w:t>3</w:t>
                  </w:r>
                  <w:r>
                    <w:rPr>
                      <w:rFonts w:hint="eastAsia" w:ascii="Times New Roman" w:hAnsi="Times New Roman" w:eastAsia="宋体" w:cs="Times New Roman"/>
                      <w:kern w:val="0"/>
                      <w:sz w:val="21"/>
                      <w:szCs w:val="21"/>
                    </w:rPr>
                    <w:t>的建设项目</w:t>
                  </w:r>
                  <w:r>
                    <w:rPr>
                      <w:rFonts w:hint="eastAsia" w:cs="Times New Roman"/>
                      <w:kern w:val="0"/>
                      <w:sz w:val="21"/>
                      <w:szCs w:val="21"/>
                      <w:lang w:eastAsia="zh-CN"/>
                    </w:rPr>
                    <w:t>。</w:t>
                  </w:r>
                </w:p>
              </w:tc>
              <w:tc>
                <w:tcPr>
                  <w:tcW w:w="1112" w:type="pct"/>
                  <w:noWrap w:val="0"/>
                  <w:vAlign w:val="center"/>
                </w:tcPr>
                <w:p w14:paraId="7836AC42">
                  <w:pPr>
                    <w:autoSpaceDE w:val="0"/>
                    <w:autoSpaceDN w:val="0"/>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本项目</w:t>
                  </w:r>
                  <w:r>
                    <w:rPr>
                      <w:rFonts w:hint="eastAsia" w:ascii="Times New Roman" w:hAnsi="Times New Roman" w:eastAsia="宋体" w:cs="Times New Roman"/>
                      <w:kern w:val="0"/>
                      <w:sz w:val="21"/>
                      <w:szCs w:val="21"/>
                    </w:rPr>
                    <w:t>危险物质存储量</w:t>
                  </w:r>
                  <w:r>
                    <w:rPr>
                      <w:rFonts w:hint="eastAsia" w:ascii="Times New Roman" w:hAnsi="Times New Roman" w:eastAsia="宋体" w:cs="Times New Roman"/>
                      <w:kern w:val="0"/>
                      <w:sz w:val="21"/>
                      <w:szCs w:val="21"/>
                      <w:lang w:val="en-US" w:eastAsia="zh-CN"/>
                    </w:rPr>
                    <w:t>低于</w:t>
                  </w:r>
                  <w:r>
                    <w:rPr>
                      <w:rFonts w:hint="eastAsia" w:ascii="Times New Roman" w:hAnsi="Times New Roman" w:eastAsia="宋体" w:cs="Times New Roman"/>
                      <w:kern w:val="0"/>
                      <w:sz w:val="21"/>
                      <w:szCs w:val="21"/>
                    </w:rPr>
                    <w:t>临界量</w:t>
                  </w:r>
                  <w:r>
                    <w:rPr>
                      <w:rFonts w:hint="eastAsia" w:cs="Times New Roman"/>
                      <w:kern w:val="0"/>
                      <w:sz w:val="21"/>
                      <w:szCs w:val="21"/>
                      <w:lang w:eastAsia="zh-CN"/>
                    </w:rPr>
                    <w:t>。</w:t>
                  </w:r>
                </w:p>
              </w:tc>
              <w:tc>
                <w:tcPr>
                  <w:tcW w:w="654" w:type="pct"/>
                  <w:tcBorders>
                    <w:right w:val="single" w:color="auto" w:sz="4" w:space="0"/>
                  </w:tcBorders>
                  <w:noWrap w:val="0"/>
                  <w:vAlign w:val="center"/>
                </w:tcPr>
                <w:p w14:paraId="7E29033B">
                  <w:pPr>
                    <w:autoSpaceDE w:val="0"/>
                    <w:autoSpaceDN w:val="0"/>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否</w:t>
                  </w:r>
                </w:p>
              </w:tc>
            </w:tr>
            <w:tr w14:paraId="34F3D2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5" w:type="pct"/>
                  <w:tcBorders>
                    <w:left w:val="single" w:color="auto" w:sz="4" w:space="0"/>
                  </w:tcBorders>
                  <w:noWrap w:val="0"/>
                  <w:vAlign w:val="center"/>
                </w:tcPr>
                <w:p w14:paraId="082533BC">
                  <w:pPr>
                    <w:autoSpaceDE w:val="0"/>
                    <w:autoSpaceDN w:val="0"/>
                    <w:adjustRightInd w:val="0"/>
                    <w:snapToGrid w:val="0"/>
                    <w:jc w:val="center"/>
                    <w:rPr>
                      <w:rFonts w:hint="eastAsia" w:ascii="Times New Roman" w:hAnsi="Times New Roman" w:eastAsia="宋体" w:cs="Times New Roman"/>
                      <w:kern w:val="0"/>
                      <w:sz w:val="21"/>
                      <w:szCs w:val="21"/>
                    </w:rPr>
                  </w:pPr>
                  <w:r>
                    <w:rPr>
                      <w:rFonts w:hint="eastAsia" w:ascii="Times New Roman" w:hAnsi="Times New Roman" w:eastAsia="宋体" w:cs="Times New Roman"/>
                      <w:kern w:val="0"/>
                      <w:sz w:val="21"/>
                      <w:szCs w:val="21"/>
                    </w:rPr>
                    <w:t>生态</w:t>
                  </w:r>
                </w:p>
              </w:tc>
              <w:tc>
                <w:tcPr>
                  <w:tcW w:w="2577" w:type="pct"/>
                  <w:noWrap w:val="0"/>
                  <w:vAlign w:val="center"/>
                </w:tcPr>
                <w:p w14:paraId="7544FE9A">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取水口下游500米范围内有重要水生生物的自然产卵场、索饵场、越冬场和洄游通道的新增河道取水的污染类建设项目</w:t>
                  </w:r>
                  <w:r>
                    <w:rPr>
                      <w:rFonts w:hint="eastAsia" w:cs="Times New Roman"/>
                      <w:kern w:val="0"/>
                      <w:sz w:val="21"/>
                      <w:szCs w:val="21"/>
                      <w:lang w:eastAsia="zh-CN"/>
                    </w:rPr>
                    <w:t>。</w:t>
                  </w:r>
                </w:p>
              </w:tc>
              <w:tc>
                <w:tcPr>
                  <w:tcW w:w="1112" w:type="pct"/>
                  <w:noWrap w:val="0"/>
                  <w:vAlign w:val="center"/>
                </w:tcPr>
                <w:p w14:paraId="70F3EE5C">
                  <w:pPr>
                    <w:autoSpaceDE w:val="0"/>
                    <w:autoSpaceDN w:val="0"/>
                    <w:adjustRightInd w:val="0"/>
                    <w:snapToGrid w:val="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lang w:val="en-US" w:eastAsia="zh-CN"/>
                    </w:rPr>
                    <w:t>不涉及</w:t>
                  </w:r>
                  <w:r>
                    <w:rPr>
                      <w:rFonts w:hint="eastAsia" w:cs="Times New Roman"/>
                      <w:kern w:val="0"/>
                      <w:sz w:val="21"/>
                      <w:szCs w:val="21"/>
                      <w:lang w:val="en-US" w:eastAsia="zh-CN"/>
                    </w:rPr>
                    <w:t>。</w:t>
                  </w:r>
                </w:p>
              </w:tc>
              <w:tc>
                <w:tcPr>
                  <w:tcW w:w="654" w:type="pct"/>
                  <w:tcBorders>
                    <w:right w:val="single" w:color="auto" w:sz="4" w:space="0"/>
                  </w:tcBorders>
                  <w:noWrap w:val="0"/>
                  <w:vAlign w:val="center"/>
                </w:tcPr>
                <w:p w14:paraId="403ADF47">
                  <w:pPr>
                    <w:autoSpaceDE w:val="0"/>
                    <w:autoSpaceDN w:val="0"/>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否</w:t>
                  </w:r>
                </w:p>
              </w:tc>
            </w:tr>
            <w:tr w14:paraId="03E005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55" w:type="pct"/>
                  <w:tcBorders>
                    <w:left w:val="single" w:color="auto" w:sz="4" w:space="0"/>
                  </w:tcBorders>
                  <w:noWrap w:val="0"/>
                  <w:vAlign w:val="center"/>
                </w:tcPr>
                <w:p w14:paraId="71BC6AB4">
                  <w:pPr>
                    <w:autoSpaceDE w:val="0"/>
                    <w:autoSpaceDN w:val="0"/>
                    <w:adjustRightInd w:val="0"/>
                    <w:snapToGrid w:val="0"/>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海洋</w:t>
                  </w:r>
                </w:p>
              </w:tc>
              <w:tc>
                <w:tcPr>
                  <w:tcW w:w="2577" w:type="pct"/>
                  <w:noWrap w:val="0"/>
                  <w:vAlign w:val="center"/>
                </w:tcPr>
                <w:p w14:paraId="365EB3AB">
                  <w:pPr>
                    <w:autoSpaceDE w:val="0"/>
                    <w:autoSpaceDN w:val="0"/>
                    <w:adjustRightInd w:val="0"/>
                    <w:snapToGrid w:val="0"/>
                    <w:jc w:val="center"/>
                    <w:rPr>
                      <w:rFonts w:hint="eastAsia" w:ascii="Times New Roman" w:hAnsi="Times New Roman" w:eastAsia="宋体" w:cs="Times New Roman"/>
                      <w:kern w:val="0"/>
                      <w:sz w:val="21"/>
                      <w:szCs w:val="21"/>
                      <w:lang w:eastAsia="zh-CN"/>
                    </w:rPr>
                  </w:pPr>
                  <w:r>
                    <w:rPr>
                      <w:rFonts w:hint="eastAsia" w:ascii="Times New Roman" w:hAnsi="Times New Roman" w:eastAsia="宋体" w:cs="Times New Roman"/>
                      <w:kern w:val="0"/>
                      <w:sz w:val="21"/>
                      <w:szCs w:val="21"/>
                    </w:rPr>
                    <w:t>直接向海排放污染物的海洋工程建设项目</w:t>
                  </w:r>
                  <w:r>
                    <w:rPr>
                      <w:rFonts w:hint="eastAsia" w:cs="Times New Roman"/>
                      <w:kern w:val="0"/>
                      <w:sz w:val="21"/>
                      <w:szCs w:val="21"/>
                      <w:lang w:eastAsia="zh-CN"/>
                    </w:rPr>
                    <w:t>。</w:t>
                  </w:r>
                </w:p>
              </w:tc>
              <w:tc>
                <w:tcPr>
                  <w:tcW w:w="1112" w:type="pct"/>
                  <w:noWrap w:val="0"/>
                  <w:vAlign w:val="center"/>
                </w:tcPr>
                <w:p w14:paraId="01E4284C">
                  <w:pPr>
                    <w:autoSpaceDE w:val="0"/>
                    <w:autoSpaceDN w:val="0"/>
                    <w:adjustRightInd w:val="0"/>
                    <w:snapToGrid w:val="0"/>
                    <w:jc w:val="center"/>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不涉及</w:t>
                  </w:r>
                  <w:r>
                    <w:rPr>
                      <w:rFonts w:hint="eastAsia" w:cs="Times New Roman"/>
                      <w:kern w:val="0"/>
                      <w:sz w:val="21"/>
                      <w:szCs w:val="21"/>
                      <w:lang w:val="en-US" w:eastAsia="zh-CN"/>
                    </w:rPr>
                    <w:t>。</w:t>
                  </w:r>
                </w:p>
              </w:tc>
              <w:tc>
                <w:tcPr>
                  <w:tcW w:w="654" w:type="pct"/>
                  <w:tcBorders>
                    <w:right w:val="single" w:color="auto" w:sz="4" w:space="0"/>
                  </w:tcBorders>
                  <w:noWrap w:val="0"/>
                  <w:vAlign w:val="center"/>
                </w:tcPr>
                <w:p w14:paraId="0E3715C1">
                  <w:pPr>
                    <w:autoSpaceDE w:val="0"/>
                    <w:autoSpaceDN w:val="0"/>
                    <w:adjustRightInd w:val="0"/>
                    <w:snapToGrid w:val="0"/>
                    <w:jc w:val="center"/>
                    <w:rPr>
                      <w:rFonts w:hint="eastAsia"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否</w:t>
                  </w:r>
                </w:p>
              </w:tc>
            </w:tr>
          </w:tbl>
          <w:p w14:paraId="21806B9B">
            <w:pPr>
              <w:autoSpaceDE w:val="0"/>
              <w:autoSpaceDN w:val="0"/>
              <w:adjustRightInd w:val="0"/>
              <w:snapToGrid w:val="0"/>
              <w:jc w:val="center"/>
              <w:rPr>
                <w:rFonts w:ascii="Times New Roman" w:hAnsi="Times New Roman" w:eastAsia="宋体" w:cs="Times New Roman"/>
                <w:color w:val="000000"/>
                <w:kern w:val="0"/>
                <w:sz w:val="24"/>
                <w:szCs w:val="21"/>
              </w:rPr>
            </w:pPr>
          </w:p>
        </w:tc>
      </w:tr>
      <w:tr w14:paraId="6805AF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4" w:hRule="atLeast"/>
          <w:jc w:val="center"/>
        </w:trPr>
        <w:tc>
          <w:tcPr>
            <w:tcW w:w="1816" w:type="dxa"/>
            <w:noWrap w:val="0"/>
            <w:vAlign w:val="center"/>
          </w:tcPr>
          <w:p w14:paraId="084A7047">
            <w:pPr>
              <w:autoSpaceDE w:val="0"/>
              <w:autoSpaceDN w:val="0"/>
              <w:adjustRightInd w:val="0"/>
              <w:snapToGrid w:val="0"/>
              <w:jc w:val="center"/>
              <w:rPr>
                <w:rFonts w:ascii="Times New Roman" w:hAnsi="Times New Roman" w:eastAsia="宋体" w:cs="Times New Roman"/>
                <w:b/>
                <w:color w:val="000000"/>
                <w:kern w:val="0"/>
                <w:sz w:val="24"/>
              </w:rPr>
            </w:pPr>
            <w:r>
              <w:rPr>
                <w:rFonts w:ascii="Times New Roman" w:hAnsi="Times New Roman" w:eastAsia="宋体" w:cs="Times New Roman"/>
                <w:b/>
                <w:color w:val="000000"/>
                <w:sz w:val="24"/>
              </w:rPr>
              <w:t>规划情况</w:t>
            </w:r>
          </w:p>
        </w:tc>
        <w:tc>
          <w:tcPr>
            <w:tcW w:w="7540" w:type="dxa"/>
            <w:gridSpan w:val="3"/>
            <w:noWrap w:val="0"/>
            <w:vAlign w:val="center"/>
          </w:tcPr>
          <w:p w14:paraId="5C04F5E1">
            <w:pPr>
              <w:adjustRightInd w:val="0"/>
              <w:snapToGrid w:val="0"/>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rPr>
              <w:t>规划名称：《杭锦经济开发区产业发展规划（2022-2035年）》</w:t>
            </w:r>
          </w:p>
          <w:p w14:paraId="31345EE9">
            <w:pPr>
              <w:adjustRightInd w:val="0"/>
              <w:snapToGrid w:val="0"/>
              <w:spacing w:line="360" w:lineRule="auto"/>
              <w:rPr>
                <w:rFonts w:hint="eastAsia" w:ascii="Times New Roman" w:hAnsi="Times New Roman" w:eastAsia="宋体" w:cs="Times New Roman"/>
                <w:color w:val="000000"/>
                <w:sz w:val="24"/>
              </w:rPr>
            </w:pPr>
            <w:r>
              <w:rPr>
                <w:rFonts w:ascii="Times New Roman" w:hAnsi="Times New Roman" w:eastAsia="宋体" w:cs="Times New Roman"/>
                <w:color w:val="000000"/>
                <w:sz w:val="24"/>
              </w:rPr>
              <w:t>审批机关：内蒙古自治区工业和信息化厅</w:t>
            </w:r>
          </w:p>
          <w:p w14:paraId="360CBBCF">
            <w:pPr>
              <w:adjustRightInd w:val="0"/>
              <w:snapToGrid w:val="0"/>
              <w:spacing w:line="360" w:lineRule="auto"/>
              <w:rPr>
                <w:rFonts w:ascii="Times New Roman" w:hAnsi="Times New Roman" w:eastAsia="宋体" w:cs="Times New Roman"/>
                <w:color w:val="000000"/>
                <w:sz w:val="24"/>
              </w:rPr>
            </w:pPr>
            <w:r>
              <w:rPr>
                <w:rFonts w:ascii="Times New Roman" w:hAnsi="Times New Roman" w:eastAsia="宋体" w:cs="Times New Roman"/>
                <w:color w:val="000000"/>
                <w:sz w:val="24"/>
              </w:rPr>
              <w:t>审查文件名称及文号：《内蒙古自治区工业和信息化厅关于同意杭锦经济开发区产业发展规划（2022-2035年）的批复》（内工信园区</w:t>
            </w:r>
            <w:r>
              <w:rPr>
                <w:rFonts w:hint="eastAsia" w:ascii="Times New Roman" w:hAnsi="Times New Roman" w:eastAsia="宋体" w:cs="Times New Roman"/>
                <w:color w:val="000000"/>
                <w:sz w:val="24"/>
              </w:rPr>
              <w:t>〔2023〕92号</w:t>
            </w:r>
            <w:r>
              <w:rPr>
                <w:rFonts w:ascii="Times New Roman" w:hAnsi="Times New Roman" w:eastAsia="宋体" w:cs="Times New Roman"/>
                <w:color w:val="000000"/>
                <w:sz w:val="24"/>
              </w:rPr>
              <w:t>）</w:t>
            </w:r>
          </w:p>
        </w:tc>
      </w:tr>
      <w:tr w14:paraId="2455DA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816" w:type="dxa"/>
            <w:noWrap w:val="0"/>
            <w:vAlign w:val="center"/>
          </w:tcPr>
          <w:p w14:paraId="15A9EC70">
            <w:pPr>
              <w:adjustRightInd w:val="0"/>
              <w:snapToGrid w:val="0"/>
              <w:jc w:val="center"/>
              <w:rPr>
                <w:rFonts w:ascii="Times New Roman" w:hAnsi="Times New Roman" w:eastAsia="宋体" w:cs="Times New Roman"/>
                <w:b/>
                <w:color w:val="000000"/>
                <w:sz w:val="24"/>
              </w:rPr>
            </w:pPr>
            <w:r>
              <w:rPr>
                <w:rFonts w:ascii="Times New Roman" w:hAnsi="Times New Roman" w:eastAsia="宋体" w:cs="Times New Roman"/>
                <w:b/>
                <w:color w:val="000000"/>
                <w:sz w:val="24"/>
              </w:rPr>
              <w:t>规划环境影响</w:t>
            </w:r>
          </w:p>
          <w:p w14:paraId="235FBF46">
            <w:pPr>
              <w:adjustRightInd w:val="0"/>
              <w:snapToGrid w:val="0"/>
              <w:jc w:val="center"/>
              <w:rPr>
                <w:rFonts w:ascii="Times New Roman" w:hAnsi="Times New Roman" w:eastAsia="宋体" w:cs="Times New Roman"/>
                <w:color w:val="000000"/>
                <w:kern w:val="0"/>
                <w:sz w:val="24"/>
              </w:rPr>
            </w:pPr>
            <w:r>
              <w:rPr>
                <w:rFonts w:ascii="Times New Roman" w:hAnsi="Times New Roman" w:eastAsia="宋体" w:cs="Times New Roman"/>
                <w:b/>
                <w:color w:val="000000"/>
                <w:sz w:val="24"/>
              </w:rPr>
              <w:t>评价情况</w:t>
            </w:r>
          </w:p>
        </w:tc>
        <w:tc>
          <w:tcPr>
            <w:tcW w:w="7540" w:type="dxa"/>
            <w:gridSpan w:val="3"/>
            <w:noWrap w:val="0"/>
            <w:vAlign w:val="center"/>
          </w:tcPr>
          <w:p w14:paraId="27A37266">
            <w:pPr>
              <w:snapToGrid w:val="0"/>
              <w:spacing w:line="360" w:lineRule="auto"/>
              <w:ind w:right="-108"/>
              <w:rPr>
                <w:rFonts w:ascii="Times New Roman" w:hAnsi="Times New Roman" w:eastAsia="宋体" w:cs="Times New Roman"/>
                <w:color w:val="000000"/>
                <w:sz w:val="24"/>
              </w:rPr>
            </w:pPr>
            <w:r>
              <w:rPr>
                <w:rFonts w:ascii="Times New Roman" w:hAnsi="Times New Roman" w:eastAsia="宋体" w:cs="Times New Roman"/>
                <w:color w:val="000000"/>
                <w:sz w:val="24"/>
              </w:rPr>
              <w:t>规划环境影响评价文件名称：《内蒙古鄂尔多斯杭锦经济开发区总体规划（2021-2035）环境影响报告书》</w:t>
            </w:r>
          </w:p>
          <w:p w14:paraId="70DF2A51">
            <w:pPr>
              <w:snapToGrid w:val="0"/>
              <w:spacing w:line="360" w:lineRule="auto"/>
              <w:ind w:right="-108"/>
              <w:rPr>
                <w:rFonts w:ascii="Times New Roman" w:hAnsi="Times New Roman" w:eastAsia="宋体" w:cs="Times New Roman"/>
                <w:color w:val="000000"/>
                <w:sz w:val="24"/>
              </w:rPr>
            </w:pPr>
            <w:r>
              <w:rPr>
                <w:rFonts w:ascii="Times New Roman" w:hAnsi="Times New Roman" w:eastAsia="宋体" w:cs="Times New Roman"/>
                <w:color w:val="000000"/>
                <w:sz w:val="24"/>
              </w:rPr>
              <w:t>审查机关：内蒙古自治区生态环境厅</w:t>
            </w:r>
          </w:p>
          <w:p w14:paraId="010E6326">
            <w:pPr>
              <w:snapToGrid w:val="0"/>
              <w:spacing w:line="360" w:lineRule="auto"/>
              <w:ind w:right="-108"/>
              <w:rPr>
                <w:rFonts w:ascii="Times New Roman" w:hAnsi="Times New Roman" w:eastAsia="宋体" w:cs="Times New Roman"/>
                <w:color w:val="000000"/>
                <w:sz w:val="24"/>
              </w:rPr>
            </w:pPr>
            <w:r>
              <w:rPr>
                <w:rFonts w:ascii="Times New Roman" w:hAnsi="Times New Roman" w:eastAsia="宋体" w:cs="Times New Roman"/>
                <w:color w:val="000000"/>
                <w:sz w:val="24"/>
              </w:rPr>
              <w:t>审查文件名称及文号：《内蒙古自治区生态环境厅关于</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内蒙古鄂尔多斯杭锦经济开发区总体规划（2021-2035）环境影响报告书</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的审查意见》（内环审〔2023〕41号）</w:t>
            </w:r>
          </w:p>
        </w:tc>
      </w:tr>
      <w:tr w14:paraId="31B8D3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985" w:hRule="atLeast"/>
          <w:jc w:val="center"/>
        </w:trPr>
        <w:tc>
          <w:tcPr>
            <w:tcW w:w="1816" w:type="dxa"/>
            <w:noWrap w:val="0"/>
            <w:vAlign w:val="center"/>
          </w:tcPr>
          <w:p w14:paraId="670F6CEA">
            <w:pPr>
              <w:autoSpaceDE w:val="0"/>
              <w:autoSpaceDN w:val="0"/>
              <w:adjustRightInd w:val="0"/>
              <w:snapToGrid w:val="0"/>
              <w:jc w:val="center"/>
              <w:rPr>
                <w:rFonts w:ascii="Times New Roman" w:hAnsi="Times New Roman" w:eastAsia="宋体" w:cs="Times New Roman"/>
                <w:b/>
                <w:color w:val="000000"/>
                <w:kern w:val="0"/>
                <w:sz w:val="24"/>
              </w:rPr>
            </w:pPr>
            <w:r>
              <w:rPr>
                <w:rFonts w:ascii="Times New Roman" w:hAnsi="Times New Roman" w:eastAsia="宋体" w:cs="Times New Roman"/>
                <w:b/>
                <w:color w:val="000000"/>
                <w:kern w:val="0"/>
                <w:sz w:val="24"/>
              </w:rPr>
              <w:t>规划及规划环境影响评价符合性分析</w:t>
            </w:r>
          </w:p>
        </w:tc>
        <w:tc>
          <w:tcPr>
            <w:tcW w:w="7540" w:type="dxa"/>
            <w:gridSpan w:val="3"/>
            <w:noWrap w:val="0"/>
            <w:vAlign w:val="center"/>
          </w:tcPr>
          <w:p w14:paraId="78293884">
            <w:pPr>
              <w:autoSpaceDE w:val="0"/>
              <w:autoSpaceDN w:val="0"/>
              <w:snapToGrid w:val="0"/>
              <w:spacing w:line="360" w:lineRule="auto"/>
              <w:ind w:firstLine="482" w:firstLineChars="200"/>
              <w:jc w:val="left"/>
              <w:rPr>
                <w:rFonts w:ascii="Times New Roman" w:hAnsi="Times New Roman" w:eastAsia="宋体" w:cs="Times New Roman"/>
                <w:b/>
                <w:color w:val="000000"/>
                <w:sz w:val="24"/>
              </w:rPr>
            </w:pPr>
            <w:r>
              <w:rPr>
                <w:rFonts w:ascii="Times New Roman" w:hAnsi="Times New Roman" w:eastAsia="宋体" w:cs="Times New Roman"/>
                <w:b/>
                <w:color w:val="000000"/>
                <w:sz w:val="24"/>
              </w:rPr>
              <w:t>一、与园区规划符合性分析</w:t>
            </w:r>
          </w:p>
          <w:p w14:paraId="02189E9B">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2010年</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内蒙古自治区出台《内蒙古自治区以呼包鄂为核心沿黄河沿交通干线经济带重点产业发展规划（2010-2020）》，将独贵塔拉工业园区规划为22个自治区级重点园区和产业集中区之一。</w:t>
            </w:r>
            <w:r>
              <w:rPr>
                <w:rFonts w:hint="eastAsia" w:ascii="Times New Roman" w:hAnsi="Times New Roman" w:eastAsia="宋体" w:cs="Times New Roman"/>
                <w:color w:val="000000"/>
                <w:sz w:val="24"/>
              </w:rPr>
              <w:t>2012</w:t>
            </w:r>
            <w:r>
              <w:rPr>
                <w:rFonts w:ascii="Times New Roman" w:hAnsi="Times New Roman" w:eastAsia="宋体" w:cs="Times New Roman"/>
                <w:color w:val="000000"/>
                <w:sz w:val="24"/>
              </w:rPr>
              <w:t>年取得《内蒙古自治区鄂尔多斯市杭锦旗独贵塔拉工业园区总体规划环境影响报告书》审查意见（内环字〔2012〕149号），工业园区总体控制面积为</w:t>
            </w:r>
            <w:r>
              <w:rPr>
                <w:rFonts w:hint="eastAsia" w:ascii="Times New Roman" w:hAnsi="Times New Roman" w:eastAsia="宋体" w:cs="Times New Roman"/>
                <w:color w:val="000000"/>
                <w:sz w:val="24"/>
              </w:rPr>
              <w:t>300</w:t>
            </w:r>
            <w:r>
              <w:rPr>
                <w:rFonts w:ascii="Times New Roman" w:hAnsi="Times New Roman" w:eastAsia="宋体" w:cs="Times New Roman"/>
                <w:color w:val="000000"/>
                <w:sz w:val="24"/>
              </w:rPr>
              <w:t>平方公里，规划面积为80平方公里，其中独贵塔拉产业园（北区）位于原杭锦能源化工基地，规划面积45.50平方公里，独贵塔拉产业园（南区）位于独贵塔拉镇敖楞乌苏嘎查，规划面积34.50平方公里，两区相距32公里。产业定位以煤炭全方位综合利用为目标，以煤气化技术为核心，采用上下游一体化的发展模式，构筑以新型能源产品、新型功能性合成材料、精细化工产品等为主干的产品结构。</w:t>
            </w:r>
          </w:p>
          <w:p w14:paraId="729BEB82">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内蒙古鄂尔多斯杭锦经济开发区（以下简称</w:t>
            </w:r>
            <w:r>
              <w:rPr>
                <w:rFonts w:hint="eastAsia" w:cs="Times New Roman"/>
                <w:color w:val="000000"/>
                <w:sz w:val="24"/>
                <w:lang w:eastAsia="zh-CN"/>
              </w:rPr>
              <w:t>“</w:t>
            </w:r>
            <w:r>
              <w:rPr>
                <w:rFonts w:ascii="Times New Roman" w:hAnsi="Times New Roman" w:eastAsia="宋体" w:cs="Times New Roman"/>
                <w:color w:val="000000"/>
                <w:sz w:val="24"/>
              </w:rPr>
              <w:t>开发区</w:t>
            </w:r>
            <w:r>
              <w:rPr>
                <w:rFonts w:hint="eastAsia" w:cs="Times New Roman"/>
                <w:color w:val="000000"/>
                <w:sz w:val="24"/>
                <w:lang w:eastAsia="zh-CN"/>
              </w:rPr>
              <w:t>”</w:t>
            </w:r>
            <w:r>
              <w:rPr>
                <w:rFonts w:ascii="Times New Roman" w:hAnsi="Times New Roman" w:eastAsia="宋体" w:cs="Times New Roman"/>
                <w:color w:val="000000"/>
                <w:sz w:val="24"/>
              </w:rPr>
              <w:t>）成立于</w:t>
            </w:r>
            <w:r>
              <w:rPr>
                <w:rFonts w:hint="eastAsia" w:ascii="Times New Roman" w:hAnsi="Times New Roman" w:eastAsia="宋体" w:cs="Times New Roman"/>
                <w:color w:val="000000"/>
                <w:sz w:val="24"/>
              </w:rPr>
              <w:t>2021</w:t>
            </w:r>
            <w:r>
              <w:rPr>
                <w:rFonts w:ascii="Times New Roman" w:hAnsi="Times New Roman" w:eastAsia="宋体" w:cs="Times New Roman"/>
                <w:color w:val="000000"/>
                <w:sz w:val="24"/>
              </w:rPr>
              <w:t>年7月，位于内蒙古自治区鄂尔多斯市杭锦旗</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内蒙古鄂尔多斯杭锦经济开发区管委会组织编制了《内蒙古鄂尔多斯杭锦经济开发区总体规划》（2021-2035年）。</w:t>
            </w:r>
          </w:p>
          <w:p w14:paraId="074F6E21">
            <w:pPr>
              <w:autoSpaceDE w:val="0"/>
              <w:autoSpaceDN w:val="0"/>
              <w:adjustRightInd w:val="0"/>
              <w:snapToGrid w:val="0"/>
              <w:spacing w:line="360" w:lineRule="auto"/>
              <w:ind w:firstLine="480" w:firstLineChars="200"/>
              <w:rPr>
                <w:rFonts w:hint="eastAsia" w:ascii="Times New Roman" w:hAnsi="Times New Roman" w:eastAsia="宋体" w:cs="Times New Roman"/>
                <w:color w:val="000000"/>
                <w:sz w:val="24"/>
                <w:lang w:val="en-US" w:eastAsia="zh-CN"/>
              </w:rPr>
            </w:pPr>
            <w:r>
              <w:rPr>
                <w:rFonts w:ascii="Times New Roman" w:hAnsi="Times New Roman" w:eastAsia="宋体" w:cs="Times New Roman"/>
                <w:color w:val="000000"/>
                <w:sz w:val="24"/>
              </w:rPr>
              <w:t>2023年，内蒙古鄂尔多斯杭锦经济开发区管理委员会组织编制了《内蒙古鄂尔多斯杭锦经济开发区总体规划（2021-2035年）环境影响报告书》，2023年6月取得内蒙古自治区生态环境厅关于《内蒙古鄂尔多斯杭锦经济开发区总体规划（2021-2035年）环境影响报告书》的审查意见（内环字〔2023〕41号）。</w:t>
            </w:r>
            <w:r>
              <w:rPr>
                <w:rFonts w:hint="eastAsia" w:ascii="Times New Roman" w:hAnsi="Times New Roman" w:eastAsia="宋体" w:cs="Times New Roman"/>
                <w:color w:val="000000"/>
                <w:sz w:val="24"/>
                <w:lang w:val="en-US" w:eastAsia="zh-CN"/>
              </w:rPr>
              <w:t>规划环评中</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内蒙古鄂尔多斯市杭锦旗经济开发区包括独贵塔拉产业园和新能源产业园，总面积13.32平方公里，其中独贵塔拉产业园北项目区占地面积6.09平方公里，独贵塔拉产业园南项目区占地面积5.76平方公里，新能源产业园占地面积1.47平方公里。</w:t>
            </w:r>
            <w:r>
              <w:rPr>
                <w:rFonts w:hint="eastAsia" w:cs="Times New Roman"/>
                <w:color w:val="000000"/>
                <w:sz w:val="24"/>
                <w:lang w:val="en-US" w:eastAsia="zh-CN"/>
              </w:rPr>
              <w:t>”</w:t>
            </w:r>
            <w:r>
              <w:rPr>
                <w:rFonts w:hint="eastAsia" w:ascii="Times New Roman" w:hAnsi="Times New Roman" w:eastAsia="宋体" w:cs="Times New Roman"/>
                <w:color w:val="000000"/>
                <w:sz w:val="24"/>
                <w:lang w:val="en-US" w:eastAsia="zh-CN"/>
              </w:rPr>
              <w:t>本项目位于</w:t>
            </w:r>
            <w:r>
              <w:rPr>
                <w:rFonts w:hint="eastAsia" w:ascii="Times New Roman" w:hAnsi="Times New Roman" w:eastAsia="宋体" w:cs="Times New Roman"/>
                <w:bCs/>
                <w:color w:val="000000"/>
                <w:sz w:val="24"/>
              </w:rPr>
              <w:t>鄂尔多斯市杭锦旗经济开发区独贵塔拉产业园</w:t>
            </w:r>
            <w:r>
              <w:rPr>
                <w:rFonts w:ascii="Times New Roman" w:hAnsi="Times New Roman" w:eastAsia="宋体" w:cs="Times New Roman"/>
                <w:color w:val="000000"/>
                <w:sz w:val="24"/>
              </w:rPr>
              <w:t>南项目区</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以下重点分析南项目区相关符合性</w:t>
            </w:r>
            <w:r>
              <w:rPr>
                <w:rFonts w:hint="eastAsia" w:ascii="Times New Roman" w:hAnsi="Times New Roman" w:eastAsia="宋体" w:cs="Times New Roman"/>
                <w:bCs/>
                <w:color w:val="000000"/>
                <w:sz w:val="24"/>
                <w:lang w:eastAsia="zh-CN"/>
              </w:rPr>
              <w:t>。</w:t>
            </w:r>
          </w:p>
          <w:p w14:paraId="17F9E512">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（1）用地规划布局</w:t>
            </w:r>
          </w:p>
          <w:p w14:paraId="274D6CC3">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独贵塔拉产业园（南区）在现有基础上，向东南方向</w:t>
            </w:r>
            <w:r>
              <w:rPr>
                <w:rFonts w:hint="eastAsia" w:ascii="Times New Roman" w:hAnsi="Times New Roman" w:eastAsia="宋体" w:cs="Times New Roman"/>
                <w:color w:val="000000"/>
                <w:sz w:val="24"/>
              </w:rPr>
              <w:t>拓展</w:t>
            </w:r>
            <w:r>
              <w:rPr>
                <w:rFonts w:ascii="Times New Roman" w:hAnsi="Times New Roman" w:eastAsia="宋体" w:cs="Times New Roman"/>
                <w:color w:val="000000"/>
                <w:sz w:val="24"/>
              </w:rPr>
              <w:t>，逐步打造一个鄂尔多斯市绿色化工及新材料为一体的产业</w:t>
            </w:r>
            <w:r>
              <w:rPr>
                <w:rFonts w:hint="eastAsia" w:ascii="Times New Roman" w:hAnsi="Times New Roman" w:eastAsia="宋体" w:cs="Times New Roman"/>
                <w:color w:val="000000"/>
                <w:sz w:val="24"/>
              </w:rPr>
              <w:t>集聚</w:t>
            </w:r>
            <w:r>
              <w:rPr>
                <w:rFonts w:ascii="Times New Roman" w:hAnsi="Times New Roman" w:eastAsia="宋体" w:cs="Times New Roman"/>
                <w:color w:val="000000"/>
                <w:sz w:val="24"/>
              </w:rPr>
              <w:t>样板间。</w:t>
            </w:r>
          </w:p>
          <w:p w14:paraId="1FD6AD2A">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（2）产业定位</w:t>
            </w:r>
          </w:p>
          <w:p w14:paraId="6F967054">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独贵塔拉工业园南项目区的产业定位为：以现有的新型煤化工及其下游产品深加工产业为基础，大力发展绿色化工产业，同时通过产业的升级与引进，耦合发展新能源产业，提升园区产业集聚化水平，建设绿色化工和新能源产业耦合发展的蒙西低碳绿色协调创新引领区。</w:t>
            </w:r>
          </w:p>
          <w:p w14:paraId="0EA52EB7">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（3）产业空间布局</w:t>
            </w:r>
          </w:p>
          <w:p w14:paraId="7FAC1C4B">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独贵塔拉工业园南项目区的产业空间布局为：主导产业是绿色化工及新材料产业，园区依托现有伊泰精细化工产业，耦合发展新能源制造产业（颗粒硅、高纯纳米硅、石墨电极材料、拉单晶切片、碳材料等），形成绿色化工及新材料产业集群示范基地，构建杭锦旗经济发展的新引擎。</w:t>
            </w:r>
          </w:p>
          <w:p w14:paraId="76D9C396">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（4）重点规划产业项目</w:t>
            </w:r>
          </w:p>
          <w:p w14:paraId="7728AD14">
            <w:pPr>
              <w:autoSpaceDE w:val="0"/>
              <w:autoSpaceDN w:val="0"/>
              <w:adjustRightInd w:val="0"/>
              <w:snapToGrid w:val="0"/>
              <w:spacing w:line="360" w:lineRule="auto"/>
              <w:ind w:firstLine="480" w:firstLineChars="200"/>
              <w:rPr>
                <w:rFonts w:ascii="Times New Roman" w:hAnsi="Times New Roman" w:eastAsia="宋体" w:cs="Times New Roman"/>
                <w:color w:val="000000"/>
                <w:sz w:val="24"/>
              </w:rPr>
            </w:pPr>
            <w:r>
              <w:rPr>
                <w:rFonts w:ascii="Times New Roman" w:hAnsi="Times New Roman" w:eastAsia="宋体" w:cs="Times New Roman"/>
                <w:color w:val="000000"/>
                <w:sz w:val="24"/>
              </w:rPr>
              <w:t>清洁能源产业：风光氢储能建设项目。风电光伏等清洁能源电解制氢</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生物质制氢、氧化铝制氢</w:t>
            </w:r>
            <w:r>
              <w:rPr>
                <w:rFonts w:hint="eastAsia" w:ascii="Times New Roman" w:hAnsi="Times New Roman" w:eastAsia="宋体" w:cs="Times New Roman"/>
                <w:color w:val="000000"/>
                <w:sz w:val="24"/>
              </w:rPr>
              <w:t>等</w:t>
            </w:r>
            <w:r>
              <w:rPr>
                <w:rFonts w:ascii="Times New Roman" w:hAnsi="Times New Roman" w:eastAsia="宋体" w:cs="Times New Roman"/>
                <w:color w:val="000000"/>
                <w:sz w:val="24"/>
              </w:rPr>
              <w:t>。配套低温空分技术生产液氨，推动氨-氢融合产业化发展。源网荷储一体化建设项目。共享储能电站建设。</w:t>
            </w:r>
          </w:p>
          <w:p w14:paraId="2C47018A">
            <w:pPr>
              <w:autoSpaceDE w:val="0"/>
              <w:autoSpaceDN w:val="0"/>
              <w:adjustRightInd w:val="0"/>
              <w:snapToGrid w:val="0"/>
              <w:spacing w:line="240" w:lineRule="auto"/>
              <w:jc w:val="center"/>
              <w:rPr>
                <w:rFonts w:ascii="Times New Roman" w:hAnsi="Times New Roman" w:eastAsia="宋体" w:cs="Times New Roman"/>
                <w:b/>
                <w:color w:val="000000"/>
                <w:sz w:val="24"/>
              </w:rPr>
            </w:pPr>
          </w:p>
          <w:p w14:paraId="572DACB6">
            <w:pPr>
              <w:autoSpaceDE w:val="0"/>
              <w:autoSpaceDN w:val="0"/>
              <w:adjustRightInd w:val="0"/>
              <w:snapToGrid w:val="0"/>
              <w:spacing w:line="240" w:lineRule="auto"/>
              <w:jc w:val="center"/>
              <w:rPr>
                <w:rFonts w:ascii="Times New Roman" w:hAnsi="Times New Roman" w:eastAsia="宋体" w:cs="Times New Roman"/>
                <w:color w:val="000000"/>
                <w:sz w:val="24"/>
              </w:rPr>
            </w:pPr>
            <w:r>
              <w:rPr>
                <w:rFonts w:ascii="Times New Roman" w:hAnsi="Times New Roman" w:eastAsia="宋体" w:cs="Times New Roman"/>
                <w:b/>
                <w:color w:val="000000"/>
                <w:sz w:val="24"/>
              </w:rPr>
              <w:t>表1-1</w:t>
            </w:r>
            <w:r>
              <w:rPr>
                <w:rFonts w:hint="eastAsia" w:cs="Times New Roman"/>
                <w:b/>
                <w:color w:val="000000"/>
                <w:sz w:val="24"/>
                <w:lang w:val="en-US" w:eastAsia="zh-CN"/>
              </w:rPr>
              <w:t xml:space="preserve"> </w:t>
            </w:r>
            <w:r>
              <w:rPr>
                <w:rFonts w:ascii="Times New Roman" w:hAnsi="Times New Roman" w:eastAsia="宋体" w:cs="Times New Roman"/>
                <w:b/>
                <w:color w:val="000000"/>
                <w:sz w:val="24"/>
              </w:rPr>
              <w:t>独贵塔拉工业园南项目区规划产业规模一览表</w:t>
            </w:r>
          </w:p>
          <w:tbl>
            <w:tblPr>
              <w:tblStyle w:val="4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875"/>
              <w:gridCol w:w="1350"/>
              <w:gridCol w:w="675"/>
              <w:gridCol w:w="525"/>
              <w:gridCol w:w="735"/>
              <w:gridCol w:w="2735"/>
            </w:tblGrid>
            <w:tr w14:paraId="0EEA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6" w:type="pct"/>
                  <w:vMerge w:val="restart"/>
                  <w:noWrap w:val="0"/>
                  <w:vAlign w:val="center"/>
                </w:tcPr>
                <w:p w14:paraId="1CA7772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color w:val="000000"/>
                      <w:sz w:val="21"/>
                      <w:szCs w:val="21"/>
                      <w:lang w:val="en-US" w:eastAsia="zh-CN"/>
                    </w:rPr>
                    <w:t>南区</w:t>
                  </w:r>
                  <w:r>
                    <w:rPr>
                      <w:rFonts w:hint="default" w:ascii="Times New Roman" w:hAnsi="Times New Roman" w:eastAsia="宋体" w:cs="Times New Roman"/>
                      <w:b w:val="0"/>
                      <w:bCs/>
                      <w:sz w:val="21"/>
                      <w:szCs w:val="21"/>
                      <w:lang w:val="en-US" w:eastAsia="zh-CN"/>
                    </w:rPr>
                    <w:t xml:space="preserve">                                                                                                                                                                                                                                                                                                                                                                                                                                                                                                                                                                                                                                                                                                                                                                                                                                                                                                                                                                                                                                                                                                                                                                                                                                                                                                                                                                                                                                                                                                                                                                                                                                                                                                                                                                                                                                                                                                                                                                                                                                                                     </w:t>
                  </w:r>
                </w:p>
              </w:tc>
              <w:tc>
                <w:tcPr>
                  <w:tcW w:w="598" w:type="pct"/>
                  <w:noWrap w:val="0"/>
                  <w:vAlign w:val="center"/>
                </w:tcPr>
                <w:p w14:paraId="47AD5C0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电解水制氢</w:t>
                  </w:r>
                </w:p>
              </w:tc>
              <w:tc>
                <w:tcPr>
                  <w:tcW w:w="922" w:type="pct"/>
                  <w:noWrap w:val="0"/>
                  <w:vAlign w:val="center"/>
                </w:tcPr>
                <w:p w14:paraId="4DFC0B5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氢气</w:t>
                  </w:r>
                </w:p>
              </w:tc>
              <w:tc>
                <w:tcPr>
                  <w:tcW w:w="461" w:type="pct"/>
                  <w:noWrap w:val="0"/>
                  <w:vAlign w:val="center"/>
                </w:tcPr>
                <w:p w14:paraId="1436CD5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3DC7DED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3</w:t>
                  </w:r>
                </w:p>
              </w:tc>
              <w:tc>
                <w:tcPr>
                  <w:tcW w:w="502" w:type="pct"/>
                  <w:noWrap w:val="0"/>
                  <w:vAlign w:val="center"/>
                </w:tcPr>
                <w:p w14:paraId="6F51F72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5</w:t>
                  </w:r>
                </w:p>
              </w:tc>
              <w:tc>
                <w:tcPr>
                  <w:tcW w:w="1869" w:type="pct"/>
                  <w:noWrap w:val="0"/>
                  <w:vAlign w:val="center"/>
                </w:tcPr>
                <w:p w14:paraId="60E9034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3526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53E6613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color w:val="000000"/>
                      <w:sz w:val="21"/>
                      <w:szCs w:val="21"/>
                      <w:lang w:val="en-US" w:eastAsia="zh-CN"/>
                    </w:rPr>
                  </w:pPr>
                </w:p>
              </w:tc>
              <w:tc>
                <w:tcPr>
                  <w:tcW w:w="598" w:type="pct"/>
                  <w:vMerge w:val="restart"/>
                  <w:noWrap w:val="0"/>
                  <w:vAlign w:val="center"/>
                </w:tcPr>
                <w:p w14:paraId="178C91D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新材料</w:t>
                  </w:r>
                </w:p>
              </w:tc>
              <w:tc>
                <w:tcPr>
                  <w:tcW w:w="922" w:type="pct"/>
                  <w:noWrap w:val="0"/>
                  <w:vAlign w:val="center"/>
                </w:tcPr>
                <w:p w14:paraId="5C990A9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颗粒硅</w:t>
                  </w:r>
                </w:p>
              </w:tc>
              <w:tc>
                <w:tcPr>
                  <w:tcW w:w="461" w:type="pct"/>
                  <w:noWrap w:val="0"/>
                  <w:vAlign w:val="center"/>
                </w:tcPr>
                <w:p w14:paraId="1B73DC2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3845B4A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10</w:t>
                  </w:r>
                </w:p>
              </w:tc>
              <w:tc>
                <w:tcPr>
                  <w:tcW w:w="502" w:type="pct"/>
                  <w:noWrap w:val="0"/>
                  <w:vAlign w:val="center"/>
                </w:tcPr>
                <w:p w14:paraId="64C357A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40</w:t>
                  </w:r>
                </w:p>
              </w:tc>
              <w:tc>
                <w:tcPr>
                  <w:tcW w:w="1869" w:type="pct"/>
                  <w:noWrap w:val="0"/>
                  <w:vAlign w:val="center"/>
                </w:tcPr>
                <w:p w14:paraId="52EB628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5E98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48A727F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color w:val="000000"/>
                      <w:sz w:val="21"/>
                      <w:szCs w:val="21"/>
                      <w:lang w:val="en-US" w:eastAsia="zh-CN"/>
                    </w:rPr>
                  </w:pPr>
                </w:p>
              </w:tc>
              <w:tc>
                <w:tcPr>
                  <w:tcW w:w="598" w:type="pct"/>
                  <w:vMerge w:val="continue"/>
                  <w:noWrap w:val="0"/>
                  <w:vAlign w:val="center"/>
                </w:tcPr>
                <w:p w14:paraId="04CF65D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p>
              </w:tc>
              <w:tc>
                <w:tcPr>
                  <w:tcW w:w="922" w:type="pct"/>
                  <w:noWrap w:val="0"/>
                  <w:vAlign w:val="center"/>
                </w:tcPr>
                <w:p w14:paraId="29DC9D5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工业硅</w:t>
                  </w:r>
                </w:p>
              </w:tc>
              <w:tc>
                <w:tcPr>
                  <w:tcW w:w="461" w:type="pct"/>
                  <w:noWrap w:val="0"/>
                  <w:vAlign w:val="center"/>
                </w:tcPr>
                <w:p w14:paraId="3C8BFCB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60CC5CA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10</w:t>
                  </w:r>
                </w:p>
              </w:tc>
              <w:tc>
                <w:tcPr>
                  <w:tcW w:w="502" w:type="pct"/>
                  <w:noWrap w:val="0"/>
                  <w:vAlign w:val="center"/>
                </w:tcPr>
                <w:p w14:paraId="40AF1E9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0</w:t>
                  </w:r>
                </w:p>
              </w:tc>
              <w:tc>
                <w:tcPr>
                  <w:tcW w:w="1869" w:type="pct"/>
                  <w:noWrap w:val="0"/>
                  <w:vAlign w:val="center"/>
                </w:tcPr>
                <w:p w14:paraId="67DC180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7936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32CEBA5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color w:val="000000"/>
                      <w:sz w:val="21"/>
                      <w:szCs w:val="21"/>
                      <w:lang w:val="en-US" w:eastAsia="zh-CN"/>
                    </w:rPr>
                  </w:pPr>
                </w:p>
              </w:tc>
              <w:tc>
                <w:tcPr>
                  <w:tcW w:w="598" w:type="pct"/>
                  <w:vMerge w:val="continue"/>
                  <w:noWrap w:val="0"/>
                  <w:vAlign w:val="center"/>
                </w:tcPr>
                <w:p w14:paraId="45BC231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p>
              </w:tc>
              <w:tc>
                <w:tcPr>
                  <w:tcW w:w="922" w:type="pct"/>
                  <w:noWrap w:val="0"/>
                  <w:vAlign w:val="center"/>
                </w:tcPr>
                <w:p w14:paraId="693FAF6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高纯纳米硅</w:t>
                  </w:r>
                </w:p>
              </w:tc>
              <w:tc>
                <w:tcPr>
                  <w:tcW w:w="461" w:type="pct"/>
                  <w:noWrap w:val="0"/>
                  <w:vAlign w:val="center"/>
                </w:tcPr>
                <w:p w14:paraId="4BA204C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157DD4DA">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15</w:t>
                  </w:r>
                </w:p>
              </w:tc>
              <w:tc>
                <w:tcPr>
                  <w:tcW w:w="502" w:type="pct"/>
                  <w:noWrap w:val="0"/>
                  <w:vAlign w:val="center"/>
                </w:tcPr>
                <w:p w14:paraId="71EE56C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0</w:t>
                  </w:r>
                </w:p>
              </w:tc>
              <w:tc>
                <w:tcPr>
                  <w:tcW w:w="1869" w:type="pct"/>
                  <w:noWrap w:val="0"/>
                  <w:vAlign w:val="center"/>
                </w:tcPr>
                <w:p w14:paraId="2218D7A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58FC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69B561C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color w:val="000000"/>
                      <w:sz w:val="21"/>
                      <w:szCs w:val="21"/>
                      <w:lang w:val="en-US" w:eastAsia="zh-CN"/>
                    </w:rPr>
                  </w:pPr>
                </w:p>
              </w:tc>
              <w:tc>
                <w:tcPr>
                  <w:tcW w:w="598" w:type="pct"/>
                  <w:vMerge w:val="continue"/>
                  <w:noWrap w:val="0"/>
                  <w:vAlign w:val="center"/>
                </w:tcPr>
                <w:p w14:paraId="52656C6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p>
              </w:tc>
              <w:tc>
                <w:tcPr>
                  <w:tcW w:w="922" w:type="pct"/>
                  <w:noWrap w:val="0"/>
                  <w:vAlign w:val="center"/>
                </w:tcPr>
                <w:p w14:paraId="11CA361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多晶硅</w:t>
                  </w:r>
                </w:p>
              </w:tc>
              <w:tc>
                <w:tcPr>
                  <w:tcW w:w="461" w:type="pct"/>
                  <w:noWrap w:val="0"/>
                  <w:vAlign w:val="center"/>
                </w:tcPr>
                <w:p w14:paraId="584064D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6A27C40C">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15</w:t>
                  </w:r>
                </w:p>
              </w:tc>
              <w:tc>
                <w:tcPr>
                  <w:tcW w:w="502" w:type="pct"/>
                  <w:noWrap w:val="0"/>
                  <w:vAlign w:val="center"/>
                </w:tcPr>
                <w:p w14:paraId="2D482EEE">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0</w:t>
                  </w:r>
                </w:p>
              </w:tc>
              <w:tc>
                <w:tcPr>
                  <w:tcW w:w="1869" w:type="pct"/>
                  <w:noWrap w:val="0"/>
                  <w:vAlign w:val="center"/>
                </w:tcPr>
                <w:p w14:paraId="533F7D6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7B65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1A02DE6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color w:val="000000"/>
                      <w:sz w:val="21"/>
                      <w:szCs w:val="21"/>
                      <w:lang w:val="en-US" w:eastAsia="zh-CN"/>
                    </w:rPr>
                  </w:pPr>
                </w:p>
              </w:tc>
              <w:tc>
                <w:tcPr>
                  <w:tcW w:w="598" w:type="pct"/>
                  <w:vMerge w:val="continue"/>
                  <w:noWrap w:val="0"/>
                  <w:vAlign w:val="center"/>
                </w:tcPr>
                <w:p w14:paraId="555508A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p>
              </w:tc>
              <w:tc>
                <w:tcPr>
                  <w:tcW w:w="922" w:type="pct"/>
                  <w:noWrap w:val="0"/>
                  <w:vAlign w:val="center"/>
                </w:tcPr>
                <w:p w14:paraId="27A35FB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多晶硅切片</w:t>
                  </w:r>
                </w:p>
              </w:tc>
              <w:tc>
                <w:tcPr>
                  <w:tcW w:w="461" w:type="pct"/>
                  <w:noWrap w:val="0"/>
                  <w:vAlign w:val="center"/>
                </w:tcPr>
                <w:p w14:paraId="2135651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6B41E50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5</w:t>
                  </w:r>
                </w:p>
              </w:tc>
              <w:tc>
                <w:tcPr>
                  <w:tcW w:w="502" w:type="pct"/>
                  <w:noWrap w:val="0"/>
                  <w:vAlign w:val="center"/>
                </w:tcPr>
                <w:p w14:paraId="0A94289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0</w:t>
                  </w:r>
                </w:p>
              </w:tc>
              <w:tc>
                <w:tcPr>
                  <w:tcW w:w="1869" w:type="pct"/>
                  <w:noWrap w:val="0"/>
                  <w:vAlign w:val="center"/>
                </w:tcPr>
                <w:p w14:paraId="6C8D06F8">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197C4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7204508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p>
              </w:tc>
              <w:tc>
                <w:tcPr>
                  <w:tcW w:w="598" w:type="pct"/>
                  <w:vMerge w:val="continue"/>
                  <w:noWrap w:val="0"/>
                  <w:vAlign w:val="center"/>
                </w:tcPr>
                <w:p w14:paraId="586E45A4">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p>
              </w:tc>
              <w:tc>
                <w:tcPr>
                  <w:tcW w:w="922" w:type="pct"/>
                  <w:noWrap w:val="0"/>
                  <w:vAlign w:val="center"/>
                </w:tcPr>
                <w:p w14:paraId="06BA522B">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r>
                    <w:rPr>
                      <w:rFonts w:hint="default" w:ascii="Times New Roman" w:hAnsi="Times New Roman" w:eastAsia="宋体" w:cs="Times New Roman"/>
                      <w:b w:val="0"/>
                      <w:bCs/>
                      <w:sz w:val="21"/>
                      <w:szCs w:val="21"/>
                      <w:vertAlign w:val="baseline"/>
                      <w:lang w:val="en-US" w:eastAsia="zh-CN"/>
                    </w:rPr>
                    <w:t>碳材料</w:t>
                  </w:r>
                </w:p>
              </w:tc>
              <w:tc>
                <w:tcPr>
                  <w:tcW w:w="461" w:type="pct"/>
                  <w:noWrap w:val="0"/>
                  <w:vAlign w:val="center"/>
                </w:tcPr>
                <w:p w14:paraId="1E579AA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2B5CBA1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0</w:t>
                  </w:r>
                </w:p>
              </w:tc>
              <w:tc>
                <w:tcPr>
                  <w:tcW w:w="502" w:type="pct"/>
                  <w:noWrap w:val="0"/>
                  <w:vAlign w:val="center"/>
                </w:tcPr>
                <w:p w14:paraId="1265D48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10</w:t>
                  </w:r>
                </w:p>
              </w:tc>
              <w:tc>
                <w:tcPr>
                  <w:tcW w:w="1869" w:type="pct"/>
                  <w:noWrap w:val="0"/>
                  <w:vAlign w:val="center"/>
                </w:tcPr>
                <w:p w14:paraId="3C1DF59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4BCF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2E5288F9">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p>
              </w:tc>
              <w:tc>
                <w:tcPr>
                  <w:tcW w:w="598" w:type="pct"/>
                  <w:vMerge w:val="restart"/>
                  <w:noWrap w:val="0"/>
                  <w:vAlign w:val="center"/>
                </w:tcPr>
                <w:p w14:paraId="7265E1CF">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化工</w:t>
                  </w:r>
                </w:p>
              </w:tc>
              <w:tc>
                <w:tcPr>
                  <w:tcW w:w="922" w:type="pct"/>
                  <w:noWrap w:val="0"/>
                  <w:vAlign w:val="center"/>
                </w:tcPr>
                <w:p w14:paraId="1448717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费脱蜡</w:t>
                  </w:r>
                </w:p>
              </w:tc>
              <w:tc>
                <w:tcPr>
                  <w:tcW w:w="461" w:type="pct"/>
                  <w:noWrap w:val="0"/>
                  <w:vAlign w:val="center"/>
                </w:tcPr>
                <w:p w14:paraId="3F97F127">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5A4A2192">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12</w:t>
                  </w:r>
                </w:p>
              </w:tc>
              <w:tc>
                <w:tcPr>
                  <w:tcW w:w="502" w:type="pct"/>
                  <w:noWrap w:val="0"/>
                  <w:vAlign w:val="center"/>
                </w:tcPr>
                <w:p w14:paraId="58823F7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2</w:t>
                  </w:r>
                </w:p>
              </w:tc>
              <w:tc>
                <w:tcPr>
                  <w:tcW w:w="1869" w:type="pct"/>
                  <w:noWrap w:val="0"/>
                  <w:vAlign w:val="center"/>
                </w:tcPr>
                <w:p w14:paraId="2880A136">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eastAsia" w:ascii="Times New Roman" w:hAnsi="Times New Roman" w:eastAsia="宋体" w:cs="Times New Roman"/>
                      <w:b w:val="0"/>
                      <w:bCs/>
                      <w:sz w:val="21"/>
                      <w:szCs w:val="21"/>
                      <w:vertAlign w:val="baseline"/>
                      <w:lang w:val="en-US" w:eastAsia="zh-CN"/>
                    </w:rPr>
                  </w:pPr>
                  <w:r>
                    <w:rPr>
                      <w:rFonts w:hint="eastAsia" w:cs="Times New Roman"/>
                      <w:b w:val="0"/>
                      <w:bCs/>
                      <w:sz w:val="21"/>
                      <w:szCs w:val="21"/>
                      <w:vertAlign w:val="baseline"/>
                      <w:lang w:val="en-US" w:eastAsia="zh-CN"/>
                    </w:rPr>
                    <w:t>/</w:t>
                  </w:r>
                </w:p>
              </w:tc>
            </w:tr>
            <w:tr w14:paraId="1CCE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 w:type="pct"/>
                  <w:vMerge w:val="continue"/>
                  <w:noWrap w:val="0"/>
                  <w:vAlign w:val="center"/>
                </w:tcPr>
                <w:p w14:paraId="7E7CADA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p>
              </w:tc>
              <w:tc>
                <w:tcPr>
                  <w:tcW w:w="598" w:type="pct"/>
                  <w:vMerge w:val="continue"/>
                  <w:noWrap w:val="0"/>
                  <w:vAlign w:val="center"/>
                </w:tcPr>
                <w:p w14:paraId="11F8B2E0">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p>
              </w:tc>
              <w:tc>
                <w:tcPr>
                  <w:tcW w:w="922" w:type="pct"/>
                  <w:noWrap w:val="0"/>
                  <w:vAlign w:val="center"/>
                </w:tcPr>
                <w:p w14:paraId="230E404D">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煤化工填平补齐及产业链延伸</w:t>
                  </w:r>
                </w:p>
              </w:tc>
              <w:tc>
                <w:tcPr>
                  <w:tcW w:w="461" w:type="pct"/>
                  <w:noWrap w:val="0"/>
                  <w:vAlign w:val="center"/>
                </w:tcPr>
                <w:p w14:paraId="1D6E2A6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rPr>
                  </w:pPr>
                  <w:r>
                    <w:rPr>
                      <w:rFonts w:hint="default" w:ascii="Times New Roman" w:hAnsi="Times New Roman" w:eastAsia="宋体" w:cs="Times New Roman"/>
                      <w:b w:val="0"/>
                      <w:bCs/>
                      <w:sz w:val="21"/>
                      <w:szCs w:val="21"/>
                      <w:vertAlign w:val="baseline"/>
                      <w:lang w:val="en-US" w:eastAsia="zh-CN"/>
                    </w:rPr>
                    <w:t>万t/a</w:t>
                  </w:r>
                </w:p>
              </w:tc>
              <w:tc>
                <w:tcPr>
                  <w:tcW w:w="358" w:type="pct"/>
                  <w:noWrap w:val="0"/>
                  <w:vAlign w:val="center"/>
                </w:tcPr>
                <w:p w14:paraId="496286C5">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55</w:t>
                  </w:r>
                </w:p>
              </w:tc>
              <w:tc>
                <w:tcPr>
                  <w:tcW w:w="502" w:type="pct"/>
                  <w:noWrap w:val="0"/>
                  <w:vAlign w:val="center"/>
                </w:tcPr>
                <w:p w14:paraId="19BDEAE3">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10</w:t>
                  </w:r>
                </w:p>
              </w:tc>
              <w:tc>
                <w:tcPr>
                  <w:tcW w:w="1869" w:type="pct"/>
                  <w:noWrap w:val="0"/>
                  <w:vAlign w:val="center"/>
                </w:tcPr>
                <w:p w14:paraId="6FD741D1">
                  <w:pPr>
                    <w:keepNext w:val="0"/>
                    <w:keepLines w:val="0"/>
                    <w:pageBreakBefore w:val="0"/>
                    <w:widowControl w:val="0"/>
                    <w:kinsoku/>
                    <w:wordWrap/>
                    <w:overflowPunct/>
                    <w:topLinePunct w:val="0"/>
                    <w:autoSpaceDE w:val="0"/>
                    <w:autoSpaceDN w:val="0"/>
                    <w:bidi w:val="0"/>
                    <w:adjustRightInd w:val="0"/>
                    <w:snapToGrid w:val="0"/>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甲醇精深加工产业链、乙二醇精</w:t>
                  </w:r>
                  <w:r>
                    <w:rPr>
                      <w:rFonts w:hint="eastAsia" w:cs="Times New Roman"/>
                      <w:b w:val="0"/>
                      <w:bCs/>
                      <w:sz w:val="21"/>
                      <w:szCs w:val="21"/>
                      <w:vertAlign w:val="baseline"/>
                      <w:lang w:val="en-US" w:eastAsia="zh-CN"/>
                    </w:rPr>
                    <w:t>深</w:t>
                  </w:r>
                  <w:r>
                    <w:rPr>
                      <w:rFonts w:hint="default" w:ascii="Times New Roman" w:hAnsi="Times New Roman" w:eastAsia="宋体" w:cs="Times New Roman"/>
                      <w:b w:val="0"/>
                      <w:bCs/>
                      <w:sz w:val="21"/>
                      <w:szCs w:val="21"/>
                      <w:vertAlign w:val="baseline"/>
                      <w:lang w:val="en-US" w:eastAsia="zh-CN"/>
                    </w:rPr>
                    <w:t>加工产业链等，如高碳醇、增塑剂、聚丙烯薄膜、二氧化碳利用项目等</w:t>
                  </w:r>
                  <w:r>
                    <w:rPr>
                      <w:rFonts w:hint="eastAsia" w:cs="Times New Roman"/>
                      <w:b w:val="0"/>
                      <w:bCs/>
                      <w:sz w:val="21"/>
                      <w:szCs w:val="21"/>
                      <w:vertAlign w:val="baseline"/>
                      <w:lang w:val="en-US" w:eastAsia="zh-CN"/>
                    </w:rPr>
                    <w:t>。</w:t>
                  </w:r>
                </w:p>
              </w:tc>
            </w:tr>
          </w:tbl>
          <w:p w14:paraId="7E8BC327">
            <w:pPr>
              <w:keepNext w:val="0"/>
              <w:keepLines w:val="0"/>
              <w:pageBreakBefore w:val="0"/>
              <w:widowControl w:val="0"/>
              <w:kinsoku/>
              <w:wordWrap/>
              <w:overflowPunct/>
              <w:topLinePunct w:val="0"/>
              <w:autoSpaceDE w:val="0"/>
              <w:autoSpaceDN w:val="0"/>
              <w:bidi w:val="0"/>
              <w:adjustRightInd w:val="0"/>
              <w:snapToGrid w:val="0"/>
              <w:ind w:firstLine="0" w:firstLineChars="0"/>
              <w:jc w:val="center"/>
              <w:textAlignment w:val="auto"/>
            </w:pPr>
          </w:p>
          <w:p w14:paraId="71EBED81">
            <w:pPr>
              <w:autoSpaceDE w:val="0"/>
              <w:autoSpaceDN w:val="0"/>
              <w:snapToGrid w:val="0"/>
              <w:spacing w:line="360" w:lineRule="auto"/>
              <w:ind w:firstLine="480" w:firstLineChars="200"/>
              <w:jc w:val="left"/>
              <w:rPr>
                <w:rFonts w:ascii="Times New Roman" w:hAnsi="Times New Roman" w:eastAsia="宋体" w:cs="Times New Roman"/>
                <w:color w:val="000000"/>
                <w:sz w:val="24"/>
              </w:rPr>
            </w:pPr>
            <w:r>
              <w:rPr>
                <w:rFonts w:ascii="Times New Roman" w:hAnsi="Times New Roman" w:eastAsia="宋体" w:cs="Times New Roman"/>
                <w:color w:val="000000"/>
                <w:sz w:val="24"/>
              </w:rPr>
              <w:t>本项目位于独贵塔拉产业园南项目区</w:t>
            </w:r>
            <w:r>
              <w:rPr>
                <w:rFonts w:hint="eastAsia" w:ascii="Times New Roman" w:hAnsi="Times New Roman" w:eastAsia="宋体" w:cs="Times New Roman"/>
                <w:bCs/>
                <w:color w:val="000000"/>
                <w:sz w:val="24"/>
              </w:rPr>
              <w:t>内蒙古伊泰化工有限责任公司</w:t>
            </w:r>
            <w:r>
              <w:rPr>
                <w:rFonts w:hint="eastAsia" w:ascii="Times New Roman" w:hAnsi="Times New Roman" w:eastAsia="宋体" w:cs="Times New Roman"/>
                <w:bCs/>
                <w:color w:val="000000"/>
                <w:sz w:val="24"/>
                <w:lang w:val="en-US" w:eastAsia="zh-CN"/>
              </w:rPr>
              <w:t>现有厂区内</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rPr>
              <w:t>以</w:t>
            </w:r>
            <w:r>
              <w:rPr>
                <w:rFonts w:hint="eastAsia" w:ascii="Times New Roman" w:hAnsi="Times New Roman" w:eastAsia="宋体" w:cs="Times New Roman"/>
                <w:color w:val="000000"/>
                <w:sz w:val="24"/>
                <w:lang w:val="en-US" w:eastAsia="zh-CN"/>
              </w:rPr>
              <w:t>现有费托合成轻质油</w:t>
            </w:r>
            <w:r>
              <w:rPr>
                <w:rFonts w:hint="eastAsia" w:ascii="Times New Roman" w:hAnsi="Times New Roman" w:eastAsia="宋体" w:cs="Times New Roman"/>
                <w:color w:val="000000"/>
                <w:sz w:val="24"/>
              </w:rPr>
              <w:t>为原料，</w:t>
            </w:r>
            <w:r>
              <w:rPr>
                <w:rFonts w:hint="eastAsia" w:ascii="Times New Roman" w:hAnsi="Times New Roman" w:eastAsia="宋体" w:cs="Times New Roman"/>
                <w:color w:val="000000"/>
                <w:sz w:val="24"/>
                <w:lang w:val="en-US" w:eastAsia="zh-CN"/>
              </w:rPr>
              <w:t>生产</w:t>
            </w:r>
            <w:r>
              <w:rPr>
                <w:rFonts w:hint="eastAsia" w:ascii="Times New Roman" w:hAnsi="Times New Roman" w:eastAsia="宋体" w:cs="Times New Roman"/>
                <w:color w:val="000000"/>
                <w:sz w:val="24"/>
              </w:rPr>
              <w:t>纯度不低于</w:t>
            </w:r>
            <w:r>
              <w:rPr>
                <w:rFonts w:hint="eastAsia" w:ascii="Times New Roman" w:hAnsi="Times New Roman" w:eastAsia="宋体" w:cs="Times New Roman"/>
                <w:color w:val="000000"/>
                <w:sz w:val="24"/>
                <w:lang w:val="en-US" w:eastAsia="zh-CN"/>
              </w:rPr>
              <w:t>98</w:t>
            </w:r>
            <w:r>
              <w:rPr>
                <w:rFonts w:hint="eastAsia" w:ascii="Times New Roman" w:hAnsi="Times New Roman" w:eastAsia="宋体" w:cs="Times New Roman"/>
                <w:color w:val="000000"/>
                <w:sz w:val="24"/>
              </w:rPr>
              <w:t>%的</w:t>
            </w:r>
            <w:r>
              <w:rPr>
                <w:rFonts w:hint="eastAsia" w:ascii="Times New Roman" w:hAnsi="Times New Roman" w:eastAsia="宋体" w:cs="Times New Roman"/>
                <w:color w:val="000000"/>
                <w:sz w:val="24"/>
                <w:lang w:val="en-US" w:eastAsia="zh-CN"/>
              </w:rPr>
              <w:t>C5烷烯烃</w:t>
            </w:r>
            <w:r>
              <w:rPr>
                <w:rFonts w:ascii="Times New Roman" w:hAnsi="Times New Roman" w:eastAsia="宋体" w:cs="Times New Roman"/>
                <w:color w:val="000000"/>
                <w:sz w:val="24"/>
              </w:rPr>
              <w:t>，</w:t>
            </w:r>
            <w:r>
              <w:rPr>
                <w:rFonts w:hint="eastAsia" w:ascii="Times New Roman" w:hAnsi="Times New Roman" w:eastAsia="宋体" w:cs="Times New Roman"/>
                <w:color w:val="000000"/>
                <w:sz w:val="24"/>
                <w:lang w:val="en-US" w:eastAsia="zh-CN"/>
              </w:rPr>
              <w:t>延伸伊泰现有产业链，属于</w:t>
            </w:r>
            <w:r>
              <w:rPr>
                <w:rFonts w:ascii="Times New Roman" w:hAnsi="Times New Roman" w:eastAsia="宋体" w:cs="Times New Roman"/>
                <w:color w:val="000000"/>
                <w:sz w:val="24"/>
              </w:rPr>
              <w:t>以现有的新型煤化工及其下游产品</w:t>
            </w:r>
            <w:r>
              <w:rPr>
                <w:rFonts w:hint="eastAsia" w:ascii="Times New Roman" w:hAnsi="Times New Roman" w:eastAsia="宋体" w:cs="Times New Roman"/>
                <w:color w:val="000000"/>
                <w:sz w:val="24"/>
                <w:lang w:val="en-US" w:eastAsia="zh-CN"/>
              </w:rPr>
              <w:t>进行的</w:t>
            </w:r>
            <w:r>
              <w:rPr>
                <w:rFonts w:ascii="Times New Roman" w:hAnsi="Times New Roman" w:eastAsia="宋体" w:cs="Times New Roman"/>
                <w:color w:val="000000"/>
                <w:sz w:val="24"/>
              </w:rPr>
              <w:t>深加工产业</w:t>
            </w:r>
            <w:r>
              <w:rPr>
                <w:rFonts w:hint="eastAsia" w:ascii="Times New Roman" w:hAnsi="Times New Roman" w:eastAsia="宋体" w:cs="Times New Roman"/>
                <w:color w:val="000000"/>
                <w:sz w:val="24"/>
                <w:lang w:eastAsia="zh-CN"/>
              </w:rPr>
              <w:t>，</w:t>
            </w:r>
            <w:r>
              <w:rPr>
                <w:rFonts w:ascii="Times New Roman" w:hAnsi="Times New Roman" w:eastAsia="宋体" w:cs="Times New Roman"/>
                <w:color w:val="000000"/>
                <w:sz w:val="24"/>
              </w:rPr>
              <w:t>符合独贵塔拉产业园南项目区产业定位、产业空间布局及用地规划</w:t>
            </w:r>
            <w:r>
              <w:rPr>
                <w:rFonts w:hint="eastAsia" w:ascii="Times New Roman" w:hAnsi="Times New Roman" w:eastAsia="宋体" w:cs="Times New Roman"/>
                <w:color w:val="000000"/>
                <w:sz w:val="24"/>
                <w:lang w:eastAsia="zh-CN"/>
              </w:rPr>
              <w:t>。</w:t>
            </w:r>
            <w:r>
              <w:rPr>
                <w:rFonts w:ascii="Times New Roman" w:hAnsi="Times New Roman" w:eastAsia="宋体" w:cs="Times New Roman"/>
                <w:color w:val="000000"/>
                <w:sz w:val="24"/>
              </w:rPr>
              <w:t>因此，本项目的建设符合《内蒙古鄂尔多斯杭锦经济开发区总体规划》的要求。独贵塔拉产业园南项目区产业布局图见图1-1。</w:t>
            </w:r>
          </w:p>
          <w:p w14:paraId="330C1638">
            <w:pPr>
              <w:snapToGrid w:val="0"/>
              <w:spacing w:line="360" w:lineRule="auto"/>
              <w:rPr>
                <w:rFonts w:hint="eastAsia" w:ascii="Times New Roman" w:hAnsi="Times New Roman" w:eastAsia="宋体" w:cs="Times New Roman"/>
                <w:color w:val="000000"/>
                <w:sz w:val="24"/>
                <w:szCs w:val="22"/>
                <w:lang w:eastAsia="zh-CN"/>
              </w:rPr>
            </w:pPr>
            <w:r>
              <w:rPr>
                <w:rFonts w:hint="eastAsia" w:ascii="Times New Roman" w:hAnsi="Times New Roman" w:eastAsia="宋体" w:cs="Times New Roman"/>
                <w:color w:val="000000"/>
                <w:sz w:val="24"/>
                <w:szCs w:val="22"/>
                <w:lang w:eastAsia="zh-CN"/>
              </w:rPr>
              <w:drawing>
                <wp:inline distT="0" distB="0" distL="114300" distR="114300">
                  <wp:extent cx="5137150" cy="3556000"/>
                  <wp:effectExtent l="0" t="0" r="6350" b="6350"/>
                  <wp:docPr id="2" name="图片 104" descr="项目在园区位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4" descr="项目在园区位置"/>
                          <pic:cNvPicPr>
                            <a:picLocks noChangeAspect="1"/>
                          </pic:cNvPicPr>
                        </pic:nvPicPr>
                        <pic:blipFill>
                          <a:blip r:embed="rId10"/>
                          <a:stretch>
                            <a:fillRect/>
                          </a:stretch>
                        </pic:blipFill>
                        <pic:spPr>
                          <a:xfrm>
                            <a:off x="0" y="0"/>
                            <a:ext cx="5137150" cy="3556000"/>
                          </a:xfrm>
                          <a:prstGeom prst="rect">
                            <a:avLst/>
                          </a:prstGeom>
                          <a:noFill/>
                          <a:ln>
                            <a:noFill/>
                          </a:ln>
                        </pic:spPr>
                      </pic:pic>
                    </a:graphicData>
                  </a:graphic>
                </wp:inline>
              </w:drawing>
            </w:r>
          </w:p>
          <w:p w14:paraId="10717767">
            <w:pPr>
              <w:autoSpaceDE w:val="0"/>
              <w:autoSpaceDN w:val="0"/>
              <w:snapToGrid w:val="0"/>
              <w:spacing w:line="360" w:lineRule="auto"/>
              <w:ind w:firstLine="0" w:firstLineChars="0"/>
              <w:jc w:val="center"/>
              <w:rPr>
                <w:rFonts w:ascii="Times New Roman" w:hAnsi="Times New Roman" w:eastAsia="宋体" w:cs="Times New Roman"/>
                <w:color w:val="000000"/>
                <w:sz w:val="24"/>
              </w:rPr>
            </w:pPr>
            <w:r>
              <w:rPr>
                <w:rFonts w:ascii="Times New Roman" w:hAnsi="Times New Roman" w:eastAsia="宋体" w:cs="Times New Roman"/>
                <w:b/>
                <w:color w:val="000000"/>
                <w:sz w:val="24"/>
              </w:rPr>
              <w:t>图1-1</w:t>
            </w:r>
            <w:r>
              <w:rPr>
                <w:rFonts w:hint="eastAsia" w:cs="Times New Roman"/>
                <w:b/>
                <w:color w:val="000000"/>
                <w:sz w:val="24"/>
                <w:lang w:val="en-US" w:eastAsia="zh-CN"/>
              </w:rPr>
              <w:t xml:space="preserve"> </w:t>
            </w:r>
            <w:r>
              <w:rPr>
                <w:rFonts w:ascii="Times New Roman" w:hAnsi="Times New Roman" w:eastAsia="宋体" w:cs="Times New Roman"/>
                <w:b/>
                <w:color w:val="000000"/>
                <w:sz w:val="24"/>
              </w:rPr>
              <w:t>本项目与南项目区产业规划</w:t>
            </w:r>
            <w:r>
              <w:rPr>
                <w:rFonts w:hint="eastAsia" w:ascii="Times New Roman" w:hAnsi="Times New Roman" w:eastAsia="宋体" w:cs="Times New Roman"/>
                <w:b/>
                <w:color w:val="000000"/>
                <w:sz w:val="24"/>
              </w:rPr>
              <w:t>的</w:t>
            </w:r>
            <w:r>
              <w:rPr>
                <w:rFonts w:ascii="Times New Roman" w:hAnsi="Times New Roman" w:eastAsia="宋体" w:cs="Times New Roman"/>
                <w:b/>
                <w:color w:val="000000"/>
                <w:sz w:val="24"/>
              </w:rPr>
              <w:t>位置关系图</w:t>
            </w:r>
          </w:p>
          <w:p w14:paraId="63E579F7">
            <w:pPr>
              <w:snapToGrid w:val="0"/>
              <w:spacing w:line="360" w:lineRule="auto"/>
              <w:ind w:firstLine="482" w:firstLineChars="200"/>
              <w:rPr>
                <w:rFonts w:ascii="Times New Roman" w:hAnsi="Times New Roman" w:eastAsia="宋体" w:cs="Times New Roman"/>
                <w:b/>
                <w:color w:val="000000"/>
                <w:sz w:val="24"/>
              </w:rPr>
            </w:pPr>
            <w:r>
              <w:rPr>
                <w:rFonts w:ascii="Times New Roman" w:hAnsi="Times New Roman" w:eastAsia="宋体" w:cs="Times New Roman"/>
                <w:b/>
                <w:color w:val="000000"/>
                <w:sz w:val="24"/>
              </w:rPr>
              <w:t>二、与园区规划环境影响评价</w:t>
            </w:r>
            <w:r>
              <w:rPr>
                <w:rFonts w:hint="eastAsia" w:ascii="Times New Roman" w:hAnsi="Times New Roman" w:eastAsia="宋体" w:cs="Times New Roman"/>
                <w:b/>
                <w:color w:val="000000"/>
                <w:sz w:val="24"/>
              </w:rPr>
              <w:t>的</w:t>
            </w:r>
            <w:r>
              <w:rPr>
                <w:rFonts w:ascii="Times New Roman" w:hAnsi="Times New Roman" w:eastAsia="宋体" w:cs="Times New Roman"/>
                <w:b/>
                <w:color w:val="000000"/>
                <w:sz w:val="24"/>
              </w:rPr>
              <w:t>符合性分析</w:t>
            </w:r>
          </w:p>
          <w:p w14:paraId="1990AE88">
            <w:pPr>
              <w:snapToGrid w:val="0"/>
              <w:spacing w:line="360" w:lineRule="auto"/>
              <w:ind w:firstLine="480" w:firstLineChars="200"/>
              <w:rPr>
                <w:rFonts w:hint="default" w:ascii="Times New Roman" w:hAnsi="Times New Roman" w:eastAsia="宋体" w:cs="Times New Roman"/>
                <w:color w:val="000000"/>
                <w:sz w:val="24"/>
                <w:lang w:val="en-US" w:eastAsia="zh-CN"/>
              </w:rPr>
            </w:pPr>
            <w:r>
              <w:rPr>
                <w:rFonts w:ascii="Times New Roman" w:hAnsi="Times New Roman" w:eastAsia="宋体" w:cs="Times New Roman"/>
                <w:color w:val="000000"/>
                <w:sz w:val="24"/>
              </w:rPr>
              <w:t>2023年6月25日</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该园区取得了《内蒙古自治区生态环境厅关于</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内蒙古鄂尔多斯杭锦经济开发区总体规划（2021-2035）环境影响报告书</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的审查意见》（内环审〔2023〕41号）。本项目与</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规划环评审查意见</w:t>
            </w:r>
            <w:r>
              <w:rPr>
                <w:rFonts w:hint="eastAsia" w:ascii="Times New Roman" w:hAnsi="Times New Roman" w:eastAsia="宋体" w:cs="Times New Roman"/>
                <w:color w:val="000000"/>
                <w:sz w:val="24"/>
              </w:rPr>
              <w:t>》</w:t>
            </w:r>
            <w:r>
              <w:rPr>
                <w:rFonts w:ascii="Times New Roman" w:hAnsi="Times New Roman" w:eastAsia="宋体" w:cs="Times New Roman"/>
                <w:color w:val="000000"/>
                <w:sz w:val="24"/>
              </w:rPr>
              <w:t>（内环审〔2023〕41号）结论相符性分析如下表</w:t>
            </w:r>
            <w:r>
              <w:rPr>
                <w:rFonts w:hint="eastAsia" w:ascii="Times New Roman" w:hAnsi="Times New Roman" w:eastAsia="宋体" w:cs="Times New Roman"/>
                <w:color w:val="000000"/>
                <w:sz w:val="24"/>
                <w:lang w:eastAsia="zh-CN"/>
              </w:rPr>
              <w:t>，</w:t>
            </w:r>
            <w:r>
              <w:rPr>
                <w:rFonts w:hint="eastAsia" w:ascii="Times New Roman" w:hAnsi="Times New Roman" w:eastAsia="宋体" w:cs="Times New Roman"/>
                <w:color w:val="000000"/>
                <w:sz w:val="24"/>
                <w:lang w:val="en-US" w:eastAsia="zh-CN"/>
              </w:rPr>
              <w:t>可见，项目的建设符合园区规划环评</w:t>
            </w:r>
            <w:r>
              <w:rPr>
                <w:rFonts w:hint="eastAsia" w:cs="Times New Roman"/>
                <w:color w:val="000000"/>
                <w:sz w:val="24"/>
                <w:lang w:val="en-US" w:eastAsia="zh-CN"/>
              </w:rPr>
              <w:t>要求</w:t>
            </w:r>
            <w:r>
              <w:rPr>
                <w:rFonts w:hint="eastAsia" w:ascii="Times New Roman" w:hAnsi="Times New Roman" w:eastAsia="宋体" w:cs="Times New Roman"/>
                <w:color w:val="000000"/>
                <w:sz w:val="24"/>
                <w:lang w:val="en-US" w:eastAsia="zh-CN"/>
              </w:rPr>
              <w:t>。</w:t>
            </w:r>
          </w:p>
          <w:p w14:paraId="3AA9904C">
            <w:pPr>
              <w:snapToGrid w:val="0"/>
              <w:jc w:val="center"/>
              <w:rPr>
                <w:rFonts w:ascii="Times New Roman" w:hAnsi="Times New Roman" w:eastAsia="宋体" w:cs="Times New Roman"/>
                <w:b/>
                <w:color w:val="000000"/>
                <w:kern w:val="0"/>
                <w:sz w:val="24"/>
                <w:szCs w:val="21"/>
              </w:rPr>
            </w:pPr>
            <w:r>
              <w:rPr>
                <w:rFonts w:ascii="Times New Roman" w:hAnsi="Times New Roman" w:eastAsia="宋体" w:cs="Times New Roman"/>
                <w:b/>
                <w:color w:val="000000"/>
                <w:kern w:val="0"/>
                <w:sz w:val="24"/>
                <w:szCs w:val="21"/>
              </w:rPr>
              <w:t>表1-</w:t>
            </w:r>
            <w:r>
              <w:rPr>
                <w:rFonts w:hint="eastAsia" w:cs="Times New Roman"/>
                <w:b/>
                <w:color w:val="000000"/>
                <w:kern w:val="0"/>
                <w:sz w:val="24"/>
                <w:szCs w:val="21"/>
                <w:lang w:val="en-US" w:eastAsia="zh-CN"/>
              </w:rPr>
              <w:t>2</w:t>
            </w:r>
            <w:r>
              <w:rPr>
                <w:rFonts w:ascii="Times New Roman" w:hAnsi="Times New Roman" w:eastAsia="宋体" w:cs="Times New Roman"/>
                <w:b/>
                <w:color w:val="000000"/>
                <w:kern w:val="0"/>
                <w:sz w:val="24"/>
                <w:szCs w:val="21"/>
              </w:rPr>
              <w:t>本项目与规划环评审查意见（与项目相关内容）的符合性分析</w:t>
            </w:r>
          </w:p>
          <w:tbl>
            <w:tblPr>
              <w:tblStyle w:val="41"/>
              <w:tblW w:w="732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8"/>
              <w:gridCol w:w="4036"/>
              <w:gridCol w:w="2084"/>
              <w:gridCol w:w="753"/>
            </w:tblGrid>
            <w:tr w14:paraId="331443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05" w:type="pct"/>
                  <w:tcBorders>
                    <w:top w:val="single" w:color="auto" w:sz="4" w:space="0"/>
                    <w:left w:val="single" w:color="auto" w:sz="0" w:space="0"/>
                    <w:tl2br w:val="nil"/>
                    <w:tr2bl w:val="nil"/>
                  </w:tcBorders>
                  <w:noWrap w:val="0"/>
                  <w:vAlign w:val="center"/>
                </w:tcPr>
                <w:p w14:paraId="67E5098E">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序号</w:t>
                  </w:r>
                </w:p>
              </w:tc>
              <w:tc>
                <w:tcPr>
                  <w:tcW w:w="2756" w:type="pct"/>
                  <w:tcBorders>
                    <w:top w:val="single" w:color="auto" w:sz="4" w:space="0"/>
                    <w:tl2br w:val="nil"/>
                    <w:tr2bl w:val="nil"/>
                  </w:tcBorders>
                  <w:noWrap w:val="0"/>
                  <w:vAlign w:val="center"/>
                </w:tcPr>
                <w:p w14:paraId="1E77AB72">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规划环评要求</w:t>
                  </w:r>
                </w:p>
              </w:tc>
              <w:tc>
                <w:tcPr>
                  <w:tcW w:w="1423" w:type="pct"/>
                  <w:tcBorders>
                    <w:top w:val="single" w:color="auto" w:sz="4" w:space="0"/>
                    <w:tl2br w:val="nil"/>
                    <w:tr2bl w:val="nil"/>
                  </w:tcBorders>
                  <w:noWrap w:val="0"/>
                  <w:vAlign w:val="center"/>
                </w:tcPr>
                <w:p w14:paraId="18342C01">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本项目情况</w:t>
                  </w:r>
                </w:p>
              </w:tc>
              <w:tc>
                <w:tcPr>
                  <w:tcW w:w="514" w:type="pct"/>
                  <w:tcBorders>
                    <w:top w:val="single" w:color="auto" w:sz="4" w:space="0"/>
                    <w:right w:val="single" w:color="auto" w:sz="4" w:space="0"/>
                    <w:tl2br w:val="nil"/>
                    <w:tr2bl w:val="nil"/>
                  </w:tcBorders>
                  <w:noWrap w:val="0"/>
                  <w:vAlign w:val="center"/>
                </w:tcPr>
                <w:p w14:paraId="3C0F2CAF">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相符性</w:t>
                  </w:r>
                </w:p>
              </w:tc>
            </w:tr>
            <w:tr w14:paraId="1C6F9D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tl2br w:val="nil"/>
                    <w:tr2bl w:val="nil"/>
                  </w:tcBorders>
                  <w:noWrap w:val="0"/>
                  <w:vAlign w:val="center"/>
                </w:tcPr>
                <w:p w14:paraId="57CE9805">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1</w:t>
                  </w:r>
                </w:p>
              </w:tc>
              <w:tc>
                <w:tcPr>
                  <w:tcW w:w="2756" w:type="pct"/>
                  <w:tcBorders>
                    <w:tl2br w:val="nil"/>
                    <w:tr2bl w:val="nil"/>
                  </w:tcBorders>
                  <w:noWrap w:val="0"/>
                  <w:vAlign w:val="center"/>
                </w:tcPr>
                <w:p w14:paraId="27C1A2B5">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（一）坚持生态优先、绿色发展理念，加强规划引领。园区总体规划应做好与自治区、鄂尔多斯市国土空间总体规划及</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三线一单</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的协调衔接，并要与当地其</w:t>
                  </w:r>
                  <w:r>
                    <w:rPr>
                      <w:rFonts w:hint="eastAsia" w:ascii="Times New Roman" w:hAnsi="Times New Roman" w:eastAsia="宋体" w:cs="Times New Roman"/>
                      <w:color w:val="000000"/>
                      <w:kern w:val="0"/>
                      <w:sz w:val="21"/>
                      <w:szCs w:val="21"/>
                    </w:rPr>
                    <w:t>他</w:t>
                  </w:r>
                  <w:r>
                    <w:rPr>
                      <w:rFonts w:ascii="Times New Roman" w:hAnsi="Times New Roman" w:eastAsia="宋体" w:cs="Times New Roman"/>
                      <w:color w:val="000000"/>
                      <w:kern w:val="0"/>
                      <w:sz w:val="21"/>
                      <w:szCs w:val="21"/>
                    </w:rPr>
                    <w:t>专项规划相协调。按照《内蒙古自治区人民政府关于促进工业园区高质量发展的若干意见》</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内政发</w:t>
                  </w:r>
                  <w:r>
                    <w:rPr>
                      <w:rFonts w:hint="eastAsia" w:ascii="Times New Roman" w:hAnsi="Times New Roman" w:eastAsia="宋体" w:cs="Times New Roman"/>
                      <w:color w:val="000000"/>
                      <w:kern w:val="0"/>
                      <w:sz w:val="21"/>
                      <w:szCs w:val="21"/>
                    </w:rPr>
                    <w:t>〔2019〕21号）</w:t>
                  </w:r>
                  <w:r>
                    <w:rPr>
                      <w:rFonts w:ascii="Times New Roman" w:hAnsi="Times New Roman" w:eastAsia="宋体" w:cs="Times New Roman"/>
                      <w:color w:val="000000"/>
                      <w:kern w:val="0"/>
                      <w:sz w:val="21"/>
                      <w:szCs w:val="21"/>
                    </w:rPr>
                    <w:t>、《内蒙古自治区人民政府办公厅关于进一步加强全区自治区级及以上工业园区环境保护工作的通知》（内政办发〔2018〕88号）及自治区、鄂尔多斯市</w:t>
                  </w:r>
                  <w:r>
                    <w:rPr>
                      <w:rFonts w:hint="eastAsia" w:ascii="Times New Roman" w:hAnsi="Times New Roman" w:eastAsia="宋体" w:cs="Times New Roman"/>
                      <w:color w:val="000000"/>
                      <w:kern w:val="0"/>
                      <w:sz w:val="21"/>
                      <w:szCs w:val="21"/>
                    </w:rPr>
                    <w:t>按照</w:t>
                  </w:r>
                  <w:r>
                    <w:rPr>
                      <w:rFonts w:ascii="Times New Roman" w:hAnsi="Times New Roman" w:eastAsia="宋体" w:cs="Times New Roman"/>
                      <w:color w:val="000000"/>
                      <w:kern w:val="0"/>
                      <w:sz w:val="21"/>
                      <w:szCs w:val="21"/>
                    </w:rPr>
                    <w:t>国民经济和社会发展第十四个五年规划和2035年远景目标纲要等要求，指导园区建设。</w:t>
                  </w:r>
                </w:p>
              </w:tc>
              <w:tc>
                <w:tcPr>
                  <w:tcW w:w="1423" w:type="pct"/>
                  <w:tcBorders>
                    <w:tl2br w:val="nil"/>
                    <w:tr2bl w:val="nil"/>
                  </w:tcBorders>
                  <w:noWrap w:val="0"/>
                  <w:vAlign w:val="center"/>
                </w:tcPr>
                <w:p w14:paraId="7E21195E">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hint="eastAsia" w:ascii="Times New Roman" w:hAnsi="Times New Roman" w:eastAsia="宋体" w:cs="Times New Roman"/>
                      <w:color w:val="000000"/>
                      <w:kern w:val="0"/>
                      <w:sz w:val="21"/>
                      <w:szCs w:val="21"/>
                      <w:lang w:val="en-US" w:eastAsia="zh-CN"/>
                    </w:rPr>
                    <w:t>不涉及</w:t>
                  </w:r>
                </w:p>
              </w:tc>
              <w:tc>
                <w:tcPr>
                  <w:tcW w:w="514" w:type="pct"/>
                  <w:tcBorders>
                    <w:right w:val="single" w:color="auto" w:sz="4" w:space="0"/>
                    <w:tl2br w:val="nil"/>
                    <w:tr2bl w:val="nil"/>
                  </w:tcBorders>
                  <w:noWrap w:val="0"/>
                  <w:vAlign w:val="center"/>
                </w:tcPr>
                <w:p w14:paraId="690F66FA">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w:t>
                  </w:r>
                </w:p>
              </w:tc>
            </w:tr>
            <w:tr w14:paraId="689C22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tl2br w:val="nil"/>
                    <w:tr2bl w:val="nil"/>
                  </w:tcBorders>
                  <w:noWrap w:val="0"/>
                  <w:vAlign w:val="center"/>
                </w:tcPr>
                <w:p w14:paraId="28078029">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2</w:t>
                  </w:r>
                </w:p>
              </w:tc>
              <w:tc>
                <w:tcPr>
                  <w:tcW w:w="2756" w:type="pct"/>
                  <w:tcBorders>
                    <w:tl2br w:val="nil"/>
                    <w:tr2bl w:val="nil"/>
                  </w:tcBorders>
                  <w:noWrap w:val="0"/>
                  <w:vAlign w:val="center"/>
                </w:tcPr>
                <w:p w14:paraId="77F7E8CA">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（二）严格生态环境准入，推动高质量发展。园区应结合区域资源禀赋、生态敏感特征、生态功能保护、自治区及鄂尔多斯市</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十四五</w:t>
                  </w:r>
                  <w:r>
                    <w:rPr>
                      <w:rFonts w:hint="eastAsia" w:cs="Times New Roman"/>
                      <w:color w:val="000000"/>
                      <w:kern w:val="0"/>
                      <w:sz w:val="21"/>
                      <w:szCs w:val="21"/>
                      <w:lang w:eastAsia="zh-CN"/>
                    </w:rPr>
                    <w:t>”</w:t>
                  </w:r>
                  <w:r>
                    <w:rPr>
                      <w:rFonts w:hint="eastAsia" w:ascii="Times New Roman" w:hAnsi="Times New Roman" w:eastAsia="宋体" w:cs="Times New Roman"/>
                      <w:color w:val="000000"/>
                      <w:kern w:val="0"/>
                      <w:sz w:val="21"/>
                      <w:szCs w:val="21"/>
                    </w:rPr>
                    <w:t>规划</w:t>
                  </w:r>
                  <w:r>
                    <w:rPr>
                      <w:rFonts w:ascii="Times New Roman" w:hAnsi="Times New Roman" w:eastAsia="宋体" w:cs="Times New Roman"/>
                      <w:color w:val="000000"/>
                      <w:kern w:val="0"/>
                      <w:sz w:val="21"/>
                      <w:szCs w:val="21"/>
                    </w:rPr>
                    <w:t>能耗双控、区域及行业碳达峰目标约束等要求。坚持循环经济和资源高效利用理念，严格按照《</w:t>
                  </w:r>
                  <w:r>
                    <w:rPr>
                      <w:rFonts w:hint="eastAsia" w:cs="Times New Roman"/>
                      <w:color w:val="000000"/>
                      <w:kern w:val="0"/>
                      <w:sz w:val="21"/>
                      <w:szCs w:val="21"/>
                      <w:lang w:eastAsia="zh-CN"/>
                    </w:rPr>
                    <w:t>内蒙古</w:t>
                  </w:r>
                  <w:r>
                    <w:rPr>
                      <w:rFonts w:ascii="Times New Roman" w:hAnsi="Times New Roman" w:eastAsia="宋体" w:cs="Times New Roman"/>
                      <w:color w:val="000000"/>
                      <w:kern w:val="0"/>
                      <w:sz w:val="21"/>
                      <w:szCs w:val="21"/>
                    </w:rPr>
                    <w:t>自治区开发区审核公告目录》、产业政策、</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三线一单</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生态环境</w:t>
                  </w:r>
                  <w:r>
                    <w:rPr>
                      <w:rFonts w:hint="eastAsia" w:ascii="Times New Roman" w:hAnsi="Times New Roman" w:eastAsia="宋体" w:cs="Times New Roman"/>
                      <w:color w:val="000000"/>
                      <w:kern w:val="0"/>
                      <w:sz w:val="21"/>
                      <w:szCs w:val="21"/>
                    </w:rPr>
                    <w:t>分</w:t>
                  </w:r>
                  <w:r>
                    <w:rPr>
                      <w:rFonts w:ascii="Times New Roman" w:hAnsi="Times New Roman" w:eastAsia="宋体" w:cs="Times New Roman"/>
                      <w:color w:val="000000"/>
                      <w:kern w:val="0"/>
                      <w:sz w:val="21"/>
                      <w:szCs w:val="21"/>
                    </w:rPr>
                    <w:t>区管控、园区总体规划等要求</w:t>
                  </w:r>
                  <w:r>
                    <w:rPr>
                      <w:rFonts w:hint="eastAsia" w:ascii="Times New Roman" w:hAnsi="Times New Roman" w:eastAsia="宋体" w:cs="Times New Roman"/>
                      <w:color w:val="000000"/>
                      <w:kern w:val="0"/>
                      <w:sz w:val="21"/>
                      <w:szCs w:val="21"/>
                    </w:rPr>
                    <w:t>及</w:t>
                  </w:r>
                  <w:r>
                    <w:rPr>
                      <w:rFonts w:ascii="Times New Roman" w:hAnsi="Times New Roman" w:eastAsia="宋体" w:cs="Times New Roman"/>
                      <w:color w:val="000000"/>
                      <w:kern w:val="0"/>
                      <w:sz w:val="21"/>
                      <w:szCs w:val="21"/>
                    </w:rPr>
                    <w:t>《报告书》产业发展推荐方案管理新入园项目，不得引进污染物排放量大、环境风险高的非主导产业项目。严控</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两高</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项目及生产工艺，确需建设的，应全面执行国家和自治区关于</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两高</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项目准入的各项规定。全面落实</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四水四定</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要求，充分利用当地矿井水、中水、农田灌溉退水等非常规水资源，最大程度减少生产用新鲜水取水量，审慎引进高耗水行业。</w:t>
                  </w:r>
                </w:p>
              </w:tc>
              <w:tc>
                <w:tcPr>
                  <w:tcW w:w="1423" w:type="pct"/>
                  <w:tcBorders>
                    <w:tl2br w:val="nil"/>
                    <w:tr2bl w:val="nil"/>
                  </w:tcBorders>
                  <w:noWrap w:val="0"/>
                  <w:vAlign w:val="center"/>
                </w:tcPr>
                <w:p w14:paraId="4409F2CE">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ascii="Times New Roman" w:hAnsi="Times New Roman" w:eastAsia="宋体" w:cs="Times New Roman"/>
                      <w:color w:val="000000"/>
                      <w:kern w:val="0"/>
                      <w:sz w:val="21"/>
                      <w:szCs w:val="21"/>
                    </w:rPr>
                    <w:t>本项目</w:t>
                  </w:r>
                  <w:r>
                    <w:rPr>
                      <w:rFonts w:hint="eastAsia" w:ascii="Times New Roman" w:hAnsi="Times New Roman" w:eastAsia="宋体" w:cs="Times New Roman"/>
                      <w:color w:val="000000"/>
                      <w:kern w:val="0"/>
                      <w:sz w:val="21"/>
                      <w:szCs w:val="21"/>
                      <w:lang w:val="en-US" w:eastAsia="zh-CN"/>
                    </w:rPr>
                    <w:t>符合</w:t>
                  </w:r>
                  <w:r>
                    <w:rPr>
                      <w:rFonts w:ascii="Times New Roman" w:hAnsi="Times New Roman" w:eastAsia="宋体" w:cs="Times New Roman"/>
                      <w:color w:val="000000"/>
                      <w:kern w:val="0"/>
                      <w:sz w:val="21"/>
                      <w:szCs w:val="21"/>
                    </w:rPr>
                    <w:t>产业政策、生态环境</w:t>
                  </w:r>
                  <w:r>
                    <w:rPr>
                      <w:rFonts w:hint="eastAsia" w:ascii="Times New Roman" w:hAnsi="Times New Roman" w:eastAsia="宋体" w:cs="Times New Roman"/>
                      <w:color w:val="000000"/>
                      <w:kern w:val="0"/>
                      <w:sz w:val="21"/>
                      <w:szCs w:val="21"/>
                    </w:rPr>
                    <w:t>分</w:t>
                  </w:r>
                  <w:r>
                    <w:rPr>
                      <w:rFonts w:ascii="Times New Roman" w:hAnsi="Times New Roman" w:eastAsia="宋体" w:cs="Times New Roman"/>
                      <w:color w:val="000000"/>
                      <w:kern w:val="0"/>
                      <w:sz w:val="21"/>
                      <w:szCs w:val="21"/>
                    </w:rPr>
                    <w:t>区管控、园区总体规划等要求</w:t>
                  </w:r>
                  <w:r>
                    <w:rPr>
                      <w:rFonts w:hint="eastAsia" w:ascii="Times New Roman" w:hAnsi="Times New Roman" w:eastAsia="宋体" w:cs="Times New Roman"/>
                      <w:color w:val="000000"/>
                      <w:kern w:val="0"/>
                      <w:sz w:val="21"/>
                      <w:szCs w:val="21"/>
                      <w:lang w:eastAsia="zh-CN"/>
                    </w:rPr>
                    <w:t>，</w:t>
                  </w:r>
                  <w:r>
                    <w:rPr>
                      <w:rFonts w:ascii="Times New Roman" w:hAnsi="Times New Roman" w:eastAsia="宋体" w:cs="Times New Roman"/>
                      <w:color w:val="000000"/>
                      <w:kern w:val="0"/>
                      <w:sz w:val="21"/>
                      <w:szCs w:val="21"/>
                    </w:rPr>
                    <w:t>不属于</w:t>
                  </w:r>
                  <w:r>
                    <w:rPr>
                      <w:rFonts w:hint="eastAsia"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两高</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项目</w:t>
                  </w:r>
                  <w:r>
                    <w:rPr>
                      <w:rFonts w:hint="eastAsia" w:ascii="Times New Roman" w:hAnsi="Times New Roman" w:eastAsia="宋体"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本项目新增用水量</w:t>
                  </w:r>
                  <w:r>
                    <w:rPr>
                      <w:rFonts w:ascii="Times New Roman" w:hAnsi="Times New Roman" w:eastAsia="宋体" w:cs="Times New Roman"/>
                      <w:color w:val="000000"/>
                      <w:kern w:val="0"/>
                      <w:sz w:val="21"/>
                      <w:szCs w:val="21"/>
                    </w:rPr>
                    <w:t>较少</w:t>
                  </w:r>
                  <w:r>
                    <w:rPr>
                      <w:rFonts w:hint="eastAsia" w:ascii="Times New Roman" w:hAnsi="Times New Roman" w:eastAsia="宋体" w:cs="Times New Roman"/>
                      <w:color w:val="000000"/>
                      <w:kern w:val="0"/>
                      <w:sz w:val="21"/>
                      <w:szCs w:val="21"/>
                      <w:lang w:val="en-US" w:eastAsia="zh-CN"/>
                    </w:rPr>
                    <w:t>且污染物排放量较小</w:t>
                  </w:r>
                  <w:r>
                    <w:rPr>
                      <w:rFonts w:hint="eastAsia" w:ascii="Times New Roman" w:hAnsi="Times New Roman" w:eastAsia="宋体" w:cs="Times New Roman"/>
                      <w:color w:val="000000"/>
                      <w:kern w:val="0"/>
                      <w:sz w:val="21"/>
                      <w:szCs w:val="21"/>
                      <w:lang w:eastAsia="zh-CN"/>
                    </w:rPr>
                    <w:t>。</w:t>
                  </w:r>
                </w:p>
              </w:tc>
              <w:tc>
                <w:tcPr>
                  <w:tcW w:w="514" w:type="pct"/>
                  <w:tcBorders>
                    <w:right w:val="single" w:color="auto" w:sz="4" w:space="0"/>
                    <w:tl2br w:val="nil"/>
                    <w:tr2bl w:val="nil"/>
                  </w:tcBorders>
                  <w:noWrap w:val="0"/>
                  <w:vAlign w:val="center"/>
                </w:tcPr>
                <w:p w14:paraId="60C3F4E8">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2F6FA8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tl2br w:val="nil"/>
                    <w:tr2bl w:val="nil"/>
                  </w:tcBorders>
                  <w:noWrap w:val="0"/>
                  <w:vAlign w:val="center"/>
                </w:tcPr>
                <w:p w14:paraId="7A6150FD">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3</w:t>
                  </w:r>
                </w:p>
              </w:tc>
              <w:tc>
                <w:tcPr>
                  <w:tcW w:w="2756" w:type="pct"/>
                  <w:tcBorders>
                    <w:tl2br w:val="nil"/>
                    <w:tr2bl w:val="nil"/>
                  </w:tcBorders>
                  <w:noWrap w:val="0"/>
                  <w:vAlign w:val="center"/>
                </w:tcPr>
                <w:p w14:paraId="0B8B8C64">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（三）严格空间管控，优化产业布局。园区</w:t>
                  </w:r>
                  <w:r>
                    <w:rPr>
                      <w:rFonts w:hint="eastAsia" w:ascii="Times New Roman" w:hAnsi="Times New Roman" w:eastAsia="宋体" w:cs="Times New Roman"/>
                      <w:color w:val="000000"/>
                      <w:kern w:val="0"/>
                      <w:sz w:val="21"/>
                      <w:szCs w:val="21"/>
                    </w:rPr>
                    <w:t>与邻近</w:t>
                  </w:r>
                  <w:r>
                    <w:rPr>
                      <w:rFonts w:ascii="Times New Roman" w:hAnsi="Times New Roman" w:eastAsia="宋体" w:cs="Times New Roman"/>
                      <w:color w:val="000000"/>
                      <w:kern w:val="0"/>
                      <w:sz w:val="21"/>
                      <w:szCs w:val="21"/>
                    </w:rPr>
                    <w:t>居民区、自然保护区、地表水体等环境敏感区之间设置一定的隔离带，环境风险较高区块应向外设置足够的规划控制区作为空间防护，确保园区产业发展与生态环境、人居环境相协调。食品加工等环境质量要求高的企业周边应设置符合规定的防护区域，现有不符合防护距离要求的企业应限期搬迁改造，配合杭锦旗人民政府及其有关部门做好园区及周边区域的规划控制和优化调整，发现不符合管控要求的相关行为，应及时向杭锦旗人民政府报告。</w:t>
                  </w:r>
                </w:p>
              </w:tc>
              <w:tc>
                <w:tcPr>
                  <w:tcW w:w="1423" w:type="pct"/>
                  <w:tcBorders>
                    <w:tl2br w:val="nil"/>
                    <w:tr2bl w:val="nil"/>
                  </w:tcBorders>
                  <w:noWrap w:val="0"/>
                  <w:vAlign w:val="center"/>
                </w:tcPr>
                <w:p w14:paraId="06976289">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本项目位于园区</w:t>
                  </w:r>
                  <w:r>
                    <w:rPr>
                      <w:rFonts w:hint="eastAsia" w:ascii="Times New Roman" w:hAnsi="Times New Roman" w:eastAsia="宋体" w:cs="Times New Roman"/>
                      <w:color w:val="000000"/>
                      <w:kern w:val="0"/>
                      <w:sz w:val="21"/>
                      <w:szCs w:val="21"/>
                      <w:lang w:val="en-US" w:eastAsia="zh-CN"/>
                    </w:rPr>
                    <w:t>伊泰现有厂区</w:t>
                  </w:r>
                  <w:r>
                    <w:rPr>
                      <w:rFonts w:ascii="Times New Roman" w:hAnsi="Times New Roman" w:eastAsia="宋体" w:cs="Times New Roman"/>
                      <w:color w:val="000000"/>
                      <w:kern w:val="0"/>
                      <w:sz w:val="21"/>
                      <w:szCs w:val="21"/>
                    </w:rPr>
                    <w:t>内，周边</w:t>
                  </w:r>
                  <w:r>
                    <w:rPr>
                      <w:rFonts w:hint="eastAsia" w:ascii="Times New Roman" w:hAnsi="Times New Roman" w:eastAsia="宋体" w:cs="Times New Roman"/>
                      <w:color w:val="000000"/>
                      <w:kern w:val="0"/>
                      <w:sz w:val="21"/>
                      <w:szCs w:val="21"/>
                      <w:lang w:val="en-US" w:eastAsia="zh-CN"/>
                    </w:rPr>
                    <w:t>500m范围内</w:t>
                  </w:r>
                  <w:r>
                    <w:rPr>
                      <w:rFonts w:ascii="Times New Roman" w:hAnsi="Times New Roman" w:eastAsia="宋体" w:cs="Times New Roman"/>
                      <w:color w:val="000000"/>
                      <w:kern w:val="0"/>
                      <w:sz w:val="21"/>
                      <w:szCs w:val="21"/>
                    </w:rPr>
                    <w:t>无环境敏感目标</w:t>
                  </w:r>
                  <w:r>
                    <w:rPr>
                      <w:rFonts w:hint="eastAsia" w:ascii="Times New Roman" w:hAnsi="Times New Roman" w:eastAsia="宋体" w:cs="Times New Roman"/>
                      <w:color w:val="000000"/>
                      <w:kern w:val="0"/>
                      <w:sz w:val="21"/>
                      <w:szCs w:val="21"/>
                      <w:lang w:val="en-US" w:eastAsia="zh-CN"/>
                    </w:rPr>
                    <w:t>和食品加工企业</w:t>
                  </w:r>
                  <w:r>
                    <w:rPr>
                      <w:rFonts w:ascii="Times New Roman" w:hAnsi="Times New Roman" w:eastAsia="宋体" w:cs="Times New Roman"/>
                      <w:color w:val="000000"/>
                      <w:kern w:val="0"/>
                      <w:sz w:val="21"/>
                      <w:szCs w:val="21"/>
                    </w:rPr>
                    <w:t>。</w:t>
                  </w:r>
                </w:p>
              </w:tc>
              <w:tc>
                <w:tcPr>
                  <w:tcW w:w="514" w:type="pct"/>
                  <w:tcBorders>
                    <w:right w:val="single" w:color="auto" w:sz="4" w:space="0"/>
                    <w:tl2br w:val="nil"/>
                    <w:tr2bl w:val="nil"/>
                  </w:tcBorders>
                  <w:noWrap w:val="0"/>
                  <w:vAlign w:val="center"/>
                </w:tcPr>
                <w:p w14:paraId="6F31F36A">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7DB4B2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tl2br w:val="nil"/>
                    <w:tr2bl w:val="nil"/>
                  </w:tcBorders>
                  <w:noWrap w:val="0"/>
                  <w:vAlign w:val="center"/>
                </w:tcPr>
                <w:p w14:paraId="2C61A493">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4</w:t>
                  </w:r>
                </w:p>
              </w:tc>
              <w:tc>
                <w:tcPr>
                  <w:tcW w:w="2756" w:type="pct"/>
                  <w:tcBorders>
                    <w:tl2br w:val="nil"/>
                    <w:tr2bl w:val="nil"/>
                  </w:tcBorders>
                  <w:noWrap w:val="0"/>
                  <w:vAlign w:val="center"/>
                </w:tcPr>
                <w:p w14:paraId="216D2AE6">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（四）严守环境质量底线，强化污染物排放总量管控。根据国家、自治区和鄂尔多斯市关于大气特别是挥发性有机物污染防治相关要求和</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三线一单</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成果，深入挖掘区域内废气污染物减排潜力，落实与区域环境质量改善目标相互匹配的区域削减措施及污染物总量管控制度。积极推进重点行业按照大气污染物超低排放或特别排放限值进行升级改造，持续减少主要污染物、特征污染物有组织和无组织排放量，保障区域环境质量改善。</w:t>
                  </w:r>
                </w:p>
              </w:tc>
              <w:tc>
                <w:tcPr>
                  <w:tcW w:w="1423" w:type="pct"/>
                  <w:tcBorders>
                    <w:tl2br w:val="nil"/>
                    <w:tr2bl w:val="nil"/>
                  </w:tcBorders>
                  <w:noWrap w:val="0"/>
                  <w:vAlign w:val="center"/>
                </w:tcPr>
                <w:p w14:paraId="449CABC9">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ascii="Times New Roman" w:hAnsi="Times New Roman" w:eastAsia="宋体" w:cs="Times New Roman"/>
                      <w:color w:val="000000"/>
                      <w:kern w:val="0"/>
                      <w:sz w:val="21"/>
                      <w:szCs w:val="21"/>
                    </w:rPr>
                    <w:t>本项目</w:t>
                  </w:r>
                  <w:r>
                    <w:rPr>
                      <w:rFonts w:hint="eastAsia" w:ascii="Times New Roman" w:hAnsi="Times New Roman" w:eastAsia="宋体" w:cs="Times New Roman"/>
                      <w:color w:val="000000"/>
                      <w:kern w:val="0"/>
                      <w:sz w:val="21"/>
                      <w:szCs w:val="21"/>
                      <w:lang w:val="en-US" w:eastAsia="zh-CN"/>
                    </w:rPr>
                    <w:t>不会冲击环境质量底线</w:t>
                  </w:r>
                  <w:r>
                    <w:rPr>
                      <w:rFonts w:hint="eastAsia" w:ascii="Times New Roman" w:hAnsi="Times New Roman" w:eastAsia="宋体" w:cs="Times New Roman"/>
                      <w:color w:val="000000"/>
                      <w:kern w:val="0"/>
                      <w:sz w:val="21"/>
                      <w:szCs w:val="21"/>
                      <w:lang w:eastAsia="zh-CN"/>
                    </w:rPr>
                    <w:t>。</w:t>
                  </w:r>
                  <w:r>
                    <w:rPr>
                      <w:rFonts w:hint="eastAsia" w:ascii="Times New Roman" w:hAnsi="Times New Roman" w:eastAsia="宋体" w:cs="Times New Roman"/>
                      <w:color w:val="000000"/>
                      <w:kern w:val="0"/>
                      <w:sz w:val="21"/>
                      <w:szCs w:val="21"/>
                    </w:rPr>
                    <w:t>本项目各塔顶回流罐不凝气</w:t>
                  </w:r>
                  <w:r>
                    <w:rPr>
                      <w:rFonts w:hint="default" w:ascii="Times New Roman" w:hAnsi="Times New Roman" w:eastAsia="宋体" w:cs="Times New Roman"/>
                      <w:color w:val="000000"/>
                      <w:kern w:val="0"/>
                      <w:szCs w:val="21"/>
                      <w:lang w:val="en-US" w:eastAsia="zh-CN"/>
                    </w:rPr>
                    <w:t>经</w:t>
                  </w:r>
                  <w:r>
                    <w:rPr>
                      <w:rFonts w:hint="default" w:ascii="Times New Roman" w:hAnsi="Times New Roman" w:eastAsia="宋体" w:cs="Times New Roman"/>
                      <w:color w:val="000000"/>
                      <w:kern w:val="0"/>
                      <w:szCs w:val="21"/>
                    </w:rPr>
                    <w:t>过</w:t>
                  </w:r>
                  <w:r>
                    <w:rPr>
                      <w:rFonts w:hint="default" w:ascii="Times New Roman" w:hAnsi="Times New Roman" w:eastAsia="宋体" w:cs="Times New Roman"/>
                      <w:color w:val="000000"/>
                      <w:kern w:val="0"/>
                      <w:szCs w:val="21"/>
                      <w:lang w:val="en-US" w:eastAsia="zh-CN"/>
                    </w:rPr>
                    <w:t>合成装置</w:t>
                  </w:r>
                  <w:r>
                    <w:rPr>
                      <w:rFonts w:hint="default" w:ascii="Times New Roman" w:hAnsi="Times New Roman" w:eastAsia="宋体" w:cs="Times New Roman"/>
                      <w:color w:val="000000"/>
                      <w:kern w:val="0"/>
                      <w:szCs w:val="21"/>
                    </w:rPr>
                    <w:t>释放气压缩机分液罐（26121-V018）分液后进入释放气压缩机（26121-C002A/B），释放气经四级压缩后送至下游的尾气脱碳单元进行处理。一、二、三、四级压缩凝液送至油水分离器（26111-V012）。</w:t>
                  </w:r>
                  <w:r>
                    <w:rPr>
                      <w:rFonts w:hint="default" w:ascii="Times New Roman" w:hAnsi="Times New Roman" w:eastAsia="宋体" w:cs="Times New Roman"/>
                      <w:color w:val="000000"/>
                      <w:kern w:val="0"/>
                      <w:szCs w:val="21"/>
                      <w:lang w:val="en-US" w:eastAsia="zh-CN"/>
                    </w:rPr>
                    <w:t>尾气脱碳单元一部分气体进入合</w:t>
                  </w:r>
                  <w:r>
                    <w:rPr>
                      <w:rFonts w:hint="eastAsia" w:cs="Times New Roman"/>
                      <w:color w:val="000000"/>
                      <w:kern w:val="0"/>
                      <w:szCs w:val="21"/>
                      <w:lang w:val="en-US" w:eastAsia="zh-CN"/>
                    </w:rPr>
                    <w:t>成装置产出产品，另一部分气体进入加工油洗单元</w:t>
                  </w:r>
                  <w:r>
                    <w:rPr>
                      <w:rFonts w:hint="default" w:ascii="Times New Roman" w:hAnsi="Times New Roman" w:eastAsia="宋体" w:cs="Times New Roman"/>
                      <w:color w:val="000000"/>
                      <w:kern w:val="0"/>
                      <w:szCs w:val="21"/>
                      <w:lang w:val="en-US" w:eastAsia="zh-CN"/>
                    </w:rPr>
                    <w:t>产出产品</w:t>
                  </w:r>
                  <w:r>
                    <w:rPr>
                      <w:rFonts w:hint="eastAsia" w:ascii="Times New Roman" w:hAnsi="Times New Roman" w:eastAsia="宋体" w:cs="Times New Roman"/>
                      <w:color w:val="000000"/>
                      <w:kern w:val="0"/>
                      <w:sz w:val="21"/>
                      <w:szCs w:val="21"/>
                    </w:rPr>
                    <w:t>；工艺装置采用密封性良好的设备和管件，加强设备的生产运行和维护、维修管理，严格监控装置动、静密封点物料泄漏，加强操作人员岗位巡查制度，发现泄漏及时消除</w:t>
                  </w:r>
                  <w:r>
                    <w:rPr>
                      <w:rFonts w:hint="eastAsia" w:ascii="Times New Roman" w:hAnsi="Times New Roman" w:eastAsia="宋体" w:cs="Times New Roman"/>
                      <w:color w:val="000000"/>
                      <w:kern w:val="0"/>
                      <w:sz w:val="21"/>
                      <w:szCs w:val="21"/>
                      <w:lang w:eastAsia="zh-CN"/>
                    </w:rPr>
                    <w:t>。</w:t>
                  </w:r>
                </w:p>
              </w:tc>
              <w:tc>
                <w:tcPr>
                  <w:tcW w:w="514" w:type="pct"/>
                  <w:tcBorders>
                    <w:right w:val="single" w:color="auto" w:sz="4" w:space="0"/>
                    <w:tl2br w:val="nil"/>
                    <w:tr2bl w:val="nil"/>
                  </w:tcBorders>
                  <w:noWrap w:val="0"/>
                  <w:vAlign w:val="center"/>
                </w:tcPr>
                <w:p w14:paraId="1E0B4AAE">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7AC24D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tl2br w:val="nil"/>
                    <w:tr2bl w:val="nil"/>
                  </w:tcBorders>
                  <w:noWrap w:val="0"/>
                  <w:vAlign w:val="center"/>
                </w:tcPr>
                <w:p w14:paraId="6B73FB6C">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5</w:t>
                  </w:r>
                </w:p>
              </w:tc>
              <w:tc>
                <w:tcPr>
                  <w:tcW w:w="2756" w:type="pct"/>
                  <w:tcBorders>
                    <w:tl2br w:val="nil"/>
                    <w:tr2bl w:val="nil"/>
                  </w:tcBorders>
                  <w:noWrap w:val="0"/>
                  <w:vAlign w:val="center"/>
                </w:tcPr>
                <w:p w14:paraId="70FF18BA">
                  <w:pPr>
                    <w:keepNext w:val="0"/>
                    <w:keepLines w:val="0"/>
                    <w:pageBreakBefore w:val="0"/>
                    <w:widowControl w:val="0"/>
                    <w:kinsoku/>
                    <w:wordWrap w:val="0"/>
                    <w:overflowPunct/>
                    <w:topLinePunct w:val="0"/>
                    <w:autoSpaceDE w:val="0"/>
                    <w:autoSpaceDN w:val="0"/>
                    <w:bidi w:val="0"/>
                    <w:adjustRightIn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五）加强环境基础设施建设，推进污染集中治理，强化企业生产废水预处理，合理规划园区污水集中处理设施及配套管网，采用成熟可靠的废水处理工艺，实现园区内生产废水全部纳管收集、妥善处理和达标回用。建设</w:t>
                  </w:r>
                  <w:r>
                    <w:rPr>
                      <w:rFonts w:hint="eastAsia" w:ascii="Times New Roman" w:hAnsi="Times New Roman" w:eastAsia="宋体" w:cs="Times New Roman"/>
                      <w:color w:val="000000"/>
                      <w:kern w:val="0"/>
                      <w:sz w:val="21"/>
                      <w:szCs w:val="21"/>
                    </w:rPr>
                    <w:t>具有</w:t>
                  </w:r>
                  <w:r>
                    <w:rPr>
                      <w:rFonts w:ascii="Times New Roman" w:hAnsi="Times New Roman" w:eastAsia="宋体" w:cs="Times New Roman"/>
                      <w:color w:val="000000"/>
                      <w:kern w:val="0"/>
                      <w:sz w:val="21"/>
                      <w:szCs w:val="21"/>
                    </w:rPr>
                    <w:t>足够处理能力的园区高盐水处理工程。2023年底前完成晾晒池存水治理，2024年底前完成晾晒场改建为园区事故水池相关工作。充分利用集中供热或清洁能源实现供热、供汽，园区内原则上</w:t>
                  </w:r>
                  <w:r>
                    <w:rPr>
                      <w:rFonts w:hint="eastAsia" w:ascii="Times New Roman" w:hAnsi="Times New Roman" w:eastAsia="宋体" w:cs="Times New Roman"/>
                      <w:color w:val="000000"/>
                      <w:kern w:val="0"/>
                      <w:sz w:val="21"/>
                      <w:szCs w:val="21"/>
                    </w:rPr>
                    <w:t>不再</w:t>
                  </w:r>
                  <w:r>
                    <w:rPr>
                      <w:rFonts w:ascii="Times New Roman" w:hAnsi="Times New Roman" w:eastAsia="宋体" w:cs="Times New Roman"/>
                      <w:color w:val="000000"/>
                      <w:kern w:val="0"/>
                      <w:sz w:val="21"/>
                      <w:szCs w:val="21"/>
                    </w:rPr>
                    <w:t>新增企业分散热源。强化企业的危险废物</w:t>
                  </w:r>
                  <w:r>
                    <w:rPr>
                      <w:rFonts w:hint="eastAsia" w:cs="Times New Roman"/>
                      <w:color w:val="000000"/>
                      <w:kern w:val="0"/>
                      <w:sz w:val="21"/>
                      <w:szCs w:val="21"/>
                      <w:lang w:eastAsia="zh-CN"/>
                    </w:rPr>
                    <w:t>监管</w:t>
                  </w:r>
                  <w:r>
                    <w:rPr>
                      <w:rFonts w:ascii="Times New Roman" w:hAnsi="Times New Roman" w:eastAsia="宋体" w:cs="Times New Roman"/>
                      <w:color w:val="000000"/>
                      <w:kern w:val="0"/>
                      <w:sz w:val="21"/>
                      <w:szCs w:val="21"/>
                    </w:rPr>
                    <w:t>主体责任，对园区各类危险废物实施严格监管和严密监控。优化固体废物、危险废物处置方式，积极拓展资源化利用途径，提高综合利用率，规范建设固体废物贮存场及填埋场并严格管理。推进大宗货物及其他货物</w:t>
                  </w:r>
                  <w:r>
                    <w:rPr>
                      <w:rFonts w:hint="eastAsia" w:ascii="Times New Roman" w:hAnsi="Times New Roman" w:eastAsia="宋体" w:cs="Times New Roman"/>
                      <w:color w:val="000000"/>
                      <w:kern w:val="0"/>
                      <w:sz w:val="21"/>
                      <w:szCs w:val="21"/>
                    </w:rPr>
                    <w:t>通过</w:t>
                  </w:r>
                  <w:r>
                    <w:rPr>
                      <w:rFonts w:ascii="Times New Roman" w:hAnsi="Times New Roman" w:eastAsia="宋体" w:cs="Times New Roman"/>
                      <w:color w:val="000000"/>
                      <w:kern w:val="0"/>
                      <w:sz w:val="21"/>
                      <w:szCs w:val="21"/>
                    </w:rPr>
                    <w:t>公路运输</w:t>
                  </w:r>
                  <w:r>
                    <w:rPr>
                      <w:rFonts w:hint="eastAsia" w:ascii="Times New Roman" w:hAnsi="Times New Roman" w:eastAsia="宋体" w:cs="Times New Roman"/>
                      <w:color w:val="000000"/>
                      <w:kern w:val="0"/>
                      <w:sz w:val="21"/>
                      <w:szCs w:val="21"/>
                    </w:rPr>
                    <w:t>和</w:t>
                  </w:r>
                  <w:r>
                    <w:rPr>
                      <w:rFonts w:ascii="Times New Roman" w:hAnsi="Times New Roman" w:eastAsia="宋体" w:cs="Times New Roman"/>
                      <w:color w:val="000000"/>
                      <w:kern w:val="0"/>
                      <w:sz w:val="21"/>
                      <w:szCs w:val="21"/>
                    </w:rPr>
                    <w:t>铁路运输，园区内及周边中短途汽车运输</w:t>
                  </w:r>
                  <w:r>
                    <w:rPr>
                      <w:rFonts w:hint="eastAsia" w:ascii="Times New Roman" w:hAnsi="Times New Roman" w:eastAsia="宋体" w:cs="Times New Roman"/>
                      <w:color w:val="000000"/>
                      <w:kern w:val="0"/>
                      <w:sz w:val="21"/>
                      <w:szCs w:val="21"/>
                    </w:rPr>
                    <w:t>优先</w:t>
                  </w:r>
                  <w:r>
                    <w:rPr>
                      <w:rFonts w:ascii="Times New Roman" w:hAnsi="Times New Roman" w:eastAsia="宋体" w:cs="Times New Roman"/>
                      <w:color w:val="000000"/>
                      <w:kern w:val="0"/>
                      <w:sz w:val="21"/>
                      <w:szCs w:val="21"/>
                    </w:rPr>
                    <w:t>采用新能源汽车。</w:t>
                  </w:r>
                </w:p>
              </w:tc>
              <w:tc>
                <w:tcPr>
                  <w:tcW w:w="1423" w:type="pct"/>
                  <w:tcBorders>
                    <w:tl2br w:val="nil"/>
                    <w:tr2bl w:val="nil"/>
                  </w:tcBorders>
                  <w:noWrap w:val="0"/>
                  <w:vAlign w:val="center"/>
                </w:tcPr>
                <w:p w14:paraId="6B864A46">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ascii="Times New Roman" w:hAnsi="Times New Roman" w:eastAsia="宋体" w:cs="Times New Roman"/>
                      <w:color w:val="000000"/>
                      <w:kern w:val="0"/>
                      <w:sz w:val="21"/>
                      <w:szCs w:val="21"/>
                    </w:rPr>
                    <w:t>本项目固体废物均采取有效措施，其中</w:t>
                  </w:r>
                  <w:r>
                    <w:rPr>
                      <w:rFonts w:hint="eastAsia" w:ascii="Times New Roman" w:hAnsi="Times New Roman" w:eastAsia="宋体" w:cs="Times New Roman"/>
                      <w:color w:val="000000"/>
                      <w:kern w:val="0"/>
                      <w:sz w:val="21"/>
                      <w:szCs w:val="21"/>
                      <w:lang w:val="en-US" w:eastAsia="zh-CN"/>
                    </w:rPr>
                    <w:t>废机油收集后暂存于现有危废库，委托有资质单位处置；本项目不建设分散热源；废水不外排</w:t>
                  </w:r>
                  <w:r>
                    <w:rPr>
                      <w:rFonts w:hint="eastAsia" w:ascii="Times New Roman" w:hAnsi="Times New Roman" w:eastAsia="宋体" w:cs="Times New Roman"/>
                      <w:bCs/>
                      <w:kern w:val="0"/>
                      <w:sz w:val="21"/>
                      <w:szCs w:val="21"/>
                      <w:lang w:eastAsia="zh-CN"/>
                    </w:rPr>
                    <w:t>。</w:t>
                  </w:r>
                </w:p>
              </w:tc>
              <w:tc>
                <w:tcPr>
                  <w:tcW w:w="514" w:type="pct"/>
                  <w:tcBorders>
                    <w:right w:val="single" w:color="auto" w:sz="4" w:space="0"/>
                    <w:tl2br w:val="nil"/>
                    <w:tr2bl w:val="nil"/>
                  </w:tcBorders>
                  <w:noWrap w:val="0"/>
                  <w:vAlign w:val="center"/>
                </w:tcPr>
                <w:p w14:paraId="59DCF9FB">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51D79B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tl2br w:val="nil"/>
                    <w:tr2bl w:val="nil"/>
                  </w:tcBorders>
                  <w:noWrap w:val="0"/>
                  <w:vAlign w:val="center"/>
                </w:tcPr>
                <w:p w14:paraId="4985B8CF">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6</w:t>
                  </w:r>
                </w:p>
              </w:tc>
              <w:tc>
                <w:tcPr>
                  <w:tcW w:w="2756" w:type="pct"/>
                  <w:tcBorders>
                    <w:tl2br w:val="nil"/>
                    <w:tr2bl w:val="nil"/>
                  </w:tcBorders>
                  <w:noWrap w:val="0"/>
                  <w:vAlign w:val="center"/>
                </w:tcPr>
                <w:p w14:paraId="308BFB5C">
                  <w:pPr>
                    <w:keepNext w:val="0"/>
                    <w:keepLines w:val="0"/>
                    <w:pageBreakBefore w:val="0"/>
                    <w:widowControl w:val="0"/>
                    <w:kinsoku/>
                    <w:wordWrap w:val="0"/>
                    <w:overflowPunct/>
                    <w:topLinePunct w:val="0"/>
                    <w:autoSpaceDE w:val="0"/>
                    <w:autoSpaceDN w:val="0"/>
                    <w:bidi w:val="0"/>
                    <w:adjustRightIn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（六）强化源头防控</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有效加强突发环境事件应急处置能力建设</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建立完善的风险防控和应急监测体系，强化应急演练和应急物资储备，不断提升应急响应能力，保障区域生态环境安全。入园企业按要求设置事故水池，并与园区事故水池联通形成综合调控系统，确保任何情况下园区事故废水不进入外环境。</w:t>
                  </w:r>
                </w:p>
              </w:tc>
              <w:tc>
                <w:tcPr>
                  <w:tcW w:w="1423" w:type="pct"/>
                  <w:tcBorders>
                    <w:tl2br w:val="nil"/>
                    <w:tr2bl w:val="nil"/>
                  </w:tcBorders>
                  <w:noWrap w:val="0"/>
                  <w:vAlign w:val="center"/>
                </w:tcPr>
                <w:p w14:paraId="164D238A">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ascii="Times New Roman" w:hAnsi="Times New Roman" w:eastAsia="宋体" w:cs="Times New Roman"/>
                      <w:color w:val="000000"/>
                      <w:kern w:val="0"/>
                      <w:sz w:val="21"/>
                      <w:szCs w:val="21"/>
                    </w:rPr>
                    <w:t>本项目事故水池及消防水池</w:t>
                  </w:r>
                  <w:r>
                    <w:rPr>
                      <w:rFonts w:hint="eastAsia" w:ascii="Times New Roman" w:hAnsi="Times New Roman" w:eastAsia="宋体" w:cs="Times New Roman"/>
                      <w:color w:val="000000"/>
                      <w:kern w:val="0"/>
                      <w:sz w:val="21"/>
                      <w:szCs w:val="21"/>
                    </w:rPr>
                    <w:t>均依托现有</w:t>
                  </w:r>
                  <w:r>
                    <w:rPr>
                      <w:rFonts w:hint="eastAsia" w:ascii="Times New Roman" w:hAnsi="Times New Roman" w:eastAsia="宋体"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项目建成后，</w:t>
                  </w:r>
                  <w:r>
                    <w:rPr>
                      <w:rFonts w:hint="eastAsia" w:ascii="Times New Roman" w:hAnsi="Times New Roman" w:eastAsia="宋体" w:cs="Times New Roman"/>
                      <w:color w:val="000000"/>
                      <w:kern w:val="0"/>
                      <w:sz w:val="21"/>
                      <w:szCs w:val="21"/>
                    </w:rPr>
                    <w:t>按照要求</w:t>
                  </w:r>
                  <w:r>
                    <w:rPr>
                      <w:rFonts w:hint="eastAsia" w:ascii="Times New Roman" w:hAnsi="Times New Roman" w:eastAsia="宋体" w:cs="Times New Roman"/>
                      <w:color w:val="000000"/>
                      <w:kern w:val="0"/>
                      <w:sz w:val="21"/>
                      <w:szCs w:val="21"/>
                      <w:lang w:val="en-US" w:eastAsia="zh-CN"/>
                    </w:rPr>
                    <w:t>修编厂区</w:t>
                  </w:r>
                  <w:r>
                    <w:rPr>
                      <w:rFonts w:ascii="Times New Roman" w:hAnsi="Times New Roman" w:eastAsia="宋体" w:cs="Times New Roman"/>
                      <w:color w:val="000000"/>
                      <w:kern w:val="0"/>
                      <w:sz w:val="21"/>
                      <w:szCs w:val="21"/>
                    </w:rPr>
                    <w:t>应急预案及演练工作</w:t>
                  </w:r>
                  <w:r>
                    <w:rPr>
                      <w:rFonts w:hint="eastAsia" w:ascii="Times New Roman" w:hAnsi="Times New Roman" w:eastAsia="宋体" w:cs="Times New Roman"/>
                      <w:color w:val="000000"/>
                      <w:kern w:val="0"/>
                      <w:sz w:val="21"/>
                      <w:szCs w:val="21"/>
                      <w:lang w:eastAsia="zh-CN"/>
                    </w:rPr>
                    <w:t>。</w:t>
                  </w:r>
                </w:p>
              </w:tc>
              <w:tc>
                <w:tcPr>
                  <w:tcW w:w="514" w:type="pct"/>
                  <w:tcBorders>
                    <w:right w:val="single" w:color="auto" w:sz="4" w:space="0"/>
                    <w:tl2br w:val="nil"/>
                    <w:tr2bl w:val="nil"/>
                  </w:tcBorders>
                  <w:noWrap w:val="0"/>
                  <w:vAlign w:val="center"/>
                </w:tcPr>
                <w:p w14:paraId="43D7DCF9">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w:t>
                  </w:r>
                </w:p>
              </w:tc>
            </w:tr>
            <w:tr w14:paraId="7D116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left w:val="single" w:color="auto" w:sz="4" w:space="0"/>
                    <w:bottom w:val="single" w:color="auto" w:sz="4" w:space="0"/>
                    <w:tl2br w:val="nil"/>
                    <w:tr2bl w:val="nil"/>
                  </w:tcBorders>
                  <w:noWrap w:val="0"/>
                  <w:vAlign w:val="center"/>
                </w:tcPr>
                <w:p w14:paraId="31ED4DB1">
                  <w:pPr>
                    <w:keepNext w:val="0"/>
                    <w:keepLines w:val="0"/>
                    <w:pageBreakBefore w:val="0"/>
                    <w:widowControl w:val="0"/>
                    <w:kinsoku/>
                    <w:wordWrap w:val="0"/>
                    <w:overflowPunct/>
                    <w:topLinePunct w:val="0"/>
                    <w:bidi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7</w:t>
                  </w:r>
                </w:p>
              </w:tc>
              <w:tc>
                <w:tcPr>
                  <w:tcW w:w="2756" w:type="pct"/>
                  <w:tcBorders>
                    <w:bottom w:val="single" w:color="auto" w:sz="4" w:space="0"/>
                    <w:tl2br w:val="nil"/>
                    <w:tr2bl w:val="nil"/>
                  </w:tcBorders>
                  <w:noWrap w:val="0"/>
                  <w:vAlign w:val="center"/>
                </w:tcPr>
                <w:p w14:paraId="2B17E4BC">
                  <w:pPr>
                    <w:keepNext w:val="0"/>
                    <w:keepLines w:val="0"/>
                    <w:pageBreakBefore w:val="0"/>
                    <w:widowControl w:val="0"/>
                    <w:kinsoku/>
                    <w:wordWrap w:val="0"/>
                    <w:overflowPunct/>
                    <w:topLinePunct w:val="0"/>
                    <w:autoSpaceDE w:val="0"/>
                    <w:autoSpaceDN w:val="0"/>
                    <w:bidi w:val="0"/>
                    <w:adjustRightIn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（七）加强环境监管及日常环境质量监测</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园区应建立完善的环境监测计划，开展包括常规污染物、特征污染物在内的环境大气、地下水、地表水、土壤、生态等环境质量长期监测和污染物风险管控。重点</w:t>
                  </w:r>
                  <w:r>
                    <w:rPr>
                      <w:rFonts w:hint="eastAsia" w:ascii="Times New Roman" w:hAnsi="Times New Roman" w:eastAsia="宋体" w:cs="Times New Roman"/>
                      <w:color w:val="000000"/>
                      <w:kern w:val="0"/>
                      <w:sz w:val="21"/>
                      <w:szCs w:val="21"/>
                    </w:rPr>
                    <w:t>企业</w:t>
                  </w:r>
                  <w:r>
                    <w:rPr>
                      <w:rFonts w:ascii="Times New Roman" w:hAnsi="Times New Roman" w:eastAsia="宋体" w:cs="Times New Roman"/>
                      <w:color w:val="000000"/>
                      <w:kern w:val="0"/>
                      <w:sz w:val="21"/>
                      <w:szCs w:val="21"/>
                    </w:rPr>
                    <w:cr/>
                  </w:r>
                  <w:r>
                    <w:rPr>
                      <w:rFonts w:ascii="Times New Roman" w:hAnsi="Times New Roman" w:eastAsia="宋体" w:cs="Times New Roman"/>
                      <w:color w:val="000000"/>
                      <w:kern w:val="0"/>
                      <w:sz w:val="21"/>
                      <w:szCs w:val="21"/>
                    </w:rPr>
                    <w:t>排污口要设置在线监测系统并与生态环境部门联网，加强土壤污染重点企业监管，强化腾退企业遗留场地的土壤环境调查和风险评估</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合理确定土地利用方式。</w:t>
                  </w:r>
                </w:p>
              </w:tc>
              <w:tc>
                <w:tcPr>
                  <w:tcW w:w="1423" w:type="pct"/>
                  <w:tcBorders>
                    <w:bottom w:val="single" w:color="auto" w:sz="4" w:space="0"/>
                    <w:tl2br w:val="nil"/>
                    <w:tr2bl w:val="nil"/>
                  </w:tcBorders>
                  <w:noWrap w:val="0"/>
                  <w:vAlign w:val="center"/>
                </w:tcPr>
                <w:p w14:paraId="76034069">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hint="eastAsia" w:ascii="Times New Roman" w:hAnsi="Times New Roman" w:eastAsia="宋体" w:cs="Times New Roman"/>
                      <w:color w:val="000000"/>
                      <w:kern w:val="0"/>
                      <w:sz w:val="21"/>
                      <w:szCs w:val="21"/>
                      <w:lang w:val="en-US" w:eastAsia="zh-CN"/>
                    </w:rPr>
                    <w:t>不涉及</w:t>
                  </w:r>
                </w:p>
              </w:tc>
              <w:tc>
                <w:tcPr>
                  <w:tcW w:w="514" w:type="pct"/>
                  <w:tcBorders>
                    <w:bottom w:val="single" w:color="auto" w:sz="4" w:space="0"/>
                    <w:right w:val="single" w:color="auto" w:sz="4" w:space="0"/>
                    <w:tl2br w:val="nil"/>
                    <w:tr2bl w:val="nil"/>
                  </w:tcBorders>
                  <w:noWrap w:val="0"/>
                  <w:vAlign w:val="center"/>
                </w:tcPr>
                <w:p w14:paraId="589E5E80">
                  <w:pPr>
                    <w:keepNext w:val="0"/>
                    <w:keepLines w:val="0"/>
                    <w:pageBreakBefore w:val="0"/>
                    <w:widowControl w:val="0"/>
                    <w:kinsoku/>
                    <w:wordWrap w:val="0"/>
                    <w:overflowPunct/>
                    <w:topLinePunct w:val="0"/>
                    <w:bidi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w:t>
                  </w:r>
                </w:p>
              </w:tc>
            </w:tr>
          </w:tbl>
          <w:p w14:paraId="209DE174">
            <w:pPr>
              <w:snapToGrid w:val="0"/>
              <w:jc w:val="center"/>
              <w:rPr>
                <w:rFonts w:ascii="Times New Roman" w:hAnsi="Times New Roman" w:eastAsia="宋体" w:cs="Times New Roman"/>
                <w:b/>
                <w:color w:val="000000"/>
                <w:kern w:val="0"/>
                <w:sz w:val="24"/>
                <w:szCs w:val="21"/>
              </w:rPr>
            </w:pPr>
          </w:p>
          <w:p w14:paraId="1B7CB6FE">
            <w:pPr>
              <w:snapToGrid w:val="0"/>
              <w:jc w:val="center"/>
              <w:rPr>
                <w:rFonts w:ascii="Times New Roman" w:hAnsi="Times New Roman" w:eastAsia="宋体" w:cs="Times New Roman"/>
                <w:b/>
                <w:color w:val="000000"/>
                <w:kern w:val="0"/>
                <w:sz w:val="24"/>
                <w:szCs w:val="21"/>
              </w:rPr>
            </w:pPr>
            <w:r>
              <w:rPr>
                <w:rFonts w:ascii="Times New Roman" w:hAnsi="Times New Roman" w:eastAsia="宋体" w:cs="Times New Roman"/>
                <w:b/>
                <w:color w:val="000000"/>
                <w:kern w:val="0"/>
                <w:sz w:val="24"/>
                <w:szCs w:val="21"/>
              </w:rPr>
              <w:t>表1-</w:t>
            </w:r>
            <w:r>
              <w:rPr>
                <w:rFonts w:hint="eastAsia" w:cs="Times New Roman"/>
                <w:b/>
                <w:color w:val="000000"/>
                <w:kern w:val="0"/>
                <w:sz w:val="24"/>
                <w:szCs w:val="21"/>
                <w:lang w:val="en-US" w:eastAsia="zh-CN"/>
              </w:rPr>
              <w:t>3</w:t>
            </w:r>
            <w:r>
              <w:rPr>
                <w:rFonts w:ascii="Times New Roman" w:hAnsi="Times New Roman" w:eastAsia="宋体" w:cs="Times New Roman"/>
                <w:b/>
                <w:color w:val="000000"/>
                <w:kern w:val="0"/>
                <w:sz w:val="24"/>
                <w:szCs w:val="21"/>
              </w:rPr>
              <w:t>本项目与</w:t>
            </w:r>
            <w:r>
              <w:rPr>
                <w:rFonts w:hint="eastAsia" w:ascii="Times New Roman" w:hAnsi="Times New Roman" w:eastAsia="宋体" w:cs="Times New Roman"/>
                <w:b/>
                <w:color w:val="000000"/>
                <w:kern w:val="0"/>
                <w:sz w:val="24"/>
                <w:szCs w:val="21"/>
                <w:lang w:val="en-US" w:eastAsia="zh-CN"/>
              </w:rPr>
              <w:t>园区生态环境准入</w:t>
            </w:r>
            <w:r>
              <w:rPr>
                <w:rFonts w:ascii="Times New Roman" w:hAnsi="Times New Roman" w:eastAsia="宋体" w:cs="Times New Roman"/>
                <w:b/>
                <w:color w:val="000000"/>
                <w:kern w:val="0"/>
                <w:sz w:val="24"/>
                <w:szCs w:val="21"/>
              </w:rPr>
              <w:t>的符合性分析</w:t>
            </w:r>
          </w:p>
          <w:tbl>
            <w:tblPr>
              <w:tblStyle w:val="4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6"/>
              <w:gridCol w:w="3855"/>
              <w:gridCol w:w="2270"/>
              <w:gridCol w:w="753"/>
            </w:tblGrid>
            <w:tr w14:paraId="577DBD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304" w:type="pct"/>
                  <w:tcBorders>
                    <w:top w:val="single" w:color="auto" w:sz="4" w:space="0"/>
                    <w:left w:val="single" w:color="auto" w:sz="0" w:space="0"/>
                    <w:tl2br w:val="nil"/>
                    <w:tr2bl w:val="nil"/>
                  </w:tcBorders>
                  <w:noWrap w:val="0"/>
                  <w:vAlign w:val="center"/>
                </w:tcPr>
                <w:p w14:paraId="330679DD">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color w:val="000000"/>
                      <w:kern w:val="0"/>
                      <w:sz w:val="21"/>
                      <w:szCs w:val="21"/>
                      <w:lang w:eastAsia="zh-CN"/>
                    </w:rPr>
                  </w:pPr>
                  <w:r>
                    <w:rPr>
                      <w:rFonts w:hint="default" w:ascii="Times New Roman" w:hAnsi="Times New Roman" w:eastAsia="宋体" w:cs="Times New Roman"/>
                      <w:b/>
                      <w:color w:val="000000"/>
                      <w:kern w:val="0"/>
                      <w:sz w:val="21"/>
                      <w:szCs w:val="21"/>
                      <w:lang w:val="en-US" w:eastAsia="zh-CN"/>
                    </w:rPr>
                    <w:t>项目</w:t>
                  </w:r>
                </w:p>
              </w:tc>
              <w:tc>
                <w:tcPr>
                  <w:tcW w:w="2631" w:type="pct"/>
                  <w:tcBorders>
                    <w:top w:val="single" w:color="auto" w:sz="4" w:space="0"/>
                    <w:tl2br w:val="nil"/>
                    <w:tr2bl w:val="nil"/>
                  </w:tcBorders>
                  <w:noWrap w:val="0"/>
                  <w:vAlign w:val="center"/>
                </w:tcPr>
                <w:p w14:paraId="5C38FA4F">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color w:val="000000"/>
                      <w:kern w:val="0"/>
                      <w:sz w:val="21"/>
                      <w:szCs w:val="21"/>
                      <w:lang w:val="en-US" w:eastAsia="zh-CN"/>
                    </w:rPr>
                  </w:pPr>
                  <w:r>
                    <w:rPr>
                      <w:rFonts w:hint="default" w:ascii="Times New Roman" w:hAnsi="Times New Roman" w:eastAsia="宋体" w:cs="Times New Roman"/>
                      <w:b/>
                      <w:color w:val="000000"/>
                      <w:kern w:val="0"/>
                      <w:sz w:val="21"/>
                      <w:szCs w:val="21"/>
                      <w:lang w:val="en-US" w:eastAsia="zh-CN"/>
                    </w:rPr>
                    <w:t>管控要求</w:t>
                  </w:r>
                </w:p>
              </w:tc>
              <w:tc>
                <w:tcPr>
                  <w:tcW w:w="1549" w:type="pct"/>
                  <w:tcBorders>
                    <w:top w:val="single" w:color="auto" w:sz="4" w:space="0"/>
                    <w:tl2br w:val="nil"/>
                    <w:tr2bl w:val="nil"/>
                  </w:tcBorders>
                  <w:noWrap w:val="0"/>
                  <w:vAlign w:val="center"/>
                </w:tcPr>
                <w:p w14:paraId="463CD729">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本项目情况</w:t>
                  </w:r>
                </w:p>
              </w:tc>
              <w:tc>
                <w:tcPr>
                  <w:tcW w:w="514" w:type="pct"/>
                  <w:tcBorders>
                    <w:top w:val="single" w:color="auto" w:sz="4" w:space="0"/>
                    <w:right w:val="single" w:color="auto" w:sz="4" w:space="0"/>
                    <w:tl2br w:val="nil"/>
                    <w:tr2bl w:val="nil"/>
                  </w:tcBorders>
                  <w:noWrap w:val="0"/>
                  <w:vAlign w:val="center"/>
                </w:tcPr>
                <w:p w14:paraId="006CF156">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b/>
                      <w:color w:val="000000"/>
                      <w:kern w:val="0"/>
                      <w:sz w:val="21"/>
                      <w:szCs w:val="21"/>
                    </w:rPr>
                  </w:pPr>
                  <w:r>
                    <w:rPr>
                      <w:rFonts w:hint="default" w:ascii="Times New Roman" w:hAnsi="Times New Roman" w:eastAsia="宋体" w:cs="Times New Roman"/>
                      <w:b/>
                      <w:color w:val="000000"/>
                      <w:kern w:val="0"/>
                      <w:sz w:val="21"/>
                      <w:szCs w:val="21"/>
                    </w:rPr>
                    <w:t>相符性</w:t>
                  </w:r>
                </w:p>
              </w:tc>
            </w:tr>
            <w:tr w14:paraId="084B6F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4" w:type="pct"/>
                  <w:tcBorders>
                    <w:left w:val="single" w:color="auto" w:sz="4" w:space="0"/>
                    <w:tl2br w:val="nil"/>
                    <w:tr2bl w:val="nil"/>
                  </w:tcBorders>
                  <w:noWrap w:val="0"/>
                  <w:vAlign w:val="center"/>
                </w:tcPr>
                <w:p w14:paraId="5A5D2355">
                  <w:pPr>
                    <w:keepNext w:val="0"/>
                    <w:keepLines w:val="0"/>
                    <w:pageBreakBefore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产业准入控制</w:t>
                  </w:r>
                </w:p>
              </w:tc>
              <w:tc>
                <w:tcPr>
                  <w:tcW w:w="2631" w:type="pct"/>
                  <w:tcBorders>
                    <w:tl2br w:val="nil"/>
                    <w:tr2bl w:val="nil"/>
                  </w:tcBorders>
                  <w:noWrap w:val="0"/>
                  <w:vAlign w:val="center"/>
                </w:tcPr>
                <w:p w14:paraId="577678E0">
                  <w:pPr>
                    <w:keepNext w:val="0"/>
                    <w:keepLines w:val="0"/>
                    <w:pageBreakBefore w:val="0"/>
                    <w:numPr>
                      <w:ilvl w:val="0"/>
                      <w:numId w:val="0"/>
                    </w:numPr>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bidi="ar-SA"/>
                    </w:rPr>
                    <w:t>1.</w:t>
                  </w:r>
                  <w:r>
                    <w:rPr>
                      <w:rFonts w:hint="default" w:ascii="Times New Roman" w:hAnsi="Times New Roman" w:eastAsia="宋体" w:cs="Times New Roman"/>
                      <w:color w:val="000000"/>
                      <w:kern w:val="0"/>
                      <w:sz w:val="21"/>
                      <w:szCs w:val="21"/>
                      <w:lang w:val="en-US" w:eastAsia="zh-CN"/>
                    </w:rPr>
                    <w:t>禁止引进与园区产业定位不相符的企业。</w:t>
                  </w:r>
                </w:p>
                <w:p w14:paraId="4434361A">
                  <w:pPr>
                    <w:keepNext w:val="0"/>
                    <w:keepLines w:val="0"/>
                    <w:pageBreakBefore w:val="0"/>
                    <w:numPr>
                      <w:ilvl w:val="0"/>
                      <w:numId w:val="0"/>
                    </w:numPr>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bidi="ar-SA"/>
                    </w:rPr>
                    <w:t>2.</w:t>
                  </w:r>
                  <w:r>
                    <w:rPr>
                      <w:rFonts w:hint="default" w:ascii="Times New Roman" w:hAnsi="Times New Roman" w:eastAsia="宋体" w:cs="Times New Roman"/>
                      <w:color w:val="000000"/>
                      <w:kern w:val="0"/>
                      <w:sz w:val="21"/>
                      <w:szCs w:val="21"/>
                      <w:lang w:val="en-US" w:eastAsia="zh-CN"/>
                    </w:rPr>
                    <w:t>严格控制煤电、煤化工、电石等产业发展规模、严控</w:t>
                  </w:r>
                  <w:r>
                    <w:rPr>
                      <w:rFonts w:hint="eastAsia"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两高</w:t>
                  </w:r>
                  <w:r>
                    <w:rPr>
                      <w:rFonts w:hint="eastAsia"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行业产能。规划期内不再新增焦炭（兰炭</w:t>
                  </w:r>
                  <w:r>
                    <w:rPr>
                      <w:rFonts w:hint="eastAsia" w:cs="Times New Roman"/>
                      <w:color w:val="000000"/>
                      <w:kern w:val="0"/>
                      <w:sz w:val="21"/>
                      <w:szCs w:val="21"/>
                      <w:lang w:val="en-US" w:eastAsia="zh-CN"/>
                    </w:rPr>
                    <w:t>）</w:t>
                  </w:r>
                  <w:r>
                    <w:rPr>
                      <w:rFonts w:hint="default" w:ascii="Times New Roman" w:hAnsi="Times New Roman" w:eastAsia="宋体" w:cs="Times New Roman"/>
                      <w:color w:val="000000"/>
                      <w:kern w:val="0"/>
                      <w:sz w:val="21"/>
                      <w:szCs w:val="21"/>
                      <w:lang w:val="en-US" w:eastAsia="zh-CN"/>
                    </w:rPr>
                    <w:t>、电石、合成氨、甲醇、水泥（熟料）、平板玻璃、超高功率以下石墨电极、蓝宝石、无下游转化的多晶硅、单晶硅等新增产能项目，确有必要建设的，须在区内实施产能和能耗减量置换。</w:t>
                  </w:r>
                </w:p>
                <w:p w14:paraId="11D780F3">
                  <w:pPr>
                    <w:keepNext w:val="0"/>
                    <w:keepLines w:val="0"/>
                    <w:pageBreakBefore w:val="0"/>
                    <w:numPr>
                      <w:ilvl w:val="0"/>
                      <w:numId w:val="0"/>
                    </w:numPr>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3.禁止建设列入《产业结构调整指导目录（2011年本）》及（2013年修正）中的淘汰类；禁止建设列入《外商投资准入特别管理措施（负面清单）（2018年版）》中禁止外商投资领域；禁止建设采用国家和地方淘汰的或禁止使用的工艺、技术和设备的项目；以及生产工艺或污染防治技术不成熟的项目。</w:t>
                  </w:r>
                </w:p>
              </w:tc>
              <w:tc>
                <w:tcPr>
                  <w:tcW w:w="1549" w:type="pct"/>
                  <w:tcBorders>
                    <w:tl2br w:val="nil"/>
                    <w:tr2bl w:val="nil"/>
                  </w:tcBorders>
                  <w:noWrap w:val="0"/>
                  <w:vAlign w:val="center"/>
                </w:tcPr>
                <w:p w14:paraId="5EAC8C1C">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lang w:eastAsia="zh-CN"/>
                    </w:rPr>
                  </w:pPr>
                  <w:r>
                    <w:rPr>
                      <w:rFonts w:ascii="Times New Roman" w:hAnsi="Times New Roman" w:eastAsia="宋体" w:cs="Times New Roman"/>
                      <w:color w:val="000000"/>
                      <w:kern w:val="0"/>
                      <w:sz w:val="21"/>
                      <w:szCs w:val="21"/>
                    </w:rPr>
                    <w:t>本项目</w:t>
                  </w:r>
                  <w:r>
                    <w:rPr>
                      <w:rFonts w:hint="eastAsia" w:ascii="Times New Roman" w:hAnsi="Times New Roman" w:eastAsia="宋体" w:cs="Times New Roman"/>
                      <w:color w:val="000000"/>
                      <w:kern w:val="0"/>
                      <w:sz w:val="21"/>
                      <w:szCs w:val="21"/>
                      <w:lang w:val="en-US" w:eastAsia="zh-CN"/>
                    </w:rPr>
                    <w:t>符合</w:t>
                  </w:r>
                  <w:r>
                    <w:rPr>
                      <w:rFonts w:ascii="Times New Roman" w:hAnsi="Times New Roman" w:eastAsia="宋体" w:cs="Times New Roman"/>
                      <w:color w:val="000000"/>
                      <w:kern w:val="0"/>
                      <w:sz w:val="21"/>
                      <w:szCs w:val="21"/>
                    </w:rPr>
                    <w:t>产业政策、生态环境</w:t>
                  </w:r>
                  <w:r>
                    <w:rPr>
                      <w:rFonts w:hint="eastAsia" w:ascii="Times New Roman" w:hAnsi="Times New Roman" w:eastAsia="宋体" w:cs="Times New Roman"/>
                      <w:color w:val="000000"/>
                      <w:kern w:val="0"/>
                      <w:sz w:val="21"/>
                      <w:szCs w:val="21"/>
                    </w:rPr>
                    <w:t>分</w:t>
                  </w:r>
                  <w:r>
                    <w:rPr>
                      <w:rFonts w:ascii="Times New Roman" w:hAnsi="Times New Roman" w:eastAsia="宋体" w:cs="Times New Roman"/>
                      <w:color w:val="000000"/>
                      <w:kern w:val="0"/>
                      <w:sz w:val="21"/>
                      <w:szCs w:val="21"/>
                    </w:rPr>
                    <w:t>区管控、园区总体规划等要求</w:t>
                  </w:r>
                  <w:r>
                    <w:rPr>
                      <w:rFonts w:hint="eastAsia" w:ascii="Times New Roman" w:hAnsi="Times New Roman" w:eastAsia="宋体" w:cs="Times New Roman"/>
                      <w:color w:val="000000"/>
                      <w:kern w:val="0"/>
                      <w:sz w:val="21"/>
                      <w:szCs w:val="21"/>
                      <w:lang w:eastAsia="zh-CN"/>
                    </w:rPr>
                    <w:t>，</w:t>
                  </w:r>
                  <w:r>
                    <w:rPr>
                      <w:rFonts w:ascii="Times New Roman" w:hAnsi="Times New Roman" w:eastAsia="宋体" w:cs="Times New Roman"/>
                      <w:color w:val="000000"/>
                      <w:kern w:val="0"/>
                      <w:sz w:val="21"/>
                      <w:szCs w:val="21"/>
                    </w:rPr>
                    <w:t>不属于</w:t>
                  </w:r>
                  <w:r>
                    <w:rPr>
                      <w:rFonts w:hint="eastAsia"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两高</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项目</w:t>
                  </w:r>
                  <w:r>
                    <w:rPr>
                      <w:rFonts w:hint="eastAsia" w:ascii="Times New Roman" w:hAnsi="Times New Roman" w:eastAsia="宋体"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不属于</w:t>
                  </w:r>
                  <w:r>
                    <w:rPr>
                      <w:rFonts w:hint="default" w:ascii="Times New Roman" w:hAnsi="Times New Roman" w:eastAsia="宋体" w:cs="Times New Roman"/>
                      <w:color w:val="000000"/>
                      <w:kern w:val="0"/>
                      <w:sz w:val="21"/>
                      <w:szCs w:val="21"/>
                      <w:lang w:val="en-US" w:eastAsia="zh-CN"/>
                    </w:rPr>
                    <w:t>《产业结构调整指导目录（2011年本）》及（2013年修正）中的淘汰类</w:t>
                  </w:r>
                  <w:r>
                    <w:rPr>
                      <w:rFonts w:hint="eastAsia" w:cs="Times New Roman"/>
                      <w:color w:val="000000"/>
                      <w:kern w:val="0"/>
                      <w:sz w:val="21"/>
                      <w:szCs w:val="21"/>
                      <w:lang w:val="en-US" w:eastAsia="zh-CN"/>
                    </w:rPr>
                    <w:t>项目</w:t>
                  </w:r>
                  <w:r>
                    <w:rPr>
                      <w:rFonts w:hint="eastAsia" w:ascii="Times New Roman" w:hAnsi="Times New Roman" w:eastAsia="宋体" w:cs="Times New Roman"/>
                      <w:color w:val="000000"/>
                      <w:kern w:val="0"/>
                      <w:sz w:val="21"/>
                      <w:szCs w:val="21"/>
                      <w:lang w:val="en-US" w:eastAsia="zh-CN"/>
                    </w:rPr>
                    <w:t>，</w:t>
                  </w:r>
                  <w:r>
                    <w:rPr>
                      <w:rFonts w:hint="eastAsia" w:cs="Times New Roman"/>
                      <w:color w:val="000000"/>
                      <w:kern w:val="0"/>
                      <w:sz w:val="21"/>
                      <w:szCs w:val="21"/>
                      <w:lang w:val="en-US" w:eastAsia="zh-CN"/>
                    </w:rPr>
                    <w:t>也</w:t>
                  </w:r>
                  <w:r>
                    <w:rPr>
                      <w:rFonts w:hint="eastAsia" w:ascii="Times New Roman" w:hAnsi="Times New Roman" w:eastAsia="宋体" w:cs="Times New Roman"/>
                      <w:color w:val="000000"/>
                      <w:kern w:val="0"/>
                      <w:sz w:val="21"/>
                      <w:szCs w:val="21"/>
                      <w:lang w:val="en-US" w:eastAsia="zh-CN"/>
                    </w:rPr>
                    <w:t>不属于</w:t>
                  </w:r>
                  <w:r>
                    <w:rPr>
                      <w:rFonts w:hint="default" w:ascii="Times New Roman" w:hAnsi="Times New Roman" w:eastAsia="宋体" w:cs="Times New Roman"/>
                      <w:color w:val="000000"/>
                      <w:kern w:val="0"/>
                      <w:sz w:val="21"/>
                      <w:szCs w:val="21"/>
                      <w:lang w:val="en-US" w:eastAsia="zh-CN"/>
                    </w:rPr>
                    <w:t>《外商投资准入特别管理措施（负面清单）（2018年版）》中</w:t>
                  </w:r>
                  <w:r>
                    <w:rPr>
                      <w:rFonts w:hint="eastAsia" w:cs="Times New Roman"/>
                      <w:color w:val="000000"/>
                      <w:kern w:val="0"/>
                      <w:sz w:val="21"/>
                      <w:szCs w:val="21"/>
                      <w:lang w:val="en-US" w:eastAsia="zh-CN"/>
                    </w:rPr>
                    <w:t>的</w:t>
                  </w:r>
                  <w:r>
                    <w:rPr>
                      <w:rFonts w:hint="default" w:ascii="Times New Roman" w:hAnsi="Times New Roman" w:eastAsia="宋体" w:cs="Times New Roman"/>
                      <w:color w:val="000000"/>
                      <w:kern w:val="0"/>
                      <w:sz w:val="21"/>
                      <w:szCs w:val="21"/>
                      <w:lang w:val="en-US" w:eastAsia="zh-CN"/>
                    </w:rPr>
                    <w:t>外商投资领域</w:t>
                  </w:r>
                  <w:r>
                    <w:rPr>
                      <w:rFonts w:hint="eastAsia" w:ascii="Times New Roman" w:hAnsi="Times New Roman" w:eastAsia="宋体" w:cs="Times New Roman"/>
                      <w:color w:val="000000"/>
                      <w:kern w:val="0"/>
                      <w:sz w:val="21"/>
                      <w:szCs w:val="21"/>
                      <w:lang w:eastAsia="zh-CN"/>
                    </w:rPr>
                    <w:t>。</w:t>
                  </w:r>
                </w:p>
              </w:tc>
              <w:tc>
                <w:tcPr>
                  <w:tcW w:w="514" w:type="pct"/>
                  <w:tcBorders>
                    <w:right w:val="single" w:color="auto" w:sz="4" w:space="0"/>
                    <w:tl2br w:val="nil"/>
                    <w:tr2bl w:val="nil"/>
                  </w:tcBorders>
                  <w:noWrap w:val="0"/>
                  <w:vAlign w:val="center"/>
                </w:tcPr>
                <w:p w14:paraId="4DDDD1C8">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hint="eastAsia" w:ascii="Times New Roman" w:hAnsi="Times New Roman" w:eastAsia="宋体" w:cs="Times New Roman"/>
                      <w:color w:val="000000"/>
                      <w:kern w:val="0"/>
                      <w:sz w:val="21"/>
                      <w:szCs w:val="21"/>
                      <w:lang w:val="en-US" w:eastAsia="zh-CN"/>
                    </w:rPr>
                    <w:t>符合</w:t>
                  </w:r>
                </w:p>
              </w:tc>
            </w:tr>
            <w:tr w14:paraId="0A80B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4" w:type="pct"/>
                  <w:tcBorders>
                    <w:left w:val="single" w:color="auto" w:sz="4" w:space="0"/>
                    <w:tl2br w:val="nil"/>
                    <w:tr2bl w:val="nil"/>
                  </w:tcBorders>
                  <w:noWrap w:val="0"/>
                  <w:vAlign w:val="center"/>
                </w:tcPr>
                <w:p w14:paraId="055B60D1">
                  <w:pPr>
                    <w:keepNext w:val="0"/>
                    <w:keepLines w:val="0"/>
                    <w:pageBreakBefore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空间布局约束</w:t>
                  </w:r>
                </w:p>
              </w:tc>
              <w:tc>
                <w:tcPr>
                  <w:tcW w:w="2631" w:type="pct"/>
                  <w:tcBorders>
                    <w:tl2br w:val="nil"/>
                    <w:tr2bl w:val="nil"/>
                  </w:tcBorders>
                  <w:noWrap w:val="0"/>
                  <w:vAlign w:val="center"/>
                </w:tcPr>
                <w:p w14:paraId="5276F080">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引入项目需符合该片区主导、辅助产业定位。</w:t>
                  </w:r>
                </w:p>
              </w:tc>
              <w:tc>
                <w:tcPr>
                  <w:tcW w:w="1549" w:type="pct"/>
                  <w:tcBorders>
                    <w:tl2br w:val="nil"/>
                    <w:tr2bl w:val="nil"/>
                  </w:tcBorders>
                  <w:noWrap w:val="0"/>
                  <w:vAlign w:val="center"/>
                </w:tcPr>
                <w:p w14:paraId="69B908B6">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color w:val="000000"/>
                      <w:kern w:val="0"/>
                      <w:sz w:val="21"/>
                      <w:szCs w:val="21"/>
                    </w:rPr>
                    <w:t>本项目</w:t>
                  </w:r>
                  <w:r>
                    <w:rPr>
                      <w:rFonts w:hint="default" w:ascii="Times New Roman" w:hAnsi="Times New Roman" w:eastAsia="宋体" w:cs="Times New Roman"/>
                      <w:color w:val="000000"/>
                      <w:kern w:val="0"/>
                      <w:sz w:val="21"/>
                      <w:szCs w:val="21"/>
                      <w:lang w:val="en-US" w:eastAsia="zh-CN"/>
                    </w:rPr>
                    <w:t>符合片区主导产业定位。</w:t>
                  </w:r>
                </w:p>
              </w:tc>
              <w:tc>
                <w:tcPr>
                  <w:tcW w:w="514" w:type="pct"/>
                  <w:tcBorders>
                    <w:right w:val="single" w:color="auto" w:sz="4" w:space="0"/>
                    <w:tl2br w:val="nil"/>
                    <w:tr2bl w:val="nil"/>
                  </w:tcBorders>
                  <w:noWrap w:val="0"/>
                  <w:vAlign w:val="center"/>
                </w:tcPr>
                <w:p w14:paraId="63CDBCB1">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符合</w:t>
                  </w:r>
                </w:p>
              </w:tc>
            </w:tr>
            <w:tr w14:paraId="56375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4" w:type="pct"/>
                  <w:tcBorders>
                    <w:left w:val="single" w:color="auto" w:sz="4" w:space="0"/>
                    <w:tl2br w:val="nil"/>
                    <w:tr2bl w:val="nil"/>
                  </w:tcBorders>
                  <w:noWrap w:val="0"/>
                  <w:vAlign w:val="center"/>
                </w:tcPr>
                <w:p w14:paraId="3604B75B">
                  <w:pPr>
                    <w:keepNext w:val="0"/>
                    <w:keepLines w:val="0"/>
                    <w:pageBreakBefore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污染物排放管控</w:t>
                  </w:r>
                </w:p>
              </w:tc>
              <w:tc>
                <w:tcPr>
                  <w:tcW w:w="2631" w:type="pct"/>
                  <w:tcBorders>
                    <w:tl2br w:val="nil"/>
                    <w:tr2bl w:val="nil"/>
                  </w:tcBorders>
                  <w:noWrap w:val="0"/>
                  <w:vAlign w:val="center"/>
                </w:tcPr>
                <w:p w14:paraId="59F7C9E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1.严格落实污染物排放总量控制制度，把主要污染物排放总量指标作为环评审批的前置条件。</w:t>
                  </w:r>
                </w:p>
                <w:p w14:paraId="10F3FDF5">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2.新建</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两高</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项目，需制定配套区域污染物削减方案，采取有效的污染物区域削减措施，腾出足够的环境容量。新建、改扩建项目</w:t>
                  </w:r>
                  <w:r>
                    <w:rPr>
                      <w:rFonts w:hint="eastAsia" w:cs="Times New Roman"/>
                      <w:color w:val="000000"/>
                      <w:kern w:val="0"/>
                      <w:sz w:val="21"/>
                      <w:szCs w:val="21"/>
                      <w:lang w:val="en-US" w:eastAsia="zh-CN" w:bidi="ar"/>
                    </w:rPr>
                    <w:t>应</w:t>
                  </w:r>
                  <w:r>
                    <w:rPr>
                      <w:rFonts w:hint="default" w:ascii="Times New Roman" w:hAnsi="Times New Roman" w:eastAsia="宋体" w:cs="Times New Roman"/>
                      <w:color w:val="000000"/>
                      <w:kern w:val="0"/>
                      <w:sz w:val="21"/>
                      <w:szCs w:val="21"/>
                      <w:lang w:val="en-US" w:eastAsia="zh-CN" w:bidi="ar"/>
                    </w:rPr>
                    <w:t>执行重点污染物特别排放限值，</w:t>
                  </w:r>
                  <w:r>
                    <w:rPr>
                      <w:rFonts w:hint="eastAsia" w:cs="Times New Roman"/>
                      <w:color w:val="000000"/>
                      <w:kern w:val="0"/>
                      <w:sz w:val="21"/>
                      <w:szCs w:val="21"/>
                      <w:lang w:val="en-US" w:eastAsia="zh-CN" w:bidi="ar"/>
                    </w:rPr>
                    <w:t>符合</w:t>
                  </w:r>
                  <w:r>
                    <w:rPr>
                      <w:rFonts w:hint="default" w:ascii="Times New Roman" w:hAnsi="Times New Roman" w:eastAsia="宋体" w:cs="Times New Roman"/>
                      <w:color w:val="000000"/>
                      <w:kern w:val="0"/>
                      <w:sz w:val="21"/>
                      <w:szCs w:val="21"/>
                      <w:lang w:val="en-US" w:eastAsia="zh-CN" w:bidi="ar"/>
                    </w:rPr>
                    <w:t>超低排放要求的</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两高</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行业建设项目应满足超低排放要求。现有项目通过提标升级改造，重点污染物逐步达到特别排放限值。</w:t>
                  </w:r>
                </w:p>
                <w:p w14:paraId="15B3ECE5">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3.新、改、扩建项目排放二氧化硫、氮氧化物、颗粒物等大气污染物，实现等量削减，区域污染物控制总量不得突破本规划环评核算总量；硅冶炼相关工程建设要求与电力、钢铁行业超低排放标准看齐，将颗粒物、二氧化硫、氮氧化物排放浓度控制在10mg/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、35mg/m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、50mg/m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以下。</w:t>
                  </w:r>
                </w:p>
                <w:p w14:paraId="59F33DEE">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4.化工等重点行业及65蒸吨/小时及以上燃煤锅炉的现役企业和新建项目一律执行大气污染物特别排放限值。强化企业大气污染物排放精细化管理、无组织废气排放控制以及高效治污设施建设。重点行业粉状物料堆场实现全封闭，块状物料</w:t>
                  </w:r>
                  <w:r>
                    <w:rPr>
                      <w:rFonts w:hint="eastAsia" w:cs="Times New Roman"/>
                      <w:color w:val="000000"/>
                      <w:kern w:val="0"/>
                      <w:sz w:val="21"/>
                      <w:szCs w:val="21"/>
                      <w:lang w:val="en-US" w:eastAsia="zh-CN" w:bidi="ar"/>
                    </w:rPr>
                    <w:t>堆场</w:t>
                  </w:r>
                  <w:r>
                    <w:rPr>
                      <w:rFonts w:hint="default" w:ascii="Times New Roman" w:hAnsi="Times New Roman" w:eastAsia="宋体" w:cs="Times New Roman"/>
                      <w:color w:val="000000"/>
                      <w:kern w:val="0"/>
                      <w:sz w:val="21"/>
                      <w:szCs w:val="21"/>
                      <w:lang w:val="en-US" w:eastAsia="zh-CN" w:bidi="ar"/>
                    </w:rPr>
                    <w:t>安装抑尘设施。</w:t>
                  </w:r>
                </w:p>
                <w:p w14:paraId="22E849F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val="en-US" w:eastAsia="zh-CN" w:bidi="ar"/>
                    </w:rPr>
                    <w:t>5.完善园区污水集中处理设施和配套管网。实行</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清污分流、雨污分流</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，污水应收尽收，全部回用，区内一律不得新建晾晒池。</w:t>
                  </w:r>
                </w:p>
              </w:tc>
              <w:tc>
                <w:tcPr>
                  <w:tcW w:w="1549" w:type="pct"/>
                  <w:tcBorders>
                    <w:tl2br w:val="nil"/>
                    <w:tr2bl w:val="nil"/>
                  </w:tcBorders>
                  <w:noWrap w:val="0"/>
                  <w:vAlign w:val="center"/>
                </w:tcPr>
                <w:p w14:paraId="3DF57BD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1.本项目不涉及总量。</w:t>
                  </w:r>
                </w:p>
                <w:p w14:paraId="02285EC7">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本项目</w:t>
                  </w:r>
                  <w:r>
                    <w:rPr>
                      <w:rFonts w:hint="eastAsia" w:ascii="Times New Roman" w:hAnsi="Times New Roman" w:eastAsia="宋体" w:cs="Times New Roman"/>
                      <w:color w:val="000000"/>
                      <w:kern w:val="0"/>
                      <w:sz w:val="21"/>
                      <w:szCs w:val="21"/>
                      <w:lang w:val="en-US" w:eastAsia="zh-CN" w:bidi="ar"/>
                    </w:rPr>
                    <w:t>符合</w:t>
                  </w:r>
                  <w:r>
                    <w:rPr>
                      <w:rFonts w:hint="default" w:ascii="Times New Roman" w:hAnsi="Times New Roman" w:eastAsia="宋体" w:cs="Times New Roman"/>
                      <w:color w:val="000000"/>
                      <w:kern w:val="0"/>
                      <w:sz w:val="21"/>
                      <w:szCs w:val="21"/>
                      <w:lang w:val="en-US" w:eastAsia="zh-CN" w:bidi="ar"/>
                    </w:rPr>
                    <w:t>产业政策、生态环境</w:t>
                  </w:r>
                  <w:r>
                    <w:rPr>
                      <w:rFonts w:hint="eastAsia" w:ascii="Times New Roman" w:hAnsi="Times New Roman" w:eastAsia="宋体" w:cs="Times New Roman"/>
                      <w:color w:val="000000"/>
                      <w:kern w:val="0"/>
                      <w:sz w:val="21"/>
                      <w:szCs w:val="21"/>
                      <w:lang w:val="en-US" w:eastAsia="zh-CN" w:bidi="ar"/>
                    </w:rPr>
                    <w:t>分</w:t>
                  </w:r>
                  <w:r>
                    <w:rPr>
                      <w:rFonts w:hint="default" w:ascii="Times New Roman" w:hAnsi="Times New Roman" w:eastAsia="宋体" w:cs="Times New Roman"/>
                      <w:color w:val="000000"/>
                      <w:kern w:val="0"/>
                      <w:sz w:val="21"/>
                      <w:szCs w:val="21"/>
                      <w:lang w:val="en-US" w:eastAsia="zh-CN" w:bidi="ar"/>
                    </w:rPr>
                    <w:t>区管控、园区总体规划等要求</w:t>
                  </w:r>
                  <w:r>
                    <w:rPr>
                      <w:rFonts w:hint="eastAsia" w:ascii="Times New Roman" w:hAnsi="Times New Roman" w:eastAsia="宋体"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不属于</w:t>
                  </w:r>
                  <w:r>
                    <w:rPr>
                      <w:rFonts w:hint="eastAsia" w:cs="Times New Roman"/>
                      <w:color w:val="000000"/>
                      <w:kern w:val="0"/>
                      <w:sz w:val="21"/>
                      <w:szCs w:val="21"/>
                      <w:lang w:val="en-US" w:eastAsia="zh-CN" w:bidi="ar"/>
                    </w:rPr>
                    <w:t>“</w:t>
                  </w:r>
                  <w:r>
                    <w:rPr>
                      <w:rFonts w:hint="eastAsia" w:ascii="Times New Roman" w:hAnsi="Times New Roman" w:eastAsia="宋体" w:cs="Times New Roman"/>
                      <w:color w:val="000000"/>
                      <w:kern w:val="0"/>
                      <w:sz w:val="21"/>
                      <w:szCs w:val="21"/>
                      <w:lang w:val="en-US" w:eastAsia="zh-CN" w:bidi="ar"/>
                    </w:rPr>
                    <w:t>两高</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项目</w:t>
                  </w:r>
                  <w:r>
                    <w:rPr>
                      <w:rFonts w:hint="eastAsia" w:ascii="Times New Roman" w:hAnsi="Times New Roman" w:eastAsia="宋体" w:cs="Times New Roman"/>
                      <w:color w:val="000000"/>
                      <w:kern w:val="0"/>
                      <w:sz w:val="21"/>
                      <w:szCs w:val="21"/>
                      <w:lang w:val="en-US" w:eastAsia="zh-CN" w:bidi="ar"/>
                    </w:rPr>
                    <w:t>。</w:t>
                  </w:r>
                </w:p>
                <w:p w14:paraId="6C92C3A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3.本项目不新增二氧化硫、氮氧化物、颗粒物等大气污染物。</w:t>
                  </w:r>
                </w:p>
                <w:p w14:paraId="6CF246D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4.本项目不属于化工等重点行业及65蒸吨/小时及以上燃煤锅炉的现役企业和新建项目。</w:t>
                  </w:r>
                </w:p>
                <w:p w14:paraId="483E2385">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bidi="ar"/>
                    </w:rPr>
                    <w:t>5.本项目不外排废水。</w:t>
                  </w:r>
                </w:p>
              </w:tc>
              <w:tc>
                <w:tcPr>
                  <w:tcW w:w="514" w:type="pct"/>
                  <w:tcBorders>
                    <w:right w:val="single" w:color="auto" w:sz="4" w:space="0"/>
                    <w:tl2br w:val="nil"/>
                    <w:tr2bl w:val="nil"/>
                  </w:tcBorders>
                  <w:noWrap w:val="0"/>
                  <w:vAlign w:val="center"/>
                </w:tcPr>
                <w:p w14:paraId="7471A49D">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符合</w:t>
                  </w:r>
                </w:p>
              </w:tc>
            </w:tr>
            <w:tr w14:paraId="1FF8B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304" w:type="pct"/>
                  <w:tcBorders>
                    <w:left w:val="single" w:color="auto" w:sz="4" w:space="0"/>
                    <w:tl2br w:val="nil"/>
                    <w:tr2bl w:val="nil"/>
                  </w:tcBorders>
                  <w:noWrap w:val="0"/>
                  <w:vAlign w:val="center"/>
                </w:tcPr>
                <w:p w14:paraId="085CDD19">
                  <w:pPr>
                    <w:keepNext w:val="0"/>
                    <w:keepLines w:val="0"/>
                    <w:pageBreakBefore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环境风险防控</w:t>
                  </w:r>
                </w:p>
              </w:tc>
              <w:tc>
                <w:tcPr>
                  <w:tcW w:w="2631" w:type="pct"/>
                  <w:tcBorders>
                    <w:tl2br w:val="nil"/>
                    <w:tr2bl w:val="nil"/>
                  </w:tcBorders>
                  <w:noWrap w:val="0"/>
                  <w:vAlign w:val="center"/>
                </w:tcPr>
                <w:p w14:paraId="7A9F6BDE">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1.园区应建立三级防控及应急救援体系，编制园区环境风险应急预案；园区应落实环境风险防范措施，做好风险防护距离的管理，防止</w:t>
                  </w:r>
                </w:p>
                <w:p w14:paraId="22EDC434">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发生环境污染事件。建立重点风险源动态管理信息库、园区内外环境风险救援力量管理库以及应急监测小组，在发生风险环境污染事故时</w:t>
                  </w:r>
                  <w:r>
                    <w:rPr>
                      <w:rFonts w:hint="eastAsia" w:cs="Times New Roman"/>
                      <w:color w:val="000000"/>
                      <w:kern w:val="0"/>
                      <w:sz w:val="21"/>
                      <w:szCs w:val="21"/>
                      <w:lang w:val="en-US" w:eastAsia="zh-CN" w:bidi="ar"/>
                    </w:rPr>
                    <w:t>对</w:t>
                  </w:r>
                  <w:r>
                    <w:rPr>
                      <w:rFonts w:hint="default" w:ascii="Times New Roman" w:hAnsi="Times New Roman" w:eastAsia="宋体" w:cs="Times New Roman"/>
                      <w:color w:val="000000"/>
                      <w:kern w:val="0"/>
                      <w:sz w:val="21"/>
                      <w:szCs w:val="21"/>
                      <w:lang w:val="en-US" w:eastAsia="zh-CN" w:bidi="ar"/>
                    </w:rPr>
                    <w:t>事故现场及周边区域实施应急监测。不断完善环境风险防范机制和应急体系，构建有效的区域环境风险联防联控机制，最大限度降低环境风险。</w:t>
                  </w:r>
                </w:p>
                <w:p w14:paraId="4BD26C1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2.入园企业编制环境风险应急</w:t>
                  </w:r>
                  <w:r>
                    <w:rPr>
                      <w:rFonts w:hint="eastAsia" w:cs="Times New Roman"/>
                      <w:color w:val="000000"/>
                      <w:kern w:val="0"/>
                      <w:sz w:val="21"/>
                      <w:szCs w:val="21"/>
                      <w:lang w:val="en-US" w:eastAsia="zh-CN" w:bidi="ar"/>
                    </w:rPr>
                    <w:t>报告</w:t>
                  </w:r>
                  <w:r>
                    <w:rPr>
                      <w:rFonts w:hint="default" w:ascii="Times New Roman" w:hAnsi="Times New Roman" w:eastAsia="宋体" w:cs="Times New Roman"/>
                      <w:color w:val="000000"/>
                      <w:kern w:val="0"/>
                      <w:sz w:val="21"/>
                      <w:szCs w:val="21"/>
                      <w:lang w:val="en-US" w:eastAsia="zh-CN" w:bidi="ar"/>
                    </w:rPr>
                    <w:t>，重点风险源编制环境风险评估报告。</w:t>
                  </w:r>
                </w:p>
                <w:p w14:paraId="7BEAEB02">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3.企业产生的有机废气，有针对性</w:t>
                  </w:r>
                  <w:r>
                    <w:rPr>
                      <w:rFonts w:hint="eastAsia" w:cs="Times New Roman"/>
                      <w:color w:val="000000"/>
                      <w:kern w:val="0"/>
                      <w:sz w:val="21"/>
                      <w:szCs w:val="21"/>
                      <w:lang w:val="en-US" w:eastAsia="zh-CN" w:bidi="ar"/>
                    </w:rPr>
                    <w:t>地</w:t>
                  </w:r>
                  <w:r>
                    <w:rPr>
                      <w:rFonts w:hint="default" w:ascii="Times New Roman" w:hAnsi="Times New Roman" w:eastAsia="宋体" w:cs="Times New Roman"/>
                      <w:color w:val="000000"/>
                      <w:kern w:val="0"/>
                      <w:sz w:val="21"/>
                      <w:szCs w:val="21"/>
                      <w:lang w:val="en-US" w:eastAsia="zh-CN" w:bidi="ar"/>
                    </w:rPr>
                    <w:t>设置收集处置措施，加强废气管控。</w:t>
                  </w:r>
                </w:p>
                <w:p w14:paraId="5C509BF7">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4.存储危险化学品及产生大量废水的企业，应配套有效措施，防</w:t>
                  </w:r>
                  <w:r>
                    <w:rPr>
                      <w:rFonts w:hint="eastAsia" w:cs="Times New Roman"/>
                      <w:color w:val="000000"/>
                      <w:kern w:val="0"/>
                      <w:sz w:val="21"/>
                      <w:szCs w:val="21"/>
                      <w:lang w:val="en-US" w:eastAsia="zh-CN" w:bidi="ar"/>
                    </w:rPr>
                    <w:t>止</w:t>
                  </w:r>
                  <w:r>
                    <w:rPr>
                      <w:rFonts w:hint="default" w:ascii="Times New Roman" w:hAnsi="Times New Roman" w:eastAsia="宋体" w:cs="Times New Roman"/>
                      <w:color w:val="000000"/>
                      <w:kern w:val="0"/>
                      <w:sz w:val="21"/>
                      <w:szCs w:val="21"/>
                      <w:lang w:val="en-US" w:eastAsia="zh-CN" w:bidi="ar"/>
                    </w:rPr>
                    <w:t>因渗漏污染地下水、土壤，产生、利用或在处置固体废物的企业，应配</w:t>
                  </w:r>
                </w:p>
                <w:p w14:paraId="0B5570B0">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套防扬散、防流失、防渗漏及其他防治污染环境的措施。</w:t>
                  </w:r>
                </w:p>
                <w:p w14:paraId="6151B68C">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5.园区企业做好风险防范措施，合理设置初期雨水池、应急事故池。</w:t>
                  </w:r>
                </w:p>
                <w:p w14:paraId="53697A1D">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val="en-US" w:eastAsia="zh-CN" w:bidi="ar"/>
                    </w:rPr>
                    <w:t>6.土壤污染重点监管单位应当严格控制有毒有害物质排放，并按年度向生态环境主管部门报告排放情况；建立土壤污染隐患排查制度，保证持续有效防止有毒有害物质渗漏、流失、扬散；制定、实施自行监测方案，并将监测数据报生态环境主管部门。</w:t>
                  </w:r>
                </w:p>
              </w:tc>
              <w:tc>
                <w:tcPr>
                  <w:tcW w:w="1549" w:type="pct"/>
                  <w:tcBorders>
                    <w:tl2br w:val="nil"/>
                    <w:tr2bl w:val="nil"/>
                  </w:tcBorders>
                  <w:noWrap w:val="0"/>
                  <w:vAlign w:val="center"/>
                </w:tcPr>
                <w:p w14:paraId="6DED7686">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1.2.本项目厂区目前已</w:t>
                  </w:r>
                  <w:r>
                    <w:rPr>
                      <w:color w:val="auto"/>
                      <w:sz w:val="21"/>
                      <w:szCs w:val="21"/>
                      <w:highlight w:val="none"/>
                    </w:rPr>
                    <w:t>编制突发环境事件应急预案，并且</w:t>
                  </w:r>
                  <w:r>
                    <w:rPr>
                      <w:rFonts w:hint="eastAsia"/>
                      <w:color w:val="auto"/>
                      <w:sz w:val="21"/>
                      <w:szCs w:val="21"/>
                      <w:highlight w:val="none"/>
                      <w:lang w:eastAsia="zh-CN"/>
                    </w:rPr>
                    <w:t>由</w:t>
                  </w:r>
                  <w:r>
                    <w:rPr>
                      <w:color w:val="auto"/>
                      <w:sz w:val="21"/>
                      <w:szCs w:val="21"/>
                      <w:highlight w:val="none"/>
                    </w:rPr>
                    <w:t>鄂尔多斯市生态环境局</w:t>
                  </w:r>
                  <w:r>
                    <w:rPr>
                      <w:rFonts w:hint="eastAsia"/>
                      <w:color w:val="auto"/>
                      <w:sz w:val="21"/>
                      <w:szCs w:val="21"/>
                      <w:highlight w:val="none"/>
                      <w:lang w:val="en-US" w:eastAsia="zh-CN"/>
                    </w:rPr>
                    <w:t>杭锦旗</w:t>
                  </w:r>
                  <w:r>
                    <w:rPr>
                      <w:color w:val="auto"/>
                      <w:sz w:val="21"/>
                      <w:szCs w:val="21"/>
                      <w:highlight w:val="none"/>
                    </w:rPr>
                    <w:t>分局以备案编号15062</w:t>
                  </w:r>
                  <w:r>
                    <w:rPr>
                      <w:rFonts w:hint="eastAsia"/>
                      <w:color w:val="auto"/>
                      <w:sz w:val="21"/>
                      <w:szCs w:val="21"/>
                      <w:highlight w:val="none"/>
                      <w:lang w:val="en-US" w:eastAsia="zh-CN"/>
                    </w:rPr>
                    <w:t>5</w:t>
                  </w:r>
                  <w:r>
                    <w:rPr>
                      <w:color w:val="auto"/>
                      <w:sz w:val="21"/>
                      <w:szCs w:val="21"/>
                      <w:highlight w:val="none"/>
                    </w:rPr>
                    <w:t>-202</w:t>
                  </w:r>
                  <w:r>
                    <w:rPr>
                      <w:rFonts w:hint="eastAsia"/>
                      <w:color w:val="auto"/>
                      <w:sz w:val="21"/>
                      <w:szCs w:val="21"/>
                      <w:highlight w:val="none"/>
                      <w:lang w:val="en-US" w:eastAsia="zh-CN"/>
                    </w:rPr>
                    <w:t>4</w:t>
                  </w:r>
                  <w:r>
                    <w:rPr>
                      <w:color w:val="auto"/>
                      <w:sz w:val="21"/>
                      <w:szCs w:val="21"/>
                      <w:highlight w:val="none"/>
                    </w:rPr>
                    <w:t>-</w:t>
                  </w:r>
                  <w:r>
                    <w:rPr>
                      <w:rFonts w:hint="eastAsia"/>
                      <w:color w:val="auto"/>
                      <w:sz w:val="21"/>
                      <w:szCs w:val="21"/>
                      <w:highlight w:val="none"/>
                      <w:lang w:val="en-US" w:eastAsia="zh-CN"/>
                    </w:rPr>
                    <w:t>18</w:t>
                  </w:r>
                  <w:r>
                    <w:rPr>
                      <w:color w:val="auto"/>
                      <w:sz w:val="21"/>
                      <w:szCs w:val="21"/>
                      <w:highlight w:val="none"/>
                    </w:rPr>
                    <w:t>-</w:t>
                  </w:r>
                  <w:r>
                    <w:rPr>
                      <w:rFonts w:hint="eastAsia"/>
                      <w:color w:val="auto"/>
                      <w:sz w:val="21"/>
                      <w:szCs w:val="21"/>
                      <w:highlight w:val="none"/>
                      <w:lang w:val="en-US" w:eastAsia="zh-CN"/>
                    </w:rPr>
                    <w:t>L</w:t>
                  </w:r>
                  <w:r>
                    <w:rPr>
                      <w:color w:val="auto"/>
                      <w:sz w:val="21"/>
                      <w:szCs w:val="21"/>
                      <w:highlight w:val="none"/>
                    </w:rPr>
                    <w:t>进行备案。</w:t>
                  </w:r>
                  <w:r>
                    <w:rPr>
                      <w:rFonts w:hint="eastAsia"/>
                      <w:color w:val="auto"/>
                      <w:sz w:val="21"/>
                      <w:szCs w:val="21"/>
                      <w:highlight w:val="none"/>
                      <w:lang w:val="en-US" w:eastAsia="zh-CN"/>
                    </w:rPr>
                    <w:t>后续应及时修订。</w:t>
                  </w:r>
                </w:p>
                <w:p w14:paraId="6D6ABE6C">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3.本项目产生的不凝气</w:t>
                  </w:r>
                  <w:r>
                    <w:rPr>
                      <w:rFonts w:hint="default" w:ascii="Times New Roman" w:hAnsi="Times New Roman" w:eastAsia="宋体" w:cs="Times New Roman"/>
                      <w:color w:val="000000"/>
                      <w:kern w:val="0"/>
                      <w:szCs w:val="21"/>
                      <w:lang w:val="en-US" w:eastAsia="zh-CN"/>
                    </w:rPr>
                    <w:t>经</w:t>
                  </w:r>
                  <w:r>
                    <w:rPr>
                      <w:rFonts w:hint="default" w:ascii="Times New Roman" w:hAnsi="Times New Roman" w:eastAsia="宋体" w:cs="Times New Roman"/>
                      <w:color w:val="000000"/>
                      <w:kern w:val="0"/>
                      <w:szCs w:val="21"/>
                    </w:rPr>
                    <w:t>过</w:t>
                  </w:r>
                  <w:r>
                    <w:rPr>
                      <w:rFonts w:hint="default" w:ascii="Times New Roman" w:hAnsi="Times New Roman" w:eastAsia="宋体" w:cs="Times New Roman"/>
                      <w:color w:val="000000"/>
                      <w:kern w:val="0"/>
                      <w:szCs w:val="21"/>
                      <w:lang w:val="en-US" w:eastAsia="zh-CN"/>
                    </w:rPr>
                    <w:t>合成装置</w:t>
                  </w:r>
                  <w:r>
                    <w:rPr>
                      <w:rFonts w:hint="default" w:ascii="Times New Roman" w:hAnsi="Times New Roman" w:eastAsia="宋体" w:cs="Times New Roman"/>
                      <w:color w:val="000000"/>
                      <w:kern w:val="0"/>
                      <w:szCs w:val="21"/>
                    </w:rPr>
                    <w:t>释放气压缩机分液罐（26121-V018）分液后进入释放气压缩机（26121-C002A/B），释放气经四级压缩后送至下游的尾气脱碳单元进行处理。一、二、三、四级压缩凝液送至油水分离器（26111-V012）。</w:t>
                  </w:r>
                  <w:r>
                    <w:rPr>
                      <w:rFonts w:hint="default" w:ascii="Times New Roman" w:hAnsi="Times New Roman" w:eastAsia="宋体" w:cs="Times New Roman"/>
                      <w:color w:val="000000"/>
                      <w:kern w:val="0"/>
                      <w:szCs w:val="21"/>
                      <w:lang w:val="en-US" w:eastAsia="zh-CN"/>
                    </w:rPr>
                    <w:t>尾气脱碳单元一部分气体进入合</w:t>
                  </w:r>
                  <w:r>
                    <w:rPr>
                      <w:rFonts w:hint="eastAsia" w:cs="Times New Roman"/>
                      <w:color w:val="000000"/>
                      <w:kern w:val="0"/>
                      <w:szCs w:val="21"/>
                      <w:lang w:val="en-US" w:eastAsia="zh-CN"/>
                    </w:rPr>
                    <w:t>成装置产出产品，另一部分气体进入加工油洗单元</w:t>
                  </w:r>
                  <w:r>
                    <w:rPr>
                      <w:rFonts w:hint="default" w:ascii="Times New Roman" w:hAnsi="Times New Roman" w:eastAsia="宋体" w:cs="Times New Roman"/>
                      <w:color w:val="000000"/>
                      <w:kern w:val="0"/>
                      <w:szCs w:val="21"/>
                      <w:lang w:val="en-US" w:eastAsia="zh-CN"/>
                    </w:rPr>
                    <w:t>产出产品</w:t>
                  </w:r>
                  <w:r>
                    <w:rPr>
                      <w:rFonts w:hint="eastAsia"/>
                      <w:color w:val="auto"/>
                      <w:sz w:val="21"/>
                      <w:szCs w:val="21"/>
                      <w:highlight w:val="none"/>
                      <w:lang w:val="en-US" w:eastAsia="zh-CN"/>
                    </w:rPr>
                    <w:t>。</w:t>
                  </w:r>
                </w:p>
                <w:p w14:paraId="50880FF5">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w:t>
                  </w:r>
                  <w:r>
                    <w:rPr>
                      <w:rFonts w:hint="eastAsia"/>
                      <w:highlight w:val="none"/>
                      <w:lang w:val="en-US" w:eastAsia="zh-CN"/>
                    </w:rPr>
                    <w:t>本项目不储存危险化学品及产生大量废水。</w:t>
                  </w:r>
                </w:p>
                <w:p w14:paraId="2F8CF3D9">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5.本项目位于独贵塔拉产业园南项目区内蒙古伊泰化工有限责任公司现有厂区内，园区已采取完善的风险防范措施。</w:t>
                  </w:r>
                </w:p>
                <w:p w14:paraId="62E5AB39">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6.本项目不属于土壤污染重点监管单位。</w:t>
                  </w:r>
                </w:p>
              </w:tc>
              <w:tc>
                <w:tcPr>
                  <w:tcW w:w="514" w:type="pct"/>
                  <w:tcBorders>
                    <w:right w:val="single" w:color="auto" w:sz="4" w:space="0"/>
                    <w:tl2br w:val="nil"/>
                    <w:tr2bl w:val="nil"/>
                  </w:tcBorders>
                  <w:noWrap w:val="0"/>
                  <w:vAlign w:val="center"/>
                </w:tcPr>
                <w:p w14:paraId="2B6EAE79">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符合</w:t>
                  </w:r>
                </w:p>
              </w:tc>
            </w:tr>
            <w:tr w14:paraId="452D51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4" w:type="pct"/>
                  <w:tcBorders>
                    <w:left w:val="single" w:color="auto" w:sz="4" w:space="0"/>
                    <w:bottom w:val="single" w:color="auto" w:sz="4" w:space="0"/>
                    <w:tl2br w:val="nil"/>
                    <w:tr2bl w:val="nil"/>
                  </w:tcBorders>
                  <w:noWrap w:val="0"/>
                  <w:vAlign w:val="center"/>
                </w:tcPr>
                <w:p w14:paraId="08A6D0E8">
                  <w:pPr>
                    <w:keepNext w:val="0"/>
                    <w:keepLines w:val="0"/>
                    <w:pageBreakBefore w:val="0"/>
                    <w:kinsoku/>
                    <w:wordWrap/>
                    <w:overflowPunct/>
                    <w:topLinePunct w:val="0"/>
                    <w:autoSpaceDE/>
                    <w:autoSpaceDN/>
                    <w:bidi w:val="0"/>
                    <w:adjustRightInd/>
                    <w:snapToGrid w:val="0"/>
                    <w:spacing w:line="240" w:lineRule="auto"/>
                    <w:ind w:firstLine="0" w:firstLineChars="0"/>
                    <w:jc w:val="both"/>
                    <w:textAlignment w:val="auto"/>
                    <w:rPr>
                      <w:rFonts w:hint="default" w:ascii="Times New Roman" w:hAnsi="Times New Roman" w:eastAsia="宋体" w:cs="Times New Roman"/>
                      <w:color w:val="000000"/>
                      <w:kern w:val="0"/>
                      <w:sz w:val="21"/>
                      <w:szCs w:val="21"/>
                      <w:lang w:val="en-US" w:eastAsia="zh-CN"/>
                    </w:rPr>
                  </w:pPr>
                  <w:r>
                    <w:rPr>
                      <w:rFonts w:hint="default" w:ascii="Times New Roman" w:hAnsi="Times New Roman" w:eastAsia="宋体" w:cs="Times New Roman"/>
                      <w:color w:val="000000"/>
                      <w:kern w:val="0"/>
                      <w:sz w:val="21"/>
                      <w:szCs w:val="21"/>
                      <w:lang w:val="en-US" w:eastAsia="zh-CN"/>
                    </w:rPr>
                    <w:t>资源利用效率要求</w:t>
                  </w:r>
                </w:p>
              </w:tc>
              <w:tc>
                <w:tcPr>
                  <w:tcW w:w="2631" w:type="pct"/>
                  <w:tcBorders>
                    <w:bottom w:val="single" w:color="auto" w:sz="4" w:space="0"/>
                    <w:tl2br w:val="nil"/>
                    <w:tr2bl w:val="nil"/>
                  </w:tcBorders>
                  <w:noWrap w:val="0"/>
                  <w:vAlign w:val="center"/>
                </w:tcPr>
                <w:p w14:paraId="2519AAA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1.坚持</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以水定产业、以水定规模</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，做好节水工作，按分质供水原则，合理进行水资源分配，优先使用中水。严控地下水超采。实行地下水</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五控</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制度。</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五控</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即严格管控地下水开发利用总量、水位、用途、水质及机电井数量。</w:t>
                  </w:r>
                </w:p>
                <w:p w14:paraId="1E5B131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2.推进能源梯级利用，提高能源利用效率，鼓励使用清洁燃料或可再生能源。</w:t>
                  </w:r>
                </w:p>
                <w:p w14:paraId="18ACC161">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3.根据土地资源利用上线，规划建设项目占地不突破集中建设用地规模，占用弹性用地，实行占补平衡。</w:t>
                  </w:r>
                </w:p>
                <w:p w14:paraId="29AA347E">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4.入园企业生产不采用地下水，优先采用再生水、地表水。</w:t>
                  </w:r>
                </w:p>
                <w:p w14:paraId="10DEED13">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5.加强能耗</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双控</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工作。强化能耗源头管控，严格执行质量、环保、能耗等标准，坚决遏制高耗能项目低水平重复建设，加快淘汰落后产</w:t>
                  </w:r>
                </w:p>
                <w:p w14:paraId="1EF52566">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能。新建项目单位产品能耗必须达到国家先进标准。</w:t>
                  </w:r>
                </w:p>
                <w:p w14:paraId="50AFF66A">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color w:val="000000"/>
                      <w:kern w:val="0"/>
                      <w:sz w:val="21"/>
                      <w:szCs w:val="21"/>
                      <w:lang w:val="en-US" w:eastAsia="zh-CN" w:bidi="ar"/>
                    </w:rPr>
                    <w:t>6.加强重点领域节能降碳</w:t>
                  </w:r>
                  <w:r>
                    <w:rPr>
                      <w:rFonts w:hint="eastAsia" w:cs="Times New Roman"/>
                      <w:color w:val="000000"/>
                      <w:kern w:val="0"/>
                      <w:sz w:val="21"/>
                      <w:szCs w:val="21"/>
                      <w:lang w:val="en-US" w:eastAsia="zh-CN" w:bidi="ar"/>
                    </w:rPr>
                    <w:t>工作</w:t>
                  </w:r>
                  <w:r>
                    <w:rPr>
                      <w:rFonts w:hint="default" w:ascii="Times New Roman" w:hAnsi="Times New Roman" w:eastAsia="宋体" w:cs="Times New Roman"/>
                      <w:color w:val="000000"/>
                      <w:kern w:val="0"/>
                      <w:sz w:val="21"/>
                      <w:szCs w:val="21"/>
                      <w:lang w:val="en-US" w:eastAsia="zh-CN" w:bidi="ar"/>
                    </w:rPr>
                    <w:t>。实施工业能效赶超行动和低碳标杆引领计划。在重点行业全面推行能效和碳排放对标活动，推动实施能效</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领跑者</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制度。全面推行用能预算管理和重点用能单位能耗在线监测。</w:t>
                  </w:r>
                </w:p>
                <w:p w14:paraId="5B8C5F8F">
                  <w:pPr>
                    <w:keepNext w:val="0"/>
                    <w:keepLines w:val="0"/>
                    <w:pageBreakBefore w:val="0"/>
                    <w:widowControl/>
                    <w:suppressLineNumbers w:val="0"/>
                    <w:kinsoku/>
                    <w:wordWrap/>
                    <w:overflowPunct/>
                    <w:topLinePunct w:val="0"/>
                    <w:autoSpaceDE/>
                    <w:autoSpaceDN/>
                    <w:bidi w:val="0"/>
                    <w:adjustRightInd/>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lang w:val="en-US" w:eastAsia="zh-CN" w:bidi="ar"/>
                    </w:rPr>
                    <w:t>7</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入园</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两高</w:t>
                  </w:r>
                  <w:r>
                    <w:rPr>
                      <w:rFonts w:hint="eastAsia" w:cs="Times New Roman"/>
                      <w:color w:val="000000"/>
                      <w:kern w:val="0"/>
                      <w:sz w:val="21"/>
                      <w:szCs w:val="21"/>
                      <w:lang w:val="en-US" w:eastAsia="zh-CN" w:bidi="ar"/>
                    </w:rPr>
                    <w:t>”</w:t>
                  </w:r>
                  <w:r>
                    <w:rPr>
                      <w:rFonts w:hint="default" w:ascii="Times New Roman" w:hAnsi="Times New Roman" w:eastAsia="宋体" w:cs="Times New Roman"/>
                      <w:color w:val="000000"/>
                      <w:kern w:val="0"/>
                      <w:sz w:val="21"/>
                      <w:szCs w:val="21"/>
                      <w:lang w:val="en-US" w:eastAsia="zh-CN" w:bidi="ar"/>
                    </w:rPr>
                    <w:t>项目要满足《高耗能行业重点领域能效标杆水平和基准水平》</w:t>
                  </w:r>
                  <w:r>
                    <w:rPr>
                      <w:rFonts w:hint="eastAsia" w:cs="Times New Roman"/>
                      <w:color w:val="000000"/>
                      <w:kern w:val="0"/>
                      <w:sz w:val="21"/>
                      <w:szCs w:val="21"/>
                      <w:lang w:val="en-US" w:eastAsia="zh-CN" w:bidi="ar"/>
                    </w:rPr>
                    <w:t>的要求</w:t>
                  </w:r>
                  <w:r>
                    <w:rPr>
                      <w:rFonts w:hint="default" w:ascii="Times New Roman" w:hAnsi="Times New Roman" w:eastAsia="宋体" w:cs="Times New Roman"/>
                      <w:color w:val="000000"/>
                      <w:kern w:val="0"/>
                      <w:sz w:val="21"/>
                      <w:szCs w:val="21"/>
                      <w:lang w:val="en-US" w:eastAsia="zh-CN" w:bidi="ar"/>
                    </w:rPr>
                    <w:t>。</w:t>
                  </w:r>
                </w:p>
              </w:tc>
              <w:tc>
                <w:tcPr>
                  <w:tcW w:w="1549" w:type="pct"/>
                  <w:tcBorders>
                    <w:bottom w:val="single" w:color="auto" w:sz="4" w:space="0"/>
                    <w:tl2br w:val="nil"/>
                    <w:tr2bl w:val="nil"/>
                  </w:tcBorders>
                  <w:noWrap w:val="0"/>
                  <w:vAlign w:val="center"/>
                </w:tcPr>
                <w:p w14:paraId="5BF93011">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lang w:val="en-US" w:eastAsia="zh-CN"/>
                    </w:rPr>
                    <w:t>本项目不采用地下水，废水不外排</w:t>
                  </w:r>
                  <w:r>
                    <w:rPr>
                      <w:rFonts w:hint="eastAsia" w:ascii="Times New Roman" w:hAnsi="Times New Roman" w:eastAsia="宋体" w:cs="Times New Roman"/>
                      <w:bCs/>
                      <w:kern w:val="0"/>
                      <w:sz w:val="21"/>
                      <w:szCs w:val="21"/>
                      <w:lang w:eastAsia="zh-CN"/>
                    </w:rPr>
                    <w:t>；</w:t>
                  </w:r>
                  <w:r>
                    <w:rPr>
                      <w:rFonts w:hint="eastAsia" w:ascii="Times New Roman" w:hAnsi="Times New Roman" w:eastAsia="宋体" w:cs="Times New Roman"/>
                      <w:color w:val="000000"/>
                      <w:kern w:val="0"/>
                      <w:sz w:val="21"/>
                      <w:szCs w:val="21"/>
                      <w:lang w:val="en-US" w:eastAsia="zh-CN"/>
                    </w:rPr>
                    <w:t>不新建分散热源，在现有厂区建设不新增占地。</w:t>
                  </w:r>
                </w:p>
              </w:tc>
              <w:tc>
                <w:tcPr>
                  <w:tcW w:w="514" w:type="pct"/>
                  <w:tcBorders>
                    <w:bottom w:val="single" w:color="auto" w:sz="4" w:space="0"/>
                    <w:right w:val="single" w:color="auto" w:sz="4" w:space="0"/>
                    <w:tl2br w:val="nil"/>
                    <w:tr2bl w:val="nil"/>
                  </w:tcBorders>
                  <w:noWrap w:val="0"/>
                  <w:vAlign w:val="center"/>
                </w:tcPr>
                <w:p w14:paraId="016F6E6A">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kern w:val="0"/>
                      <w:sz w:val="21"/>
                      <w:szCs w:val="21"/>
                      <w:lang w:val="en-US" w:eastAsia="zh-CN"/>
                    </w:rPr>
                  </w:pPr>
                  <w:r>
                    <w:rPr>
                      <w:rFonts w:hint="eastAsia" w:ascii="Times New Roman" w:hAnsi="Times New Roman" w:eastAsia="宋体" w:cs="Times New Roman"/>
                      <w:color w:val="000000"/>
                      <w:kern w:val="0"/>
                      <w:sz w:val="21"/>
                      <w:szCs w:val="21"/>
                      <w:lang w:val="en-US" w:eastAsia="zh-CN"/>
                    </w:rPr>
                    <w:t>符合</w:t>
                  </w:r>
                </w:p>
              </w:tc>
            </w:tr>
          </w:tbl>
          <w:p w14:paraId="1DF8946F">
            <w:pPr>
              <w:pStyle w:val="105"/>
              <w:spacing w:line="360" w:lineRule="auto"/>
              <w:ind w:firstLine="0" w:firstLineChars="0"/>
              <w:jc w:val="center"/>
              <w:rPr>
                <w:rFonts w:ascii="Times New Roman" w:hAnsi="Times New Roman" w:eastAsia="宋体" w:cs="Times New Roman"/>
                <w:b/>
                <w:color w:val="000000"/>
                <w:kern w:val="2"/>
                <w:sz w:val="24"/>
              </w:rPr>
            </w:pPr>
          </w:p>
        </w:tc>
      </w:tr>
      <w:tr w14:paraId="2060ED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1" w:hRule="atLeast"/>
          <w:jc w:val="center"/>
        </w:trPr>
        <w:tc>
          <w:tcPr>
            <w:tcW w:w="1816" w:type="dxa"/>
            <w:noWrap w:val="0"/>
            <w:vAlign w:val="center"/>
          </w:tcPr>
          <w:p w14:paraId="13AAAA93">
            <w:pPr>
              <w:autoSpaceDE w:val="0"/>
              <w:autoSpaceDN w:val="0"/>
              <w:adjustRightInd w:val="0"/>
              <w:snapToGrid w:val="0"/>
              <w:jc w:val="center"/>
              <w:rPr>
                <w:rFonts w:ascii="Times New Roman" w:hAnsi="Times New Roman" w:eastAsia="宋体" w:cs="Times New Roman"/>
                <w:b/>
                <w:color w:val="000000"/>
                <w:kern w:val="0"/>
                <w:sz w:val="24"/>
                <w:szCs w:val="21"/>
              </w:rPr>
            </w:pPr>
            <w:r>
              <w:rPr>
                <w:rFonts w:ascii="Times New Roman" w:hAnsi="Times New Roman" w:eastAsia="宋体" w:cs="Times New Roman"/>
                <w:b/>
                <w:color w:val="000000"/>
                <w:kern w:val="0"/>
                <w:sz w:val="24"/>
                <w:szCs w:val="21"/>
              </w:rPr>
              <w:t>其他符合性分析</w:t>
            </w:r>
          </w:p>
        </w:tc>
        <w:tc>
          <w:tcPr>
            <w:tcW w:w="7540" w:type="dxa"/>
            <w:gridSpan w:val="3"/>
            <w:noWrap w:val="0"/>
            <w:vAlign w:val="center"/>
          </w:tcPr>
          <w:p w14:paraId="006D81C2">
            <w:pPr>
              <w:adjustRightInd w:val="0"/>
              <w:snapToGrid w:val="0"/>
              <w:spacing w:line="360" w:lineRule="auto"/>
              <w:ind w:firstLine="482" w:firstLineChars="200"/>
              <w:rPr>
                <w:rFonts w:ascii="Times New Roman" w:hAnsi="Times New Roman" w:eastAsia="宋体" w:cs="Times New Roman"/>
                <w:b/>
                <w:bCs/>
                <w:color w:val="000000"/>
                <w:sz w:val="24"/>
              </w:rPr>
            </w:pPr>
            <w:r>
              <w:rPr>
                <w:rFonts w:ascii="Times New Roman" w:hAnsi="Times New Roman" w:eastAsia="宋体" w:cs="Times New Roman"/>
                <w:b/>
                <w:bCs/>
                <w:color w:val="000000"/>
                <w:sz w:val="24"/>
              </w:rPr>
              <w:t>1</w:t>
            </w:r>
            <w:r>
              <w:rPr>
                <w:rFonts w:hint="eastAsia" w:ascii="Times New Roman" w:hAnsi="Times New Roman" w:eastAsia="宋体" w:cs="Times New Roman"/>
                <w:b/>
                <w:bCs/>
                <w:color w:val="000000"/>
                <w:sz w:val="24"/>
              </w:rPr>
              <w:t>.</w:t>
            </w:r>
            <w:r>
              <w:rPr>
                <w:rFonts w:ascii="Times New Roman" w:hAnsi="Times New Roman" w:eastAsia="宋体" w:cs="Times New Roman"/>
                <w:b/>
                <w:bCs/>
                <w:color w:val="000000"/>
                <w:sz w:val="24"/>
              </w:rPr>
              <w:t>产业政策符合性</w:t>
            </w:r>
          </w:p>
          <w:p w14:paraId="50796718">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根据《产业结构调整指导目录（20</w:t>
            </w:r>
            <w:r>
              <w:rPr>
                <w:rFonts w:hint="eastAsia" w:ascii="Times New Roman" w:hAnsi="Times New Roman" w:eastAsia="宋体" w:cs="Times New Roman"/>
                <w:bCs/>
                <w:color w:val="000000"/>
                <w:sz w:val="24"/>
              </w:rPr>
              <w:t>24</w:t>
            </w:r>
            <w:r>
              <w:rPr>
                <w:rFonts w:ascii="Times New Roman" w:hAnsi="Times New Roman" w:eastAsia="宋体" w:cs="Times New Roman"/>
                <w:bCs/>
                <w:color w:val="000000"/>
                <w:sz w:val="24"/>
              </w:rPr>
              <w:t>年本）》的规定，本项目不属于限制类、淘汰类和鼓励类，为允许类项目。同时，项目已取得杭锦旗</w:t>
            </w:r>
            <w:r>
              <w:rPr>
                <w:rFonts w:hint="eastAsia" w:ascii="Times New Roman" w:hAnsi="Times New Roman" w:eastAsia="宋体" w:cs="Times New Roman"/>
                <w:bCs/>
                <w:color w:val="000000"/>
                <w:sz w:val="24"/>
              </w:rPr>
              <w:t>工信和科技局</w:t>
            </w:r>
            <w:r>
              <w:rPr>
                <w:rFonts w:ascii="Times New Roman" w:hAnsi="Times New Roman" w:eastAsia="宋体" w:cs="Times New Roman"/>
                <w:bCs/>
                <w:color w:val="000000"/>
                <w:sz w:val="24"/>
              </w:rPr>
              <w:t>备案，项目代码为</w:t>
            </w:r>
            <w:r>
              <w:rPr>
                <w:rFonts w:hint="eastAsia" w:ascii="Times New Roman" w:hAnsi="Times New Roman" w:eastAsia="宋体" w:cs="Times New Roman"/>
                <w:color w:val="000000"/>
                <w:sz w:val="24"/>
              </w:rPr>
              <w:t>250</w:t>
            </w:r>
            <w:r>
              <w:rPr>
                <w:rFonts w:hint="eastAsia" w:ascii="Times New Roman" w:hAnsi="Times New Roman" w:eastAsia="宋体" w:cs="Times New Roman"/>
                <w:color w:val="000000"/>
                <w:sz w:val="24"/>
                <w:lang w:val="en-US" w:eastAsia="zh-CN"/>
              </w:rPr>
              <w:t>7</w:t>
            </w:r>
            <w:r>
              <w:rPr>
                <w:rFonts w:hint="eastAsia" w:ascii="Times New Roman" w:hAnsi="Times New Roman" w:eastAsia="宋体" w:cs="Times New Roman"/>
                <w:color w:val="000000"/>
                <w:sz w:val="24"/>
              </w:rPr>
              <w:t>-150625-07-02-</w:t>
            </w:r>
            <w:r>
              <w:rPr>
                <w:rFonts w:hint="eastAsia" w:cs="Times New Roman"/>
                <w:color w:val="000000"/>
                <w:sz w:val="24"/>
                <w:lang w:val="en-US" w:eastAsia="zh-CN"/>
              </w:rPr>
              <w:t>581957</w:t>
            </w:r>
            <w:r>
              <w:rPr>
                <w:rFonts w:hint="eastAsia" w:ascii="Times New Roman" w:hAnsi="Times New Roman" w:eastAsia="宋体" w:cs="Times New Roman"/>
                <w:bCs/>
                <w:color w:val="000000"/>
                <w:sz w:val="24"/>
                <w:lang w:eastAsia="zh-CN"/>
              </w:rPr>
              <w:t>。</w:t>
            </w:r>
            <w:r>
              <w:rPr>
                <w:rFonts w:ascii="Times New Roman" w:hAnsi="Times New Roman" w:eastAsia="宋体" w:cs="Times New Roman"/>
                <w:bCs/>
                <w:color w:val="000000"/>
                <w:sz w:val="24"/>
              </w:rPr>
              <w:t>项目符合产业政策。</w:t>
            </w:r>
          </w:p>
          <w:p w14:paraId="45D2308D">
            <w:pPr>
              <w:adjustRightInd w:val="0"/>
              <w:snapToGrid w:val="0"/>
              <w:spacing w:line="360" w:lineRule="auto"/>
              <w:ind w:firstLine="482" w:firstLineChars="200"/>
              <w:rPr>
                <w:rFonts w:ascii="Times New Roman" w:hAnsi="Times New Roman" w:eastAsia="宋体" w:cs="Times New Roman"/>
                <w:b/>
                <w:bCs/>
                <w:color w:val="000000"/>
                <w:sz w:val="24"/>
              </w:rPr>
            </w:pPr>
            <w:r>
              <w:rPr>
                <w:rFonts w:ascii="Times New Roman" w:hAnsi="Times New Roman" w:eastAsia="宋体" w:cs="Times New Roman"/>
                <w:b/>
                <w:bCs/>
                <w:color w:val="000000"/>
                <w:sz w:val="24"/>
              </w:rPr>
              <w:t>2</w:t>
            </w:r>
            <w:r>
              <w:rPr>
                <w:rFonts w:hint="eastAsia" w:ascii="Times New Roman" w:hAnsi="Times New Roman" w:eastAsia="宋体" w:cs="Times New Roman"/>
                <w:b/>
                <w:bCs/>
                <w:color w:val="000000"/>
                <w:sz w:val="24"/>
              </w:rPr>
              <w:t>.生态环境分区管控符合性分析</w:t>
            </w:r>
          </w:p>
          <w:p w14:paraId="7494AE1F">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fldChar w:fldCharType="begin"/>
            </w:r>
            <w:r>
              <w:rPr>
                <w:rFonts w:ascii="Times New Roman" w:hAnsi="Times New Roman" w:eastAsia="宋体" w:cs="Times New Roman"/>
                <w:bCs/>
                <w:color w:val="000000"/>
                <w:sz w:val="24"/>
              </w:rPr>
              <w:instrText xml:space="preserve"> = 1 \* GB2 </w:instrText>
            </w:r>
            <w:r>
              <w:rPr>
                <w:rFonts w:ascii="Times New Roman" w:hAnsi="Times New Roman" w:eastAsia="宋体" w:cs="Times New Roman"/>
                <w:bCs/>
                <w:color w:val="000000"/>
                <w:sz w:val="24"/>
              </w:rPr>
              <w:fldChar w:fldCharType="separate"/>
            </w:r>
            <w:r>
              <w:rPr>
                <w:rFonts w:hint="eastAsia" w:ascii="Times New Roman" w:hAnsi="Times New Roman" w:eastAsia="宋体" w:cs="Times New Roman"/>
                <w:bCs/>
                <w:color w:val="000000"/>
                <w:sz w:val="24"/>
              </w:rPr>
              <w:t>⑴</w:t>
            </w:r>
            <w:r>
              <w:rPr>
                <w:rFonts w:ascii="Times New Roman" w:hAnsi="Times New Roman" w:eastAsia="宋体" w:cs="Times New Roman"/>
                <w:bCs/>
                <w:color w:val="000000"/>
                <w:sz w:val="24"/>
              </w:rPr>
              <w:fldChar w:fldCharType="end"/>
            </w:r>
            <w:r>
              <w:rPr>
                <w:rFonts w:ascii="Times New Roman" w:hAnsi="Times New Roman" w:eastAsia="宋体" w:cs="Times New Roman"/>
                <w:bCs/>
                <w:color w:val="000000"/>
                <w:sz w:val="24"/>
              </w:rPr>
              <w:t>生态保护红线</w:t>
            </w:r>
          </w:p>
          <w:p w14:paraId="06181F1D">
            <w:pPr>
              <w:adjustRightInd w:val="0"/>
              <w:snapToGrid w:val="0"/>
              <w:spacing w:line="360" w:lineRule="auto"/>
              <w:ind w:firstLine="480" w:firstLineChars="200"/>
              <w:rPr>
                <w:rFonts w:ascii="Times New Roman" w:hAnsi="Times New Roman" w:eastAsia="宋体" w:cs="Times New Roman"/>
                <w:bCs/>
                <w:color w:val="000000"/>
                <w:sz w:val="24"/>
              </w:rPr>
            </w:pPr>
            <w:r>
              <w:rPr>
                <w:rFonts w:hint="eastAsia" w:ascii="Times New Roman" w:hAnsi="Times New Roman" w:eastAsia="宋体" w:cs="Times New Roman"/>
                <w:bCs/>
                <w:color w:val="000000"/>
                <w:sz w:val="24"/>
                <w:lang w:val="en-US" w:eastAsia="zh-CN"/>
              </w:rPr>
              <w:t>本章节编制依据为</w:t>
            </w:r>
            <w:r>
              <w:rPr>
                <w:rFonts w:ascii="Times New Roman" w:hAnsi="Times New Roman" w:eastAsia="宋体" w:cs="Times New Roman"/>
                <w:bCs/>
                <w:color w:val="000000"/>
                <w:sz w:val="24"/>
              </w:rPr>
              <w:t>《鄂尔多斯市人民政府关于</w:t>
            </w:r>
            <w:r>
              <w:rPr>
                <w:rFonts w:hint="eastAsia" w:cs="Times New Roman"/>
                <w:bCs/>
                <w:color w:val="000000"/>
                <w:sz w:val="24"/>
                <w:lang w:eastAsia="zh-CN"/>
              </w:rPr>
              <w:t>“</w:t>
            </w:r>
            <w:r>
              <w:rPr>
                <w:rFonts w:ascii="Times New Roman" w:hAnsi="Times New Roman" w:eastAsia="宋体" w:cs="Times New Roman"/>
                <w:bCs/>
                <w:color w:val="000000"/>
                <w:sz w:val="24"/>
              </w:rPr>
              <w:t>三线一单</w:t>
            </w:r>
            <w:r>
              <w:rPr>
                <w:rFonts w:hint="eastAsia" w:cs="Times New Roman"/>
                <w:color w:val="000000"/>
                <w:kern w:val="0"/>
                <w:sz w:val="24"/>
                <w:szCs w:val="21"/>
                <w:lang w:eastAsia="zh-CN"/>
              </w:rPr>
              <w:t>”</w:t>
            </w:r>
            <w:r>
              <w:rPr>
                <w:rFonts w:ascii="Times New Roman" w:hAnsi="Times New Roman" w:eastAsia="宋体" w:cs="Times New Roman"/>
                <w:bCs/>
                <w:color w:val="000000"/>
                <w:sz w:val="24"/>
              </w:rPr>
              <w:t>生态环境分区管控的实施意见》鄂府发〔2021〕218号及《鄂尔多斯市生态环境分区管控动态更新成果（2023年版）》。</w:t>
            </w:r>
          </w:p>
          <w:p w14:paraId="444069A8">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调整后，全市按优先保护、重点管控、一般管控三大类划分为171个环境管控单元。其中，优先保护单元76个，面积占比64.35%；重点管控单元86个，面积占比28.10%；一般管控单元9个，面积占比7.56%。</w:t>
            </w:r>
          </w:p>
          <w:p w14:paraId="1A94CECA">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本项目位于</w:t>
            </w:r>
            <w:r>
              <w:rPr>
                <w:rFonts w:hint="eastAsia" w:ascii="Times New Roman" w:hAnsi="Times New Roman" w:eastAsia="宋体" w:cs="Times New Roman"/>
                <w:bCs/>
                <w:color w:val="000000"/>
                <w:sz w:val="24"/>
              </w:rPr>
              <w:t>杭锦旗经济开发区独贵塔拉产业园</w:t>
            </w:r>
            <w:r>
              <w:rPr>
                <w:rFonts w:ascii="Times New Roman" w:hAnsi="Times New Roman" w:eastAsia="宋体" w:cs="Times New Roman"/>
                <w:bCs/>
                <w:color w:val="000000"/>
                <w:sz w:val="24"/>
              </w:rPr>
              <w:t>，根据鄂尔多斯市环境管控单元图（见图</w:t>
            </w:r>
            <w:r>
              <w:rPr>
                <w:rFonts w:hint="eastAsia" w:ascii="Times New Roman" w:hAnsi="Times New Roman" w:eastAsia="宋体" w:cs="Times New Roman"/>
                <w:bCs/>
                <w:color w:val="000000"/>
                <w:sz w:val="24"/>
                <w:lang w:val="en-US" w:eastAsia="zh-CN"/>
              </w:rPr>
              <w:t>1-2</w:t>
            </w:r>
            <w:r>
              <w:rPr>
                <w:rFonts w:ascii="Times New Roman" w:hAnsi="Times New Roman" w:eastAsia="宋体" w:cs="Times New Roman"/>
                <w:bCs/>
                <w:color w:val="000000"/>
                <w:sz w:val="24"/>
              </w:rPr>
              <w:t>），属于重点管控单元，不涉及生态保护红线。</w:t>
            </w:r>
          </w:p>
          <w:p w14:paraId="49079BE8">
            <w:pPr>
              <w:adjustRightInd w:val="0"/>
              <w:snapToGrid w:val="0"/>
              <w:spacing w:line="360" w:lineRule="auto"/>
              <w:ind w:firstLine="480" w:firstLineChars="200"/>
              <w:rPr>
                <w:rFonts w:ascii="Times New Roman" w:hAnsi="Times New Roman" w:eastAsia="宋体" w:cs="Times New Roman"/>
                <w:bCs/>
                <w:color w:val="000000"/>
                <w:sz w:val="24"/>
              </w:rPr>
            </w:pPr>
            <w:r>
              <w:rPr>
                <w:rFonts w:hint="eastAsia" w:ascii="Times New Roman" w:hAnsi="Times New Roman" w:eastAsia="宋体" w:cs="Times New Roman"/>
                <w:bCs/>
                <w:color w:val="000000"/>
                <w:sz w:val="24"/>
              </w:rPr>
              <w:t>⑵</w:t>
            </w:r>
            <w:r>
              <w:rPr>
                <w:rFonts w:ascii="Times New Roman" w:hAnsi="Times New Roman" w:eastAsia="宋体" w:cs="Times New Roman"/>
                <w:bCs/>
                <w:color w:val="000000"/>
                <w:sz w:val="24"/>
              </w:rPr>
              <w:t>环境质量底线</w:t>
            </w:r>
          </w:p>
          <w:p w14:paraId="33F8454B">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根据《内蒙古自治区生态环境状况公报》（202</w:t>
            </w:r>
            <w:r>
              <w:rPr>
                <w:rFonts w:hint="eastAsia" w:ascii="Times New Roman" w:hAnsi="Times New Roman" w:eastAsia="宋体" w:cs="Times New Roman"/>
                <w:bCs/>
                <w:color w:val="000000"/>
                <w:sz w:val="24"/>
              </w:rPr>
              <w:t>4</w:t>
            </w:r>
            <w:r>
              <w:rPr>
                <w:rFonts w:ascii="Times New Roman" w:hAnsi="Times New Roman" w:eastAsia="宋体" w:cs="Times New Roman"/>
                <w:bCs/>
                <w:color w:val="000000"/>
                <w:sz w:val="24"/>
              </w:rPr>
              <w:t>），项目所在区域为环境空气质量达标区域，满足《环境空气质量标准》（GB3095-2012）中二级标准；本项目</w:t>
            </w:r>
            <w:r>
              <w:rPr>
                <w:rFonts w:hint="eastAsia" w:ascii="Times New Roman" w:hAnsi="Times New Roman" w:eastAsia="宋体" w:cs="Times New Roman"/>
                <w:bCs/>
                <w:color w:val="000000"/>
                <w:sz w:val="24"/>
              </w:rPr>
              <w:t>废水经收集后送至伊泰120万吨精细化学品项目配套污水处理单元处置</w:t>
            </w:r>
            <w:r>
              <w:rPr>
                <w:rFonts w:hint="eastAsia" w:ascii="Times New Roman" w:hAnsi="Times New Roman" w:eastAsia="宋体" w:cs="Times New Roman"/>
                <w:bCs/>
                <w:color w:val="000000"/>
                <w:sz w:val="24"/>
                <w:lang w:val="en-US" w:eastAsia="zh-CN"/>
              </w:rPr>
              <w:t>后回用</w:t>
            </w:r>
            <w:r>
              <w:rPr>
                <w:rFonts w:ascii="Times New Roman" w:hAnsi="Times New Roman" w:eastAsia="宋体" w:cs="Times New Roman"/>
                <w:bCs/>
                <w:color w:val="000000"/>
                <w:sz w:val="24"/>
              </w:rPr>
              <w:t>，不外排；声环境</w:t>
            </w:r>
            <w:r>
              <w:rPr>
                <w:rFonts w:hint="eastAsia" w:ascii="Times New Roman" w:hAnsi="Times New Roman" w:eastAsia="宋体" w:cs="Times New Roman"/>
                <w:bCs/>
                <w:color w:val="000000"/>
                <w:sz w:val="24"/>
                <w:lang w:val="en-US" w:eastAsia="zh-CN"/>
              </w:rPr>
              <w:t>满足</w:t>
            </w:r>
            <w:r>
              <w:rPr>
                <w:rFonts w:ascii="Times New Roman" w:hAnsi="Times New Roman" w:eastAsia="宋体" w:cs="Times New Roman"/>
                <w:bCs/>
                <w:color w:val="000000"/>
                <w:sz w:val="24"/>
              </w:rPr>
              <w:t>《声环境质量标准》（GB3096-2008）3类</w:t>
            </w:r>
            <w:r>
              <w:rPr>
                <w:rFonts w:hint="eastAsia" w:ascii="Times New Roman" w:hAnsi="Times New Roman" w:eastAsia="宋体" w:cs="Times New Roman"/>
                <w:bCs/>
                <w:color w:val="000000"/>
                <w:sz w:val="24"/>
                <w:lang w:val="en-US" w:eastAsia="zh-CN"/>
              </w:rPr>
              <w:t>标准</w:t>
            </w:r>
            <w:r>
              <w:rPr>
                <w:rFonts w:ascii="Times New Roman" w:hAnsi="Times New Roman" w:eastAsia="宋体" w:cs="Times New Roman"/>
                <w:bCs/>
                <w:color w:val="000000"/>
                <w:sz w:val="24"/>
              </w:rPr>
              <w:t>。项目运营</w:t>
            </w:r>
            <w:r>
              <w:rPr>
                <w:rFonts w:hint="eastAsia" w:ascii="Times New Roman" w:hAnsi="Times New Roman" w:eastAsia="宋体" w:cs="Times New Roman"/>
                <w:bCs/>
                <w:color w:val="000000"/>
                <w:sz w:val="24"/>
              </w:rPr>
              <w:t>期</w:t>
            </w:r>
            <w:r>
              <w:rPr>
                <w:rFonts w:ascii="Times New Roman" w:hAnsi="Times New Roman" w:eastAsia="宋体" w:cs="Times New Roman"/>
                <w:bCs/>
                <w:color w:val="000000"/>
                <w:sz w:val="24"/>
              </w:rPr>
              <w:t>产生</w:t>
            </w:r>
            <w:r>
              <w:rPr>
                <w:rFonts w:hint="eastAsia" w:ascii="Times New Roman" w:hAnsi="Times New Roman" w:eastAsia="宋体" w:cs="Times New Roman"/>
                <w:bCs/>
                <w:color w:val="000000"/>
                <w:sz w:val="24"/>
              </w:rPr>
              <w:t>的</w:t>
            </w:r>
            <w:r>
              <w:rPr>
                <w:rFonts w:ascii="Times New Roman" w:hAnsi="Times New Roman" w:eastAsia="宋体" w:cs="Times New Roman"/>
                <w:bCs/>
                <w:color w:val="000000"/>
                <w:sz w:val="24"/>
              </w:rPr>
              <w:t>废气、废水、固废以及噪声等，在采用相应的污染防治措施后，能够</w:t>
            </w:r>
            <w:r>
              <w:rPr>
                <w:rFonts w:hint="eastAsia" w:ascii="Times New Roman" w:hAnsi="Times New Roman" w:eastAsia="宋体" w:cs="Times New Roman"/>
                <w:bCs/>
                <w:color w:val="000000"/>
                <w:sz w:val="24"/>
                <w:lang w:val="en-US" w:eastAsia="zh-CN"/>
              </w:rPr>
              <w:t>满足</w:t>
            </w:r>
            <w:r>
              <w:rPr>
                <w:rFonts w:ascii="Times New Roman" w:hAnsi="Times New Roman" w:eastAsia="宋体" w:cs="Times New Roman"/>
                <w:bCs/>
                <w:color w:val="000000"/>
                <w:sz w:val="24"/>
              </w:rPr>
              <w:t>相关排放标准及要求。因此，本项目符合环境质量底线要求。</w:t>
            </w:r>
          </w:p>
          <w:p w14:paraId="50D7B361">
            <w:pPr>
              <w:adjustRightInd w:val="0"/>
              <w:snapToGrid w:val="0"/>
              <w:spacing w:line="360" w:lineRule="auto"/>
              <w:ind w:firstLine="480" w:firstLineChars="200"/>
              <w:rPr>
                <w:rFonts w:ascii="Times New Roman" w:hAnsi="Times New Roman" w:eastAsia="宋体" w:cs="Times New Roman"/>
                <w:bCs/>
                <w:color w:val="000000"/>
                <w:sz w:val="24"/>
              </w:rPr>
            </w:pPr>
            <w:r>
              <w:rPr>
                <w:rFonts w:hint="eastAsia" w:ascii="Times New Roman" w:hAnsi="Times New Roman" w:eastAsia="宋体" w:cs="Times New Roman"/>
                <w:bCs/>
                <w:color w:val="000000"/>
                <w:sz w:val="24"/>
              </w:rPr>
              <w:t>⑶</w:t>
            </w:r>
            <w:r>
              <w:rPr>
                <w:rFonts w:ascii="Times New Roman" w:hAnsi="Times New Roman" w:eastAsia="宋体" w:cs="Times New Roman"/>
                <w:bCs/>
                <w:color w:val="000000"/>
                <w:sz w:val="24"/>
              </w:rPr>
              <w:t>资源利用上线</w:t>
            </w:r>
          </w:p>
          <w:p w14:paraId="373B7431">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项目运营过程中消耗一定量的电源、水源，本项目资源消耗量相对区域资源总量所占比例较少，符合资源利用上线要求。</w:t>
            </w:r>
          </w:p>
          <w:p w14:paraId="5D9BC7C7">
            <w:pPr>
              <w:adjustRightInd w:val="0"/>
              <w:snapToGrid w:val="0"/>
              <w:spacing w:line="360" w:lineRule="auto"/>
              <w:ind w:firstLine="480" w:firstLineChars="200"/>
              <w:rPr>
                <w:rFonts w:hint="default" w:ascii="Times New Roman" w:hAnsi="Times New Roman" w:eastAsia="宋体" w:cs="Times New Roman"/>
                <w:bCs/>
                <w:color w:val="000000"/>
                <w:sz w:val="24"/>
                <w:lang w:val="en-US" w:eastAsia="zh-CN"/>
              </w:rPr>
            </w:pPr>
            <w:r>
              <w:rPr>
                <w:rFonts w:hint="eastAsia" w:ascii="Times New Roman" w:hAnsi="Times New Roman" w:eastAsia="宋体" w:cs="Times New Roman"/>
                <w:bCs/>
                <w:color w:val="000000"/>
                <w:sz w:val="24"/>
              </w:rPr>
              <w:t>⑷</w:t>
            </w:r>
            <w:r>
              <w:rPr>
                <w:rFonts w:ascii="Times New Roman" w:hAnsi="Times New Roman" w:eastAsia="宋体" w:cs="Times New Roman"/>
                <w:bCs/>
                <w:color w:val="000000"/>
                <w:sz w:val="24"/>
              </w:rPr>
              <w:t>与生态环境准入清单</w:t>
            </w:r>
            <w:r>
              <w:rPr>
                <w:rFonts w:hint="eastAsia" w:ascii="Times New Roman" w:hAnsi="Times New Roman" w:eastAsia="宋体" w:cs="Times New Roman"/>
                <w:bCs/>
                <w:color w:val="000000"/>
                <w:sz w:val="24"/>
                <w:lang w:val="en-US" w:eastAsia="zh-CN"/>
              </w:rPr>
              <w:t>符合性分析</w:t>
            </w:r>
          </w:p>
          <w:p w14:paraId="7F96334D">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本项目位于杭锦</w:t>
            </w:r>
            <w:r>
              <w:rPr>
                <w:rFonts w:hint="eastAsia" w:ascii="Times New Roman" w:hAnsi="Times New Roman" w:eastAsia="宋体" w:cs="Times New Roman"/>
                <w:bCs/>
                <w:color w:val="000000"/>
                <w:sz w:val="24"/>
              </w:rPr>
              <w:t>旗</w:t>
            </w:r>
            <w:r>
              <w:rPr>
                <w:rFonts w:ascii="Times New Roman" w:hAnsi="Times New Roman" w:eastAsia="宋体" w:cs="Times New Roman"/>
                <w:bCs/>
                <w:color w:val="000000"/>
                <w:sz w:val="24"/>
              </w:rPr>
              <w:t>经济开发区，属于重点管控单元</w:t>
            </w:r>
            <w:r>
              <w:rPr>
                <w:rFonts w:hint="eastAsia" w:ascii="Times New Roman" w:hAnsi="Times New Roman" w:eastAsia="宋体" w:cs="Times New Roman"/>
                <w:bCs/>
                <w:color w:val="000000"/>
                <w:sz w:val="24"/>
                <w:lang w:val="en-US" w:eastAsia="zh-CN"/>
              </w:rPr>
              <w:t>-</w:t>
            </w:r>
            <w:r>
              <w:rPr>
                <w:rFonts w:ascii="Times New Roman" w:hAnsi="Times New Roman" w:eastAsia="宋体" w:cs="Times New Roman"/>
                <w:color w:val="000000"/>
                <w:kern w:val="0"/>
                <w:sz w:val="24"/>
              </w:rPr>
              <w:t>鄂尔多斯独贵塔拉工业园区</w:t>
            </w:r>
            <w:r>
              <w:rPr>
                <w:rFonts w:hint="eastAsia" w:ascii="Times New Roman" w:hAnsi="Times New Roman" w:eastAsia="宋体" w:cs="Times New Roman"/>
                <w:color w:val="000000"/>
                <w:kern w:val="0"/>
                <w:sz w:val="24"/>
                <w:lang w:eastAsia="zh-CN"/>
              </w:rPr>
              <w:t>（</w:t>
            </w:r>
            <w:r>
              <w:rPr>
                <w:rFonts w:ascii="Times New Roman" w:hAnsi="Times New Roman" w:eastAsia="宋体" w:cs="Times New Roman"/>
                <w:bCs/>
                <w:color w:val="000000"/>
                <w:sz w:val="24"/>
              </w:rPr>
              <w:t>单元编码</w:t>
            </w:r>
            <w:r>
              <w:rPr>
                <w:rFonts w:hint="eastAsia" w:ascii="Times New Roman" w:hAnsi="Times New Roman" w:eastAsia="宋体" w:cs="Times New Roman"/>
                <w:bCs/>
                <w:color w:val="000000"/>
                <w:sz w:val="24"/>
                <w:lang w:eastAsia="zh-CN"/>
              </w:rPr>
              <w:t>：</w:t>
            </w:r>
            <w:r>
              <w:rPr>
                <w:rFonts w:ascii="Times New Roman" w:hAnsi="Times New Roman" w:eastAsia="宋体" w:cs="Times New Roman"/>
                <w:bCs/>
                <w:color w:val="000000"/>
                <w:sz w:val="24"/>
              </w:rPr>
              <w:t>ZH15062520001</w:t>
            </w:r>
            <w:r>
              <w:rPr>
                <w:rFonts w:hint="eastAsia" w:ascii="Times New Roman" w:hAnsi="Times New Roman" w:eastAsia="宋体" w:cs="Times New Roman"/>
                <w:color w:val="000000"/>
                <w:kern w:val="0"/>
                <w:sz w:val="24"/>
                <w:lang w:eastAsia="zh-CN"/>
              </w:rPr>
              <w:t>）</w:t>
            </w:r>
            <w:r>
              <w:rPr>
                <w:rFonts w:ascii="Times New Roman" w:hAnsi="Times New Roman" w:eastAsia="宋体" w:cs="Times New Roman"/>
                <w:color w:val="000000"/>
                <w:kern w:val="0"/>
                <w:sz w:val="24"/>
              </w:rPr>
              <w:t>，</w:t>
            </w:r>
            <w:r>
              <w:rPr>
                <w:rFonts w:ascii="Times New Roman" w:hAnsi="Times New Roman" w:eastAsia="宋体" w:cs="Times New Roman"/>
                <w:bCs/>
                <w:color w:val="000000"/>
                <w:sz w:val="24"/>
              </w:rPr>
              <w:t>管控单元相关符合性分析见下表。</w:t>
            </w:r>
          </w:p>
          <w:p w14:paraId="5002543D">
            <w:pPr>
              <w:snapToGrid w:val="0"/>
              <w:jc w:val="center"/>
              <w:rPr>
                <w:rFonts w:ascii="Times New Roman" w:hAnsi="Times New Roman" w:eastAsia="宋体" w:cs="Times New Roman"/>
                <w:b/>
                <w:color w:val="000000"/>
                <w:kern w:val="0"/>
                <w:sz w:val="24"/>
                <w:szCs w:val="21"/>
              </w:rPr>
            </w:pPr>
            <w:r>
              <w:rPr>
                <w:rFonts w:ascii="Times New Roman" w:hAnsi="Times New Roman" w:eastAsia="宋体" w:cs="Times New Roman"/>
                <w:b/>
                <w:color w:val="000000"/>
                <w:kern w:val="0"/>
                <w:sz w:val="24"/>
                <w:szCs w:val="21"/>
              </w:rPr>
              <w:t>表1-2本项目与</w:t>
            </w:r>
            <w:r>
              <w:rPr>
                <w:rFonts w:hint="eastAsia" w:ascii="Times New Roman" w:hAnsi="Times New Roman" w:eastAsia="宋体" w:cs="Times New Roman"/>
                <w:b/>
                <w:color w:val="000000"/>
                <w:kern w:val="0"/>
                <w:sz w:val="24"/>
                <w:szCs w:val="21"/>
              </w:rPr>
              <w:t>《</w:t>
            </w:r>
            <w:r>
              <w:rPr>
                <w:rFonts w:ascii="Times New Roman" w:hAnsi="Times New Roman" w:eastAsia="宋体" w:cs="Times New Roman"/>
                <w:b/>
                <w:bCs/>
                <w:color w:val="000000"/>
                <w:kern w:val="0"/>
                <w:sz w:val="24"/>
                <w:szCs w:val="21"/>
              </w:rPr>
              <w:t>鄂尔多斯市生态环境准入清单</w:t>
            </w:r>
            <w:r>
              <w:rPr>
                <w:rFonts w:hint="eastAsia" w:ascii="Times New Roman" w:hAnsi="Times New Roman" w:eastAsia="宋体" w:cs="Times New Roman"/>
                <w:b/>
                <w:color w:val="000000"/>
                <w:kern w:val="0"/>
                <w:sz w:val="24"/>
                <w:szCs w:val="21"/>
              </w:rPr>
              <w:t>》</w:t>
            </w:r>
            <w:r>
              <w:rPr>
                <w:rFonts w:ascii="Times New Roman" w:hAnsi="Times New Roman" w:eastAsia="宋体" w:cs="Times New Roman"/>
                <w:b/>
                <w:color w:val="000000"/>
                <w:kern w:val="0"/>
                <w:sz w:val="24"/>
                <w:szCs w:val="21"/>
              </w:rPr>
              <w:t>的符合性分析</w:t>
            </w:r>
          </w:p>
          <w:tbl>
            <w:tblPr>
              <w:tblStyle w:val="4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516"/>
              <w:gridCol w:w="2269"/>
              <w:gridCol w:w="677"/>
            </w:tblGrid>
            <w:tr w14:paraId="13F350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987" w:type="pct"/>
                  <w:gridSpan w:val="2"/>
                  <w:tcBorders>
                    <w:top w:val="single" w:color="auto" w:sz="4" w:space="0"/>
                    <w:left w:val="single" w:color="auto" w:sz="0" w:space="0"/>
                    <w:tl2br w:val="nil"/>
                    <w:tr2bl w:val="nil"/>
                  </w:tcBorders>
                  <w:noWrap w:val="0"/>
                  <w:vAlign w:val="center"/>
                </w:tcPr>
                <w:p w14:paraId="0CDC65AE">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管控要求</w:t>
                  </w:r>
                </w:p>
              </w:tc>
              <w:tc>
                <w:tcPr>
                  <w:tcW w:w="1549" w:type="pct"/>
                  <w:tcBorders>
                    <w:top w:val="single" w:color="auto" w:sz="4" w:space="0"/>
                    <w:tl2br w:val="nil"/>
                    <w:tr2bl w:val="nil"/>
                  </w:tcBorders>
                  <w:noWrap w:val="0"/>
                  <w:vAlign w:val="center"/>
                </w:tcPr>
                <w:p w14:paraId="1EECEFFA">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本项目情况</w:t>
                  </w:r>
                </w:p>
              </w:tc>
              <w:tc>
                <w:tcPr>
                  <w:tcW w:w="462" w:type="pct"/>
                  <w:tcBorders>
                    <w:top w:val="single" w:color="auto" w:sz="4" w:space="0"/>
                    <w:right w:val="single" w:color="auto" w:sz="4" w:space="0"/>
                    <w:tl2br w:val="nil"/>
                    <w:tr2bl w:val="nil"/>
                  </w:tcBorders>
                  <w:noWrap w:val="0"/>
                  <w:vAlign w:val="center"/>
                </w:tcPr>
                <w:p w14:paraId="2632C4D0">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b/>
                      <w:color w:val="000000"/>
                      <w:kern w:val="0"/>
                      <w:sz w:val="21"/>
                      <w:szCs w:val="21"/>
                    </w:rPr>
                  </w:pPr>
                  <w:r>
                    <w:rPr>
                      <w:rFonts w:ascii="Times New Roman" w:hAnsi="Times New Roman" w:eastAsia="宋体" w:cs="Times New Roman"/>
                      <w:b/>
                      <w:color w:val="000000"/>
                      <w:kern w:val="0"/>
                      <w:sz w:val="21"/>
                      <w:szCs w:val="21"/>
                    </w:rPr>
                    <w:t>相符性</w:t>
                  </w:r>
                </w:p>
              </w:tc>
            </w:tr>
            <w:tr w14:paraId="0035D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7" w:type="pct"/>
                  <w:tcBorders>
                    <w:left w:val="single" w:color="auto" w:sz="4" w:space="0"/>
                    <w:tl2br w:val="nil"/>
                    <w:tr2bl w:val="nil"/>
                  </w:tcBorders>
                  <w:noWrap w:val="0"/>
                  <w:vAlign w:val="center"/>
                </w:tcPr>
                <w:p w14:paraId="47D689FA">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空间布局约束</w:t>
                  </w:r>
                </w:p>
              </w:tc>
              <w:tc>
                <w:tcPr>
                  <w:tcW w:w="2400" w:type="pct"/>
                  <w:tcBorders>
                    <w:tl2br w:val="nil"/>
                    <w:tr2bl w:val="nil"/>
                  </w:tcBorders>
                  <w:noWrap w:val="0"/>
                  <w:vAlign w:val="center"/>
                </w:tcPr>
                <w:p w14:paraId="3CFFCF57">
                  <w:pPr>
                    <w:pStyle w:val="160"/>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sz w:val="21"/>
                      <w:szCs w:val="21"/>
                    </w:rPr>
                  </w:pPr>
                  <w:r>
                    <w:rPr>
                      <w:rFonts w:hint="eastAsia" w:ascii="Times New Roman" w:hAnsi="Times New Roman" w:eastAsia="宋体" w:cs="Times New Roman"/>
                      <w:sz w:val="21"/>
                      <w:szCs w:val="21"/>
                    </w:rPr>
                    <w:t>1.</w:t>
                  </w:r>
                  <w:r>
                    <w:rPr>
                      <w:rFonts w:ascii="Times New Roman" w:hAnsi="Times New Roman" w:eastAsia="宋体" w:cs="Times New Roman"/>
                      <w:sz w:val="21"/>
                      <w:szCs w:val="21"/>
                    </w:rPr>
                    <w:t>禁止不符合园区产业定位及规划环评等要求的项目入园；国家明令淘汰落后产能和不符合国家产业政策的项目，禁止向工业园区转移。</w:t>
                  </w:r>
                </w:p>
                <w:p w14:paraId="1B8CEE12">
                  <w:pPr>
                    <w:pStyle w:val="160"/>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与滞洪区、自然保护区和居民点等环境</w:t>
                  </w:r>
                  <w:r>
                    <w:rPr>
                      <w:rFonts w:hint="eastAsia" w:ascii="Times New Roman" w:hAnsi="Times New Roman" w:eastAsia="宋体" w:cs="Times New Roman"/>
                      <w:sz w:val="21"/>
                      <w:szCs w:val="21"/>
                    </w:rPr>
                    <w:t>敏感</w:t>
                  </w:r>
                  <w:r>
                    <w:rPr>
                      <w:rFonts w:ascii="Times New Roman" w:hAnsi="Times New Roman" w:eastAsia="宋体" w:cs="Times New Roman"/>
                      <w:sz w:val="21"/>
                      <w:szCs w:val="21"/>
                    </w:rPr>
                    <w:t>区之间设置合理的防护隔离带。</w:t>
                  </w:r>
                </w:p>
              </w:tc>
              <w:tc>
                <w:tcPr>
                  <w:tcW w:w="1549" w:type="pct"/>
                  <w:tcBorders>
                    <w:tl2br w:val="nil"/>
                    <w:tr2bl w:val="nil"/>
                  </w:tcBorders>
                  <w:noWrap w:val="0"/>
                  <w:vAlign w:val="center"/>
                </w:tcPr>
                <w:p w14:paraId="7FF7FCD7">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1.</w:t>
                  </w:r>
                  <w:r>
                    <w:rPr>
                      <w:rFonts w:ascii="Times New Roman" w:hAnsi="Times New Roman" w:eastAsia="宋体" w:cs="Times New Roman"/>
                      <w:color w:val="000000"/>
                      <w:kern w:val="0"/>
                      <w:sz w:val="21"/>
                      <w:szCs w:val="21"/>
                    </w:rPr>
                    <w:t>本项目</w:t>
                  </w:r>
                  <w:r>
                    <w:rPr>
                      <w:rFonts w:ascii="Times New Roman" w:hAnsi="Times New Roman" w:eastAsia="宋体" w:cs="Times New Roman"/>
                      <w:sz w:val="21"/>
                      <w:szCs w:val="21"/>
                    </w:rPr>
                    <w:t>符合园区产业定位及规划环评</w:t>
                  </w:r>
                  <w:r>
                    <w:rPr>
                      <w:rFonts w:hint="eastAsia" w:ascii="Times New Roman" w:hAnsi="Times New Roman" w:eastAsia="宋体" w:cs="Times New Roman"/>
                      <w:color w:val="000000"/>
                      <w:kern w:val="0"/>
                      <w:sz w:val="21"/>
                      <w:szCs w:val="21"/>
                      <w:lang w:val="en-US" w:eastAsia="zh-CN"/>
                    </w:rPr>
                    <w:t>要求</w:t>
                  </w:r>
                  <w:r>
                    <w:rPr>
                      <w:rFonts w:ascii="Times New Roman" w:hAnsi="Times New Roman" w:eastAsia="宋体" w:cs="Times New Roman"/>
                      <w:color w:val="000000"/>
                      <w:kern w:val="0"/>
                      <w:sz w:val="21"/>
                      <w:szCs w:val="21"/>
                    </w:rPr>
                    <w:t>，且符合《产业结构调整指定目录》</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20</w:t>
                  </w:r>
                  <w:r>
                    <w:rPr>
                      <w:rFonts w:hint="eastAsia" w:ascii="Times New Roman" w:hAnsi="Times New Roman" w:eastAsia="宋体" w:cs="Times New Roman"/>
                      <w:color w:val="000000"/>
                      <w:kern w:val="0"/>
                      <w:sz w:val="21"/>
                      <w:szCs w:val="21"/>
                    </w:rPr>
                    <w:t>24</w:t>
                  </w:r>
                  <w:r>
                    <w:rPr>
                      <w:rFonts w:ascii="Times New Roman" w:hAnsi="Times New Roman" w:eastAsia="宋体" w:cs="Times New Roman"/>
                      <w:color w:val="000000"/>
                      <w:kern w:val="0"/>
                      <w:sz w:val="21"/>
                      <w:szCs w:val="21"/>
                    </w:rPr>
                    <w:t>年本</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要求，不属于园区淘汰及禁止产业；</w:t>
                  </w:r>
                </w:p>
                <w:p w14:paraId="3243C8E4">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2.</w:t>
                  </w:r>
                  <w:r>
                    <w:rPr>
                      <w:rFonts w:ascii="Times New Roman" w:hAnsi="Times New Roman" w:eastAsia="宋体" w:cs="Times New Roman"/>
                      <w:color w:val="000000"/>
                      <w:kern w:val="0"/>
                      <w:sz w:val="21"/>
                      <w:szCs w:val="21"/>
                    </w:rPr>
                    <w:t>项目位于园区</w:t>
                  </w:r>
                  <w:r>
                    <w:rPr>
                      <w:rFonts w:hint="eastAsia" w:ascii="Times New Roman" w:hAnsi="Times New Roman" w:eastAsia="宋体" w:cs="Times New Roman"/>
                      <w:color w:val="000000"/>
                      <w:kern w:val="0"/>
                      <w:sz w:val="21"/>
                      <w:szCs w:val="21"/>
                      <w:lang w:val="en-US" w:eastAsia="zh-CN"/>
                    </w:rPr>
                    <w:t>现有厂区范围内，不新增占地</w:t>
                  </w:r>
                  <w:r>
                    <w:rPr>
                      <w:rFonts w:ascii="Times New Roman" w:hAnsi="Times New Roman" w:eastAsia="宋体" w:cs="Times New Roman"/>
                      <w:color w:val="000000"/>
                      <w:kern w:val="0"/>
                      <w:sz w:val="21"/>
                      <w:szCs w:val="21"/>
                    </w:rPr>
                    <w:t>。</w:t>
                  </w:r>
                </w:p>
              </w:tc>
              <w:tc>
                <w:tcPr>
                  <w:tcW w:w="462" w:type="pct"/>
                  <w:tcBorders>
                    <w:right w:val="single" w:color="auto" w:sz="4" w:space="0"/>
                    <w:tl2br w:val="nil"/>
                    <w:tr2bl w:val="nil"/>
                  </w:tcBorders>
                  <w:noWrap w:val="0"/>
                  <w:vAlign w:val="center"/>
                </w:tcPr>
                <w:p w14:paraId="4D9A2367">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0970E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7" w:type="pct"/>
                  <w:tcBorders>
                    <w:left w:val="single" w:color="auto" w:sz="4" w:space="0"/>
                    <w:tl2br w:val="nil"/>
                    <w:tr2bl w:val="nil"/>
                  </w:tcBorders>
                  <w:noWrap w:val="0"/>
                  <w:vAlign w:val="center"/>
                </w:tcPr>
                <w:p w14:paraId="1C00C38E">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污染排放管控</w:t>
                  </w:r>
                </w:p>
              </w:tc>
              <w:tc>
                <w:tcPr>
                  <w:tcW w:w="2400" w:type="pct"/>
                  <w:tcBorders>
                    <w:tl2br w:val="nil"/>
                    <w:tr2bl w:val="nil"/>
                  </w:tcBorders>
                  <w:noWrap w:val="0"/>
                  <w:vAlign w:val="center"/>
                </w:tcPr>
                <w:p w14:paraId="04A00F14">
                  <w:pPr>
                    <w:pStyle w:val="160"/>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sz w:val="21"/>
                      <w:szCs w:val="21"/>
                    </w:rPr>
                  </w:pPr>
                  <w:r>
                    <w:rPr>
                      <w:rFonts w:ascii="Times New Roman" w:hAnsi="Times New Roman" w:eastAsia="宋体" w:cs="Times New Roman"/>
                      <w:sz w:val="21"/>
                      <w:szCs w:val="21"/>
                    </w:rPr>
                    <w:t>1.按</w:t>
                  </w:r>
                  <w:r>
                    <w:rPr>
                      <w:rFonts w:hint="eastAsia" w:ascii="Times New Roman" w:eastAsia="宋体" w:cs="Times New Roman"/>
                      <w:sz w:val="21"/>
                      <w:szCs w:val="21"/>
                      <w:lang w:eastAsia="zh-CN"/>
                    </w:rPr>
                    <w:t>“</w:t>
                  </w:r>
                  <w:r>
                    <w:rPr>
                      <w:rFonts w:hint="eastAsia" w:ascii="Times New Roman" w:hAnsi="Times New Roman" w:eastAsia="宋体" w:cs="Times New Roman"/>
                      <w:sz w:val="21"/>
                      <w:szCs w:val="21"/>
                    </w:rPr>
                    <w:t>清污分流</w:t>
                  </w:r>
                  <w:r>
                    <w:rPr>
                      <w:rFonts w:hint="eastAsia" w:ascii="Times New Roman" w:eastAsia="宋体" w:cs="Times New Roman"/>
                      <w:sz w:val="21"/>
                      <w:szCs w:val="21"/>
                      <w:lang w:eastAsia="zh-CN"/>
                    </w:rPr>
                    <w:t>”“</w:t>
                  </w:r>
                  <w:r>
                    <w:rPr>
                      <w:rFonts w:hint="eastAsia" w:ascii="Times New Roman" w:hAnsi="Times New Roman" w:eastAsia="宋体" w:cs="Times New Roman"/>
                      <w:sz w:val="21"/>
                      <w:szCs w:val="21"/>
                    </w:rPr>
                    <w:t>雨污分流</w:t>
                  </w:r>
                  <w:r>
                    <w:rPr>
                      <w:rFonts w:hint="eastAsia" w:ascii="Times New Roman" w:eastAsia="宋体" w:cs="Times New Roman"/>
                      <w:sz w:val="21"/>
                      <w:szCs w:val="21"/>
                      <w:lang w:eastAsia="zh-CN"/>
                    </w:rPr>
                    <w:t>”“</w:t>
                  </w:r>
                  <w:r>
                    <w:rPr>
                      <w:rFonts w:hint="eastAsia" w:ascii="Times New Roman" w:hAnsi="Times New Roman" w:eastAsia="宋体" w:cs="Times New Roman"/>
                      <w:sz w:val="21"/>
                      <w:szCs w:val="21"/>
                    </w:rPr>
                    <w:t>污污分流</w:t>
                  </w:r>
                  <w:r>
                    <w:rPr>
                      <w:rFonts w:hint="eastAsia" w:ascii="Times New Roman" w:eastAsia="宋体" w:cs="Times New Roman"/>
                      <w:sz w:val="21"/>
                      <w:szCs w:val="21"/>
                      <w:lang w:eastAsia="zh-CN"/>
                    </w:rPr>
                    <w:t>”</w:t>
                  </w:r>
                  <w:r>
                    <w:rPr>
                      <w:rFonts w:ascii="Times New Roman" w:hAnsi="Times New Roman" w:eastAsia="宋体" w:cs="Times New Roman"/>
                      <w:sz w:val="21"/>
                      <w:szCs w:val="21"/>
                    </w:rPr>
                    <w:t>原则，污水应收尽收，全部回用或作为景观用水不外排。</w:t>
                  </w:r>
                </w:p>
                <w:p w14:paraId="1281518A">
                  <w:pPr>
                    <w:pStyle w:val="160"/>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w:t>
                  </w:r>
                  <w:r>
                    <w:rPr>
                      <w:rFonts w:ascii="Times New Roman" w:hAnsi="Times New Roman" w:eastAsia="宋体" w:cs="Times New Roman"/>
                      <w:sz w:val="21"/>
                      <w:szCs w:val="21"/>
                    </w:rPr>
                    <w:t>加强对废气特别是有毒及恶臭气体的收集和处置，严格控制挥发性有机物</w:t>
                  </w:r>
                  <w:r>
                    <w:rPr>
                      <w:rFonts w:hint="eastAsia" w:ascii="Times New Roman" w:hAnsi="Times New Roman" w:eastAsia="宋体" w:cs="Times New Roman"/>
                      <w:sz w:val="21"/>
                      <w:szCs w:val="21"/>
                    </w:rPr>
                    <w:t>（</w:t>
                  </w:r>
                  <w:r>
                    <w:rPr>
                      <w:rFonts w:ascii="Times New Roman" w:hAnsi="Times New Roman" w:eastAsia="宋体" w:cs="Times New Roman"/>
                      <w:sz w:val="21"/>
                      <w:szCs w:val="21"/>
                    </w:rPr>
                    <w:t>VOCs</w:t>
                  </w:r>
                  <w:r>
                    <w:rPr>
                      <w:rFonts w:hint="eastAsia" w:ascii="Times New Roman" w:hAnsi="Times New Roman" w:eastAsia="宋体" w:cs="Times New Roman"/>
                      <w:sz w:val="21"/>
                      <w:szCs w:val="21"/>
                    </w:rPr>
                    <w:t>）</w:t>
                  </w:r>
                  <w:r>
                    <w:rPr>
                      <w:rFonts w:ascii="Times New Roman" w:hAnsi="Times New Roman" w:eastAsia="宋体" w:cs="Times New Roman"/>
                      <w:sz w:val="21"/>
                      <w:szCs w:val="21"/>
                    </w:rPr>
                    <w:t>排放。</w:t>
                  </w:r>
                </w:p>
                <w:p w14:paraId="0316F69E">
                  <w:pPr>
                    <w:pStyle w:val="160"/>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3.</w:t>
                  </w:r>
                  <w:r>
                    <w:rPr>
                      <w:rFonts w:ascii="Times New Roman" w:hAnsi="Times New Roman" w:eastAsia="宋体" w:cs="Times New Roman"/>
                      <w:sz w:val="21"/>
                      <w:szCs w:val="21"/>
                    </w:rPr>
                    <w:t>固体废物产生量大的化工园区应配套建设固体废物处置设施。</w:t>
                  </w:r>
                </w:p>
                <w:p w14:paraId="6228AC4E">
                  <w:pPr>
                    <w:pStyle w:val="160"/>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4.</w:t>
                  </w:r>
                  <w:r>
                    <w:rPr>
                      <w:rFonts w:ascii="Times New Roman" w:hAnsi="Times New Roman" w:eastAsia="宋体" w:cs="Times New Roman"/>
                      <w:sz w:val="21"/>
                      <w:szCs w:val="21"/>
                    </w:rPr>
                    <w:t>重点行业粉状物料堆场实现全封闭，块状物料</w:t>
                  </w:r>
                  <w:r>
                    <w:rPr>
                      <w:rFonts w:hint="eastAsia" w:ascii="Times New Roman" w:hAnsi="Times New Roman" w:eastAsia="宋体" w:cs="Times New Roman"/>
                      <w:sz w:val="21"/>
                      <w:szCs w:val="21"/>
                    </w:rPr>
                    <w:t>堆场</w:t>
                  </w:r>
                  <w:r>
                    <w:rPr>
                      <w:rFonts w:ascii="Times New Roman" w:hAnsi="Times New Roman" w:eastAsia="宋体" w:cs="Times New Roman"/>
                      <w:sz w:val="21"/>
                      <w:szCs w:val="21"/>
                    </w:rPr>
                    <w:t>安装抑尘设施。</w:t>
                  </w:r>
                </w:p>
                <w:p w14:paraId="791F019F">
                  <w:pPr>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5.</w:t>
                  </w:r>
                  <w:r>
                    <w:rPr>
                      <w:rFonts w:ascii="Times New Roman" w:hAnsi="Times New Roman" w:eastAsia="宋体" w:cs="Times New Roman"/>
                      <w:color w:val="000000"/>
                      <w:kern w:val="0"/>
                      <w:sz w:val="21"/>
                      <w:szCs w:val="21"/>
                    </w:rPr>
                    <w:t>燃煤发电机组执行大气污染物超低排放限值。</w:t>
                  </w:r>
                </w:p>
              </w:tc>
              <w:tc>
                <w:tcPr>
                  <w:tcW w:w="1549" w:type="pct"/>
                  <w:tcBorders>
                    <w:tl2br w:val="nil"/>
                    <w:tr2bl w:val="nil"/>
                  </w:tcBorders>
                  <w:noWrap w:val="0"/>
                  <w:vAlign w:val="center"/>
                </w:tcPr>
                <w:p w14:paraId="51BD87F6">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1.</w:t>
                  </w:r>
                  <w:r>
                    <w:rPr>
                      <w:rFonts w:ascii="Times New Roman" w:hAnsi="Times New Roman" w:eastAsia="宋体" w:cs="Times New Roman"/>
                      <w:color w:val="000000"/>
                      <w:kern w:val="0"/>
                      <w:sz w:val="21"/>
                      <w:szCs w:val="21"/>
                    </w:rPr>
                    <w:t>本项目</w:t>
                  </w:r>
                  <w:r>
                    <w:rPr>
                      <w:rFonts w:hint="eastAsia" w:ascii="Times New Roman" w:hAnsi="Times New Roman" w:eastAsia="宋体" w:cs="Times New Roman"/>
                      <w:color w:val="000000"/>
                      <w:kern w:val="0"/>
                      <w:sz w:val="21"/>
                      <w:szCs w:val="21"/>
                    </w:rPr>
                    <w:t>实施清污分流、雨污分</w:t>
                  </w:r>
                  <w:r>
                    <w:rPr>
                      <w:rFonts w:hint="eastAsia" w:ascii="Times New Roman" w:hAnsi="Times New Roman" w:eastAsia="宋体" w:cs="Times New Roman"/>
                      <w:sz w:val="21"/>
                      <w:szCs w:val="21"/>
                    </w:rPr>
                    <w:t>流，废水经收集后送至伊泰120万吨精细化学品项目配套污水处理单元处置</w:t>
                  </w:r>
                  <w:r>
                    <w:rPr>
                      <w:rFonts w:hint="eastAsia" w:ascii="Times New Roman" w:hAnsi="Times New Roman" w:eastAsia="宋体" w:cs="Times New Roman"/>
                      <w:sz w:val="21"/>
                      <w:szCs w:val="21"/>
                      <w:lang w:val="en-US" w:eastAsia="zh-CN"/>
                    </w:rPr>
                    <w:t>后回用</w:t>
                  </w:r>
                  <w:r>
                    <w:rPr>
                      <w:rFonts w:ascii="Times New Roman" w:hAnsi="Times New Roman" w:eastAsia="宋体" w:cs="Times New Roman"/>
                      <w:color w:val="000000"/>
                      <w:kern w:val="0"/>
                      <w:sz w:val="21"/>
                      <w:szCs w:val="21"/>
                    </w:rPr>
                    <w:t>，不外排；</w:t>
                  </w:r>
                </w:p>
                <w:p w14:paraId="7C2180E2">
                  <w:pPr>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color w:val="000000"/>
                      <w:kern w:val="0"/>
                      <w:sz w:val="21"/>
                      <w:szCs w:val="21"/>
                      <w:lang w:eastAsia="zh-CN"/>
                    </w:rPr>
                  </w:pPr>
                  <w:r>
                    <w:rPr>
                      <w:rFonts w:hint="eastAsia" w:ascii="Times New Roman" w:hAnsi="Times New Roman" w:eastAsia="宋体" w:cs="Times New Roman"/>
                      <w:color w:val="000000"/>
                      <w:kern w:val="0"/>
                      <w:sz w:val="21"/>
                      <w:szCs w:val="21"/>
                    </w:rPr>
                    <w:t>2.本项目不产生有毒及恶臭废气</w:t>
                  </w:r>
                  <w:r>
                    <w:rPr>
                      <w:rFonts w:hint="eastAsia" w:ascii="Times New Roman" w:hAnsi="Times New Roman" w:eastAsia="宋体" w:cs="Times New Roman"/>
                      <w:color w:val="000000"/>
                      <w:kern w:val="0"/>
                      <w:sz w:val="21"/>
                      <w:szCs w:val="21"/>
                      <w:lang w:eastAsia="zh-CN"/>
                    </w:rPr>
                    <w:t>，</w:t>
                  </w:r>
                  <w:r>
                    <w:rPr>
                      <w:rFonts w:hint="eastAsia" w:ascii="Times New Roman" w:hAnsi="Times New Roman" w:eastAsia="宋体" w:cs="Times New Roman"/>
                      <w:color w:val="000000"/>
                      <w:kern w:val="0"/>
                      <w:sz w:val="21"/>
                      <w:szCs w:val="21"/>
                      <w:lang w:val="en-US" w:eastAsia="zh-CN"/>
                    </w:rPr>
                    <w:t>产生的</w:t>
                  </w:r>
                  <w:r>
                    <w:rPr>
                      <w:rFonts w:hint="eastAsia" w:ascii="Times New Roman" w:hAnsi="Times New Roman" w:eastAsia="宋体" w:cs="Times New Roman"/>
                      <w:color w:val="000000"/>
                      <w:kern w:val="0"/>
                      <w:sz w:val="21"/>
                      <w:szCs w:val="21"/>
                    </w:rPr>
                    <w:t>不凝气</w:t>
                  </w:r>
                  <w:r>
                    <w:rPr>
                      <w:rFonts w:hint="default" w:ascii="Times New Roman" w:hAnsi="Times New Roman" w:eastAsia="宋体" w:cs="Times New Roman"/>
                      <w:color w:val="000000"/>
                      <w:kern w:val="0"/>
                      <w:szCs w:val="21"/>
                    </w:rPr>
                    <w:t>气压缩机分液罐（26121-V018）分液后进入释放气压缩机（26121-C002A/B），释放气经四级压缩后送至下游的尾气脱碳单元进行处理。一、二、三、四级压缩凝液送至油水分离器（26111-V012）。</w:t>
                  </w:r>
                  <w:r>
                    <w:rPr>
                      <w:rFonts w:hint="default" w:ascii="Times New Roman" w:hAnsi="Times New Roman" w:eastAsia="宋体" w:cs="Times New Roman"/>
                      <w:color w:val="000000"/>
                      <w:kern w:val="0"/>
                      <w:szCs w:val="21"/>
                      <w:lang w:val="en-US" w:eastAsia="zh-CN"/>
                    </w:rPr>
                    <w:t>尾气脱碳单元一部分气体进入合</w:t>
                  </w:r>
                  <w:r>
                    <w:rPr>
                      <w:rFonts w:hint="eastAsia" w:cs="Times New Roman"/>
                      <w:color w:val="000000"/>
                      <w:kern w:val="0"/>
                      <w:szCs w:val="21"/>
                      <w:lang w:val="en-US" w:eastAsia="zh-CN"/>
                    </w:rPr>
                    <w:t>成装置产出产品，另一部分气体进入加工油洗单元</w:t>
                  </w:r>
                  <w:r>
                    <w:rPr>
                      <w:rFonts w:hint="default" w:ascii="Times New Roman" w:hAnsi="Times New Roman" w:eastAsia="宋体" w:cs="Times New Roman"/>
                      <w:color w:val="000000"/>
                      <w:kern w:val="0"/>
                      <w:szCs w:val="21"/>
                      <w:lang w:val="en-US" w:eastAsia="zh-CN"/>
                    </w:rPr>
                    <w:t>产出产品</w:t>
                  </w:r>
                  <w:r>
                    <w:rPr>
                      <w:rFonts w:hint="eastAsia" w:ascii="Times New Roman" w:hAnsi="Times New Roman" w:eastAsia="宋体" w:cs="Times New Roman"/>
                      <w:color w:val="000000"/>
                      <w:kern w:val="0"/>
                      <w:sz w:val="21"/>
                      <w:szCs w:val="21"/>
                      <w:lang w:eastAsia="zh-CN"/>
                    </w:rPr>
                    <w:t>；</w:t>
                  </w:r>
                </w:p>
                <w:p w14:paraId="6AC37F7F">
                  <w:pPr>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3.</w:t>
                  </w:r>
                  <w:r>
                    <w:rPr>
                      <w:rFonts w:ascii="Times New Roman" w:hAnsi="Times New Roman" w:eastAsia="宋体" w:cs="Times New Roman"/>
                      <w:color w:val="000000"/>
                      <w:kern w:val="0"/>
                      <w:sz w:val="21"/>
                      <w:szCs w:val="21"/>
                    </w:rPr>
                    <w:t>本项目</w:t>
                  </w:r>
                  <w:r>
                    <w:rPr>
                      <w:rFonts w:hint="eastAsia" w:cs="Times New Roman"/>
                      <w:color w:val="000000"/>
                      <w:kern w:val="0"/>
                      <w:sz w:val="21"/>
                      <w:szCs w:val="21"/>
                      <w:lang w:eastAsia="zh-CN"/>
                    </w:rPr>
                    <w:t>对</w:t>
                  </w:r>
                  <w:r>
                    <w:rPr>
                      <w:rFonts w:hint="eastAsia" w:ascii="Times New Roman" w:hAnsi="Times New Roman" w:eastAsia="宋体" w:cs="Times New Roman"/>
                      <w:color w:val="000000"/>
                      <w:kern w:val="0"/>
                      <w:sz w:val="21"/>
                      <w:szCs w:val="21"/>
                      <w:lang w:val="en-US" w:eastAsia="zh-CN"/>
                    </w:rPr>
                    <w:t>产生的固体废物</w:t>
                  </w:r>
                  <w:r>
                    <w:rPr>
                      <w:rFonts w:hint="eastAsia" w:cs="Times New Roman"/>
                      <w:color w:val="000000"/>
                      <w:kern w:val="0"/>
                      <w:sz w:val="21"/>
                      <w:szCs w:val="21"/>
                      <w:lang w:val="en-US" w:eastAsia="zh-CN"/>
                    </w:rPr>
                    <w:t>进行了</w:t>
                  </w:r>
                  <w:r>
                    <w:rPr>
                      <w:rFonts w:hint="eastAsia" w:ascii="Times New Roman" w:hAnsi="Times New Roman" w:eastAsia="宋体" w:cs="Times New Roman"/>
                      <w:color w:val="000000"/>
                      <w:kern w:val="0"/>
                      <w:sz w:val="21"/>
                      <w:szCs w:val="21"/>
                      <w:lang w:val="en-US" w:eastAsia="zh-CN"/>
                    </w:rPr>
                    <w:t>妥善处置</w:t>
                  </w:r>
                  <w:r>
                    <w:rPr>
                      <w:rFonts w:hint="eastAsia" w:ascii="Times New Roman" w:hAnsi="Times New Roman" w:eastAsia="宋体" w:cs="Times New Roman"/>
                      <w:color w:val="000000"/>
                      <w:kern w:val="0"/>
                      <w:sz w:val="21"/>
                      <w:szCs w:val="21"/>
                    </w:rPr>
                    <w:t>；</w:t>
                  </w:r>
                </w:p>
                <w:p w14:paraId="112F1E85">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4.</w:t>
                  </w:r>
                  <w:r>
                    <w:rPr>
                      <w:rFonts w:ascii="Times New Roman" w:hAnsi="Times New Roman" w:eastAsia="宋体" w:cs="Times New Roman"/>
                      <w:color w:val="000000"/>
                      <w:kern w:val="0"/>
                      <w:sz w:val="21"/>
                      <w:szCs w:val="21"/>
                    </w:rPr>
                    <w:t>项目无</w:t>
                  </w:r>
                  <w:r>
                    <w:rPr>
                      <w:rFonts w:hint="eastAsia" w:ascii="Times New Roman" w:hAnsi="Times New Roman" w:eastAsia="宋体" w:cs="Times New Roman"/>
                      <w:color w:val="000000"/>
                      <w:kern w:val="0"/>
                      <w:sz w:val="21"/>
                      <w:szCs w:val="21"/>
                      <w:lang w:val="en-US" w:eastAsia="zh-CN"/>
                    </w:rPr>
                    <w:t>粉状、块状</w:t>
                  </w:r>
                  <w:r>
                    <w:rPr>
                      <w:rFonts w:ascii="Times New Roman" w:hAnsi="Times New Roman" w:eastAsia="宋体" w:cs="Times New Roman"/>
                      <w:color w:val="000000"/>
                      <w:kern w:val="0"/>
                      <w:sz w:val="21"/>
                      <w:szCs w:val="21"/>
                    </w:rPr>
                    <w:t>物料堆场；</w:t>
                  </w:r>
                </w:p>
                <w:p w14:paraId="3E4F5588">
                  <w:pPr>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hint="eastAsia" w:ascii="Times New Roman" w:hAnsi="Times New Roman" w:eastAsia="宋体" w:cs="Times New Roman"/>
                      <w:color w:val="000000"/>
                      <w:kern w:val="0"/>
                      <w:sz w:val="21"/>
                      <w:szCs w:val="21"/>
                    </w:rPr>
                    <w:t>5.</w:t>
                  </w:r>
                  <w:r>
                    <w:rPr>
                      <w:rFonts w:ascii="Times New Roman" w:hAnsi="Times New Roman" w:eastAsia="宋体" w:cs="Times New Roman"/>
                      <w:color w:val="000000"/>
                      <w:kern w:val="0"/>
                      <w:sz w:val="21"/>
                      <w:szCs w:val="21"/>
                    </w:rPr>
                    <w:t>项目不</w:t>
                  </w:r>
                  <w:r>
                    <w:rPr>
                      <w:rFonts w:hint="eastAsia" w:ascii="Times New Roman" w:hAnsi="Times New Roman" w:eastAsia="宋体" w:cs="Times New Roman"/>
                      <w:color w:val="000000"/>
                      <w:kern w:val="0"/>
                      <w:sz w:val="21"/>
                      <w:szCs w:val="21"/>
                      <w:lang w:val="en-US" w:eastAsia="zh-CN"/>
                    </w:rPr>
                    <w:t>涉及</w:t>
                  </w:r>
                  <w:r>
                    <w:rPr>
                      <w:rFonts w:ascii="Times New Roman" w:hAnsi="Times New Roman" w:eastAsia="宋体" w:cs="Times New Roman"/>
                      <w:color w:val="000000"/>
                      <w:kern w:val="0"/>
                      <w:sz w:val="21"/>
                      <w:szCs w:val="21"/>
                    </w:rPr>
                    <w:t>燃煤</w:t>
                  </w:r>
                  <w:r>
                    <w:rPr>
                      <w:rFonts w:hint="eastAsia" w:ascii="Times New Roman" w:hAnsi="Times New Roman" w:eastAsia="宋体" w:cs="Times New Roman"/>
                      <w:color w:val="000000"/>
                      <w:kern w:val="0"/>
                      <w:sz w:val="21"/>
                      <w:szCs w:val="21"/>
                      <w:lang w:val="en-US" w:eastAsia="zh-CN"/>
                    </w:rPr>
                    <w:t>发电机组</w:t>
                  </w:r>
                  <w:r>
                    <w:rPr>
                      <w:rFonts w:hint="eastAsia" w:ascii="Times New Roman" w:hAnsi="Times New Roman" w:eastAsia="宋体" w:cs="Times New Roman"/>
                      <w:color w:val="000000"/>
                      <w:kern w:val="0"/>
                      <w:sz w:val="21"/>
                      <w:szCs w:val="21"/>
                    </w:rPr>
                    <w:t>。</w:t>
                  </w:r>
                </w:p>
              </w:tc>
              <w:tc>
                <w:tcPr>
                  <w:tcW w:w="462" w:type="pct"/>
                  <w:tcBorders>
                    <w:right w:val="single" w:color="auto" w:sz="4" w:space="0"/>
                    <w:tl2br w:val="nil"/>
                    <w:tr2bl w:val="nil"/>
                  </w:tcBorders>
                  <w:noWrap w:val="0"/>
                  <w:vAlign w:val="center"/>
                </w:tcPr>
                <w:p w14:paraId="77990010">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463696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7" w:type="pct"/>
                  <w:tcBorders>
                    <w:left w:val="single" w:color="auto" w:sz="4" w:space="0"/>
                    <w:tl2br w:val="nil"/>
                    <w:tr2bl w:val="nil"/>
                  </w:tcBorders>
                  <w:noWrap w:val="0"/>
                  <w:vAlign w:val="center"/>
                </w:tcPr>
                <w:p w14:paraId="1596C3FB">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环境风险防控</w:t>
                  </w:r>
                </w:p>
              </w:tc>
              <w:tc>
                <w:tcPr>
                  <w:tcW w:w="2400" w:type="pct"/>
                  <w:tcBorders>
                    <w:tl2br w:val="nil"/>
                    <w:tr2bl w:val="nil"/>
                  </w:tcBorders>
                  <w:noWrap w:val="0"/>
                  <w:vAlign w:val="center"/>
                </w:tcPr>
                <w:p w14:paraId="48E1C581">
                  <w:pPr>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完善区域环境风险防范机制，有效防范环境风险。建立和不断完善环境风险</w:t>
                  </w:r>
                  <w:r>
                    <w:rPr>
                      <w:rFonts w:hint="eastAsia" w:ascii="Times New Roman" w:hAnsi="Times New Roman" w:eastAsia="宋体" w:cs="Times New Roman"/>
                      <w:color w:val="000000"/>
                      <w:kern w:val="0"/>
                      <w:sz w:val="21"/>
                      <w:szCs w:val="21"/>
                    </w:rPr>
                    <w:t>防范</w:t>
                  </w:r>
                  <w:r>
                    <w:rPr>
                      <w:rFonts w:ascii="Times New Roman" w:hAnsi="Times New Roman" w:eastAsia="宋体" w:cs="Times New Roman"/>
                      <w:color w:val="000000"/>
                      <w:kern w:val="0"/>
                      <w:sz w:val="21"/>
                      <w:szCs w:val="21"/>
                    </w:rPr>
                    <w:t>机制和应急体系，构建有效的区域环境风险联防联控机制，最大限度降低环境风险。</w:t>
                  </w:r>
                </w:p>
              </w:tc>
              <w:tc>
                <w:tcPr>
                  <w:tcW w:w="1549" w:type="pct"/>
                  <w:tcBorders>
                    <w:tl2br w:val="nil"/>
                    <w:tr2bl w:val="nil"/>
                  </w:tcBorders>
                  <w:noWrap w:val="0"/>
                  <w:vAlign w:val="center"/>
                </w:tcPr>
                <w:p w14:paraId="29111CF5">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项目建成后</w:t>
                  </w:r>
                  <w:r>
                    <w:rPr>
                      <w:rFonts w:hint="eastAsia" w:ascii="Times New Roman" w:hAnsi="Times New Roman" w:eastAsia="宋体" w:cs="Times New Roman"/>
                      <w:color w:val="000000"/>
                      <w:kern w:val="0"/>
                      <w:sz w:val="21"/>
                      <w:szCs w:val="21"/>
                    </w:rPr>
                    <w:t>，</w:t>
                  </w:r>
                  <w:r>
                    <w:rPr>
                      <w:rFonts w:ascii="Times New Roman" w:hAnsi="Times New Roman" w:eastAsia="宋体" w:cs="Times New Roman"/>
                      <w:color w:val="000000"/>
                      <w:kern w:val="0"/>
                      <w:sz w:val="21"/>
                      <w:szCs w:val="21"/>
                    </w:rPr>
                    <w:t>企业</w:t>
                  </w:r>
                  <w:r>
                    <w:rPr>
                      <w:rFonts w:hint="eastAsia" w:ascii="Times New Roman" w:hAnsi="Times New Roman" w:eastAsia="宋体" w:cs="Times New Roman"/>
                      <w:color w:val="000000"/>
                      <w:kern w:val="0"/>
                      <w:sz w:val="21"/>
                      <w:szCs w:val="21"/>
                      <w:lang w:val="en-US" w:eastAsia="zh-CN"/>
                    </w:rPr>
                    <w:t>按照要求修编现有</w:t>
                  </w:r>
                  <w:r>
                    <w:rPr>
                      <w:rFonts w:ascii="Times New Roman" w:hAnsi="Times New Roman" w:eastAsia="宋体" w:cs="Times New Roman"/>
                      <w:color w:val="000000"/>
                      <w:kern w:val="0"/>
                      <w:sz w:val="21"/>
                      <w:szCs w:val="21"/>
                    </w:rPr>
                    <w:t>环境风险应急预案，配备必要的应急设施和应急物资</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cr/>
                  </w:r>
                  <w:r>
                    <w:rPr>
                      <w:rFonts w:ascii="Times New Roman" w:hAnsi="Times New Roman" w:eastAsia="宋体" w:cs="Times New Roman"/>
                      <w:color w:val="000000"/>
                      <w:kern w:val="0"/>
                      <w:sz w:val="21"/>
                      <w:szCs w:val="21"/>
                    </w:rPr>
                    <w:t>定期开展环境风险应急演练。</w:t>
                  </w:r>
                </w:p>
              </w:tc>
              <w:tc>
                <w:tcPr>
                  <w:tcW w:w="462" w:type="pct"/>
                  <w:tcBorders>
                    <w:right w:val="single" w:color="auto" w:sz="4" w:space="0"/>
                    <w:tl2br w:val="nil"/>
                    <w:tr2bl w:val="nil"/>
                  </w:tcBorders>
                  <w:noWrap w:val="0"/>
                  <w:vAlign w:val="center"/>
                </w:tcPr>
                <w:p w14:paraId="0BE8E562">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r w14:paraId="1E82F6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87" w:type="pct"/>
                  <w:tcBorders>
                    <w:left w:val="single" w:color="auto" w:sz="4" w:space="0"/>
                    <w:bottom w:val="single" w:color="auto" w:sz="4" w:space="0"/>
                    <w:tl2br w:val="nil"/>
                    <w:tr2bl w:val="nil"/>
                  </w:tcBorders>
                  <w:noWrap w:val="0"/>
                  <w:vAlign w:val="center"/>
                </w:tcPr>
                <w:p w14:paraId="2012DBFE">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资源利用效率要求</w:t>
                  </w:r>
                </w:p>
              </w:tc>
              <w:tc>
                <w:tcPr>
                  <w:tcW w:w="2400" w:type="pct"/>
                  <w:tcBorders>
                    <w:bottom w:val="single" w:color="auto" w:sz="4" w:space="0"/>
                    <w:tl2br w:val="nil"/>
                    <w:tr2bl w:val="nil"/>
                  </w:tcBorders>
                  <w:noWrap w:val="0"/>
                  <w:vAlign w:val="center"/>
                </w:tcPr>
                <w:p w14:paraId="5D2A1A1D">
                  <w:pPr>
                    <w:keepNext w:val="0"/>
                    <w:keepLines w:val="0"/>
                    <w:pageBreakBefore w:val="0"/>
                    <w:widowControl w:val="0"/>
                    <w:kinsoku/>
                    <w:wordWrap/>
                    <w:overflowPunct/>
                    <w:topLinePunct w:val="0"/>
                    <w:bidi w:val="0"/>
                    <w:adjustRightInd w:val="0"/>
                    <w:snapToGrid w:val="0"/>
                    <w:ind w:firstLine="0" w:firstLineChars="0"/>
                    <w:jc w:val="center"/>
                    <w:textAlignment w:val="auto"/>
                    <w:rPr>
                      <w:rFonts w:hint="eastAsia"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严控地下水超采。新建、改建、扩建的高耗水工业项目，禁止擅自使用地下水</w:t>
                  </w:r>
                  <w:r>
                    <w:rPr>
                      <w:rFonts w:hint="eastAsia" w:cs="Times New Roman"/>
                      <w:color w:val="000000"/>
                      <w:kern w:val="0"/>
                      <w:sz w:val="21"/>
                      <w:szCs w:val="21"/>
                      <w:lang w:eastAsia="zh-CN"/>
                    </w:rPr>
                    <w:t>。</w:t>
                  </w:r>
                  <w:r>
                    <w:rPr>
                      <w:rFonts w:ascii="Times New Roman" w:hAnsi="Times New Roman" w:eastAsia="宋体" w:cs="Times New Roman"/>
                      <w:color w:val="000000"/>
                      <w:kern w:val="0"/>
                      <w:sz w:val="21"/>
                      <w:szCs w:val="21"/>
                    </w:rPr>
                    <w:t>食品、制药等项目取用地下水，需经有管理权</w:t>
                  </w:r>
                  <w:r>
                    <w:rPr>
                      <w:rFonts w:ascii="Times New Roman" w:hAnsi="Times New Roman" w:eastAsia="宋体" w:cs="Times New Roman"/>
                      <w:color w:val="000000"/>
                      <w:kern w:val="0"/>
                      <w:sz w:val="21"/>
                      <w:szCs w:val="21"/>
                    </w:rPr>
                    <w:cr/>
                  </w:r>
                  <w:r>
                    <w:rPr>
                      <w:rFonts w:ascii="Times New Roman" w:hAnsi="Times New Roman" w:eastAsia="宋体" w:cs="Times New Roman"/>
                      <w:color w:val="000000"/>
                      <w:kern w:val="0"/>
                      <w:sz w:val="21"/>
                      <w:szCs w:val="21"/>
                    </w:rPr>
                    <w:t>的水行政主管部门批准。</w:t>
                  </w:r>
                </w:p>
              </w:tc>
              <w:tc>
                <w:tcPr>
                  <w:tcW w:w="1549" w:type="pct"/>
                  <w:tcBorders>
                    <w:bottom w:val="single" w:color="auto" w:sz="4" w:space="0"/>
                    <w:tl2br w:val="nil"/>
                    <w:tr2bl w:val="nil"/>
                  </w:tcBorders>
                  <w:noWrap w:val="0"/>
                  <w:vAlign w:val="center"/>
                </w:tcPr>
                <w:p w14:paraId="7604AD39">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本项目生产用水由园区统一供给。</w:t>
                  </w:r>
                </w:p>
              </w:tc>
              <w:tc>
                <w:tcPr>
                  <w:tcW w:w="462" w:type="pct"/>
                  <w:tcBorders>
                    <w:bottom w:val="single" w:color="auto" w:sz="4" w:space="0"/>
                    <w:right w:val="single" w:color="auto" w:sz="4" w:space="0"/>
                    <w:tl2br w:val="nil"/>
                    <w:tr2bl w:val="nil"/>
                  </w:tcBorders>
                  <w:noWrap w:val="0"/>
                  <w:vAlign w:val="center"/>
                </w:tcPr>
                <w:p w14:paraId="3E020F3C">
                  <w:pPr>
                    <w:keepNext w:val="0"/>
                    <w:keepLines w:val="0"/>
                    <w:pageBreakBefore w:val="0"/>
                    <w:widowControl w:val="0"/>
                    <w:kinsoku/>
                    <w:wordWrap/>
                    <w:overflowPunct/>
                    <w:topLinePunct w:val="0"/>
                    <w:bidi w:val="0"/>
                    <w:adjustRightInd w:val="0"/>
                    <w:snapToGrid w:val="0"/>
                    <w:ind w:firstLine="0" w:firstLineChars="0"/>
                    <w:jc w:val="center"/>
                    <w:textAlignment w:val="auto"/>
                    <w:rPr>
                      <w:rFonts w:ascii="Times New Roman" w:hAnsi="Times New Roman" w:eastAsia="宋体" w:cs="Times New Roman"/>
                      <w:color w:val="000000"/>
                      <w:kern w:val="0"/>
                      <w:sz w:val="21"/>
                      <w:szCs w:val="21"/>
                    </w:rPr>
                  </w:pPr>
                  <w:r>
                    <w:rPr>
                      <w:rFonts w:ascii="Times New Roman" w:hAnsi="Times New Roman" w:eastAsia="宋体" w:cs="Times New Roman"/>
                      <w:color w:val="000000"/>
                      <w:kern w:val="0"/>
                      <w:sz w:val="21"/>
                      <w:szCs w:val="21"/>
                    </w:rPr>
                    <w:t>符合</w:t>
                  </w:r>
                </w:p>
              </w:tc>
            </w:tr>
          </w:tbl>
          <w:p w14:paraId="19F2715E">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综上所述，项目的建设符合</w:t>
            </w:r>
            <w:r>
              <w:rPr>
                <w:rFonts w:hint="eastAsia" w:cs="Times New Roman"/>
                <w:bCs/>
                <w:color w:val="000000"/>
                <w:sz w:val="24"/>
                <w:lang w:eastAsia="zh-CN"/>
              </w:rPr>
              <w:t>“</w:t>
            </w:r>
            <w:r>
              <w:rPr>
                <w:rFonts w:hint="eastAsia" w:ascii="Times New Roman" w:hAnsi="Times New Roman" w:eastAsia="宋体" w:cs="Times New Roman"/>
                <w:bCs/>
                <w:color w:val="000000"/>
                <w:sz w:val="24"/>
              </w:rPr>
              <w:t>三线一单</w:t>
            </w:r>
            <w:r>
              <w:rPr>
                <w:rFonts w:hint="eastAsia" w:cs="Times New Roman"/>
                <w:bCs/>
                <w:color w:val="000000"/>
                <w:sz w:val="24"/>
                <w:lang w:eastAsia="zh-CN"/>
              </w:rPr>
              <w:t>”</w:t>
            </w:r>
            <w:r>
              <w:rPr>
                <w:rFonts w:ascii="Times New Roman" w:hAnsi="Times New Roman" w:eastAsia="宋体" w:cs="Times New Roman"/>
                <w:bCs/>
                <w:color w:val="000000"/>
                <w:sz w:val="24"/>
              </w:rPr>
              <w:t>的相关要求。</w:t>
            </w:r>
          </w:p>
          <w:p w14:paraId="00229300">
            <w:pPr>
              <w:adjustRightInd w:val="0"/>
              <w:snapToGrid w:val="0"/>
              <w:spacing w:line="360" w:lineRule="auto"/>
              <w:rPr>
                <w:rFonts w:hint="eastAsia" w:ascii="Times New Roman" w:hAnsi="Times New Roman" w:eastAsia="宋体" w:cs="Times New Roman"/>
                <w:b/>
                <w:color w:val="000000"/>
                <w:sz w:val="24"/>
                <w:szCs w:val="21"/>
                <w:lang w:eastAsia="zh-CN"/>
              </w:rPr>
            </w:pPr>
            <w:r>
              <w:rPr>
                <w:rFonts w:hint="eastAsia" w:ascii="Times New Roman" w:hAnsi="Times New Roman" w:eastAsia="宋体" w:cs="Times New Roman"/>
                <w:b/>
                <w:color w:val="000000"/>
                <w:sz w:val="24"/>
                <w:szCs w:val="21"/>
                <w:lang w:eastAsia="zh-CN"/>
              </w:rPr>
              <w:drawing>
                <wp:inline distT="0" distB="0" distL="114300" distR="114300">
                  <wp:extent cx="5612130" cy="2722245"/>
                  <wp:effectExtent l="0" t="0" r="7620" b="1905"/>
                  <wp:docPr id="3" name="图片 104" descr="8848711763846783159e51041951e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4" descr="8848711763846783159e51041951e823"/>
                          <pic:cNvPicPr>
                            <a:picLocks noChangeAspect="1"/>
                          </pic:cNvPicPr>
                        </pic:nvPicPr>
                        <pic:blipFill>
                          <a:blip r:embed="rId11"/>
                          <a:stretch>
                            <a:fillRect/>
                          </a:stretch>
                        </pic:blipFill>
                        <pic:spPr>
                          <a:xfrm>
                            <a:off x="0" y="0"/>
                            <a:ext cx="5612130" cy="2722245"/>
                          </a:xfrm>
                          <a:prstGeom prst="rect">
                            <a:avLst/>
                          </a:prstGeom>
                          <a:noFill/>
                          <a:ln>
                            <a:noFill/>
                          </a:ln>
                        </pic:spPr>
                      </pic:pic>
                    </a:graphicData>
                  </a:graphic>
                </wp:inline>
              </w:drawing>
            </w:r>
          </w:p>
          <w:p w14:paraId="5FF02739">
            <w:pPr>
              <w:adjustRightInd w:val="0"/>
              <w:snapToGrid w:val="0"/>
              <w:spacing w:line="360" w:lineRule="auto"/>
              <w:jc w:val="center"/>
              <w:rPr>
                <w:rFonts w:ascii="Times New Roman" w:hAnsi="Times New Roman" w:eastAsia="宋体" w:cs="Times New Roman"/>
                <w:b/>
                <w:color w:val="000000"/>
                <w:sz w:val="24"/>
                <w:szCs w:val="21"/>
              </w:rPr>
            </w:pPr>
            <w:r>
              <w:rPr>
                <w:rFonts w:ascii="Times New Roman" w:hAnsi="Times New Roman" w:eastAsia="宋体" w:cs="Times New Roman"/>
                <w:b/>
                <w:color w:val="000000"/>
                <w:sz w:val="24"/>
                <w:szCs w:val="21"/>
              </w:rPr>
              <w:t>图1-</w:t>
            </w:r>
            <w:r>
              <w:rPr>
                <w:rFonts w:hint="eastAsia" w:ascii="Times New Roman" w:hAnsi="Times New Roman" w:eastAsia="宋体" w:cs="Times New Roman"/>
                <w:b/>
                <w:color w:val="000000"/>
                <w:sz w:val="24"/>
                <w:szCs w:val="21"/>
                <w:lang w:val="en-US" w:eastAsia="zh-CN"/>
              </w:rPr>
              <w:t>2</w:t>
            </w:r>
            <w:r>
              <w:rPr>
                <w:rFonts w:ascii="Times New Roman" w:hAnsi="Times New Roman" w:eastAsia="宋体" w:cs="Times New Roman"/>
                <w:b/>
                <w:color w:val="000000"/>
                <w:sz w:val="24"/>
                <w:szCs w:val="21"/>
              </w:rPr>
              <w:t>本项目与鄂尔多斯市环境管控单元位置关系图</w:t>
            </w:r>
          </w:p>
          <w:p w14:paraId="0825D1A6">
            <w:pPr>
              <w:adjustRightInd w:val="0"/>
              <w:snapToGrid w:val="0"/>
              <w:spacing w:line="360" w:lineRule="auto"/>
              <w:jc w:val="center"/>
              <w:rPr>
                <w:rFonts w:ascii="Times New Roman" w:hAnsi="Times New Roman" w:eastAsia="宋体" w:cs="Times New Roman"/>
                <w:color w:val="000000"/>
                <w:sz w:val="24"/>
              </w:rPr>
            </w:pPr>
            <w:r>
              <w:rPr>
                <w:rFonts w:ascii="Times New Roman" w:hAnsi="Times New Roman" w:eastAsia="宋体" w:cs="Times New Roman"/>
                <w:color w:val="000000"/>
                <w:sz w:val="24"/>
              </w:rPr>
              <w:drawing>
                <wp:inline distT="0" distB="0" distL="114300" distR="114300">
                  <wp:extent cx="4608830" cy="3225165"/>
                  <wp:effectExtent l="0" t="0" r="1270" b="13335"/>
                  <wp:docPr id="4" name="图片 105" descr="生态保护红线位置关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5" descr="生态保护红线位置关系图"/>
                          <pic:cNvPicPr>
                            <a:picLocks noChangeAspect="1"/>
                          </pic:cNvPicPr>
                        </pic:nvPicPr>
                        <pic:blipFill>
                          <a:blip r:embed="rId12"/>
                          <a:stretch>
                            <a:fillRect/>
                          </a:stretch>
                        </pic:blipFill>
                        <pic:spPr>
                          <a:xfrm>
                            <a:off x="0" y="0"/>
                            <a:ext cx="4608830" cy="3225165"/>
                          </a:xfrm>
                          <a:prstGeom prst="rect">
                            <a:avLst/>
                          </a:prstGeom>
                          <a:noFill/>
                          <a:ln>
                            <a:noFill/>
                          </a:ln>
                        </pic:spPr>
                      </pic:pic>
                    </a:graphicData>
                  </a:graphic>
                </wp:inline>
              </w:drawing>
            </w:r>
          </w:p>
          <w:p w14:paraId="662E2F4C">
            <w:pPr>
              <w:adjustRightInd w:val="0"/>
              <w:snapToGrid w:val="0"/>
              <w:spacing w:line="360" w:lineRule="auto"/>
              <w:jc w:val="center"/>
              <w:rPr>
                <w:rFonts w:ascii="Times New Roman" w:hAnsi="Times New Roman" w:eastAsia="宋体" w:cs="Times New Roman"/>
                <w:b/>
                <w:color w:val="000000"/>
                <w:sz w:val="24"/>
                <w:szCs w:val="21"/>
              </w:rPr>
            </w:pPr>
            <w:r>
              <w:rPr>
                <w:rFonts w:ascii="Times New Roman" w:hAnsi="Times New Roman" w:eastAsia="宋体" w:cs="Times New Roman"/>
                <w:b/>
                <w:color w:val="000000"/>
                <w:sz w:val="24"/>
                <w:szCs w:val="21"/>
              </w:rPr>
              <w:t>图1-3本项目与鄂尔多斯市生态保护红线位置关系图</w:t>
            </w:r>
          </w:p>
          <w:p w14:paraId="6B5727F0">
            <w:pPr>
              <w:tabs>
                <w:tab w:val="left" w:pos="0"/>
                <w:tab w:val="left" w:pos="7012"/>
              </w:tabs>
              <w:autoSpaceDE w:val="0"/>
              <w:autoSpaceDN w:val="0"/>
              <w:adjustRightInd w:val="0"/>
              <w:spacing w:line="360" w:lineRule="auto"/>
              <w:ind w:firstLine="482" w:firstLineChars="200"/>
              <w:rPr>
                <w:b/>
                <w:bCs/>
                <w:sz w:val="24"/>
                <w:szCs w:val="24"/>
              </w:rPr>
            </w:pPr>
            <w:r>
              <w:rPr>
                <w:b/>
                <w:bCs/>
                <w:sz w:val="24"/>
                <w:szCs w:val="24"/>
              </w:rPr>
              <w:t>3.与主体功能区划相符性分析</w:t>
            </w:r>
          </w:p>
          <w:p w14:paraId="3EF2FF31">
            <w:pPr>
              <w:tabs>
                <w:tab w:val="left" w:pos="0"/>
                <w:tab w:val="left" w:pos="7012"/>
              </w:tabs>
              <w:autoSpaceDE w:val="0"/>
              <w:autoSpaceDN w:val="0"/>
              <w:adjustRightInd w:val="0"/>
              <w:snapToGrid w:val="0"/>
              <w:spacing w:line="360" w:lineRule="auto"/>
              <w:ind w:firstLine="480" w:firstLineChars="200"/>
              <w:rPr>
                <w:bCs/>
                <w:sz w:val="24"/>
              </w:rPr>
            </w:pPr>
            <w:r>
              <w:rPr>
                <w:bCs/>
                <w:sz w:val="24"/>
              </w:rPr>
              <w:t>根据《全国主体功能区划》，呼包鄂属于国家层面的呼包鄂榆重点开发区组成部分，功能定位为全国重要的能源、煤化工基地，农畜产品加工基地和稀土新材料产业基地，北方地区重要的冶金和装备制造业基地。</w:t>
            </w:r>
          </w:p>
          <w:p w14:paraId="7CD75692">
            <w:pPr>
              <w:tabs>
                <w:tab w:val="left" w:pos="0"/>
                <w:tab w:val="left" w:pos="7012"/>
              </w:tabs>
              <w:autoSpaceDE w:val="0"/>
              <w:autoSpaceDN w:val="0"/>
              <w:adjustRightInd w:val="0"/>
              <w:snapToGrid w:val="0"/>
              <w:spacing w:line="360" w:lineRule="auto"/>
              <w:ind w:firstLine="480" w:firstLineChars="200"/>
              <w:rPr>
                <w:bCs/>
                <w:sz w:val="24"/>
              </w:rPr>
            </w:pPr>
            <w:r>
              <w:rPr>
                <w:bCs/>
                <w:sz w:val="24"/>
              </w:rPr>
              <w:t>根据《内蒙古自治区主体功能区划》，呼包鄂地区21个旗县市区和14个其</w:t>
            </w:r>
            <w:r>
              <w:rPr>
                <w:rFonts w:hint="eastAsia"/>
                <w:bCs/>
                <w:sz w:val="24"/>
                <w:lang w:eastAsia="zh-CN"/>
              </w:rPr>
              <w:t>他</w:t>
            </w:r>
            <w:r>
              <w:rPr>
                <w:bCs/>
                <w:sz w:val="24"/>
              </w:rPr>
              <w:t>重点开发的城镇功能定位为国家级重点开发区域。该区域区位和资源优势明显，发展空间和潜力较大。鄂尔多斯盆地的核心区分布其中，能源矿产资源富集；土地资源有限，开发强度较高；水资源相对短缺，农业节水潜力较大；主要污染物排放空间较小，生态环境保护压力较大；京藏高速公路、京包、包兰铁路贯穿其境，是京津冀地区的重要腹地，是沟通华北和西北经济联系的重要枢纽；城市化和经济发展水平较高，是全区人口集中、经济集聚的主要区域。该区域的功能定位为国家级重点开发区域，全国重要的经济增长极，自治区参与区域竞争的中坚力量。全国重要的能源和新型化工基地，农畜产品加工基地，稀土新材料产业基地，北方地区重要的冶金和装备制造业基地；全区重要的科技创新与技术研发基地，战略性新兴产业和现代服务业基地，全区的经济、文化中心。</w:t>
            </w:r>
          </w:p>
          <w:p w14:paraId="07D16463">
            <w:pPr>
              <w:tabs>
                <w:tab w:val="left" w:pos="0"/>
                <w:tab w:val="left" w:pos="7012"/>
              </w:tabs>
              <w:autoSpaceDE w:val="0"/>
              <w:autoSpaceDN w:val="0"/>
              <w:adjustRightInd w:val="0"/>
              <w:snapToGrid w:val="0"/>
              <w:spacing w:line="360" w:lineRule="auto"/>
              <w:ind w:firstLine="480" w:firstLineChars="200"/>
              <w:rPr>
                <w:bCs/>
                <w:sz w:val="24"/>
              </w:rPr>
            </w:pPr>
            <w:r>
              <w:rPr>
                <w:bCs/>
                <w:sz w:val="24"/>
              </w:rPr>
              <w:t>提出建设鄂尔多斯能源和新型化工基地。依托煤炭、天然气资源优势，采用煤气化联合循环发电（IGCC）、碳捕集等绿色</w:t>
            </w:r>
            <w:r>
              <w:rPr>
                <w:rFonts w:hint="eastAsia"/>
                <w:bCs/>
                <w:sz w:val="24"/>
                <w:lang w:eastAsia="zh-CN"/>
              </w:rPr>
              <w:t>能源</w:t>
            </w:r>
            <w:r>
              <w:rPr>
                <w:bCs/>
                <w:sz w:val="24"/>
              </w:rPr>
              <w:t>技术，实现煤炭资源清洁高效开发和利用。发展大容量、高参数燃煤机组，推进煤电企业兼并重组，提高规模和档次。鼓励沿河地区发挥水煤组合优势，建设百万千瓦超（超）临界机组电源点，通过科学利用煤、气、油、铀等资源，打造国家绿色能源基地。以资源环境承载能力为基础，适度发展现代煤化工产业，推动焦化、聚氯乙烯</w:t>
            </w:r>
            <w:r>
              <w:rPr>
                <w:rFonts w:hint="eastAsia"/>
                <w:bCs/>
                <w:sz w:val="24"/>
                <w:lang w:eastAsia="zh-CN"/>
              </w:rPr>
              <w:t>等</w:t>
            </w:r>
            <w:r>
              <w:rPr>
                <w:bCs/>
                <w:sz w:val="24"/>
              </w:rPr>
              <w:t>企业技术进步和升级换代建设国家新型化工基地。继续提升羊绒等农畜产品加工业水平。加快完善城市管理机制和综合服务功能。</w:t>
            </w:r>
          </w:p>
          <w:p w14:paraId="5E99B28B">
            <w:pPr>
              <w:tabs>
                <w:tab w:val="left" w:pos="0"/>
                <w:tab w:val="left" w:pos="7012"/>
              </w:tabs>
              <w:autoSpaceDE w:val="0"/>
              <w:autoSpaceDN w:val="0"/>
              <w:adjustRightInd w:val="0"/>
              <w:snapToGrid w:val="0"/>
              <w:spacing w:line="360" w:lineRule="auto"/>
              <w:ind w:firstLine="480" w:firstLineChars="200"/>
              <w:rPr>
                <w:sz w:val="24"/>
                <w:szCs w:val="24"/>
              </w:rPr>
            </w:pPr>
            <w:r>
              <w:rPr>
                <w:rFonts w:hint="eastAsia"/>
                <w:bCs/>
                <w:sz w:val="24"/>
              </w:rPr>
              <w:t>本</w:t>
            </w:r>
            <w:r>
              <w:rPr>
                <w:bCs/>
                <w:sz w:val="24"/>
              </w:rPr>
              <w:t>项目位于内蒙古</w:t>
            </w:r>
            <w:r>
              <w:rPr>
                <w:rFonts w:hint="eastAsia"/>
                <w:bCs/>
                <w:sz w:val="24"/>
                <w:lang w:val="en-US" w:eastAsia="zh-CN"/>
              </w:rPr>
              <w:t>自治区</w:t>
            </w:r>
            <w:r>
              <w:rPr>
                <w:bCs/>
                <w:sz w:val="24"/>
              </w:rPr>
              <w:t>鄂尔多斯</w:t>
            </w:r>
            <w:r>
              <w:rPr>
                <w:rFonts w:hint="eastAsia"/>
                <w:bCs/>
                <w:sz w:val="24"/>
                <w:lang w:val="en-US" w:eastAsia="zh-CN"/>
              </w:rPr>
              <w:t>市</w:t>
            </w:r>
            <w:r>
              <w:rPr>
                <w:rFonts w:hint="eastAsia" w:ascii="Times New Roman" w:hAnsi="Times New Roman" w:eastAsia="宋体" w:cs="Times New Roman"/>
                <w:bCs/>
                <w:color w:val="000000"/>
                <w:sz w:val="24"/>
              </w:rPr>
              <w:t>杭锦旗经济开发区独贵塔拉产业园内蒙古伊泰化工有限责任公司预留精细化学品加工装置区内南侧</w:t>
            </w:r>
            <w:r>
              <w:rPr>
                <w:bCs/>
                <w:sz w:val="24"/>
              </w:rPr>
              <w:t>，</w:t>
            </w:r>
            <w:r>
              <w:rPr>
                <w:rFonts w:hint="eastAsia"/>
                <w:sz w:val="24"/>
                <w:szCs w:val="24"/>
              </w:rPr>
              <w:t>本</w:t>
            </w:r>
            <w:r>
              <w:rPr>
                <w:sz w:val="24"/>
                <w:szCs w:val="24"/>
              </w:rPr>
              <w:t>项目</w:t>
            </w:r>
            <w:r>
              <w:rPr>
                <w:rFonts w:hint="eastAsia"/>
                <w:sz w:val="24"/>
                <w:szCs w:val="24"/>
              </w:rPr>
              <w:t>为</w:t>
            </w:r>
            <w:r>
              <w:rPr>
                <w:rFonts w:hint="eastAsia"/>
                <w:sz w:val="24"/>
                <w:szCs w:val="24"/>
                <w:lang w:val="en-US" w:eastAsia="zh-CN"/>
              </w:rPr>
              <w:t>技改项目，以费托合成轻质油为原料制取浓度不低于98%的C5烷烯烃，</w:t>
            </w:r>
            <w:r>
              <w:rPr>
                <w:rFonts w:hint="eastAsia" w:ascii="Times New Roman" w:hAnsi="Times New Roman" w:eastAsia="宋体" w:cs="Times New Roman"/>
                <w:color w:val="000000"/>
                <w:sz w:val="24"/>
                <w:lang w:val="en-US" w:eastAsia="zh-CN"/>
              </w:rPr>
              <w:t>属于</w:t>
            </w:r>
            <w:r>
              <w:rPr>
                <w:rFonts w:ascii="Times New Roman" w:hAnsi="Times New Roman" w:eastAsia="宋体" w:cs="Times New Roman"/>
                <w:color w:val="000000"/>
                <w:sz w:val="24"/>
              </w:rPr>
              <w:t>现有的新型煤化工及其下游产品深加工产业</w:t>
            </w:r>
            <w:r>
              <w:rPr>
                <w:sz w:val="24"/>
                <w:szCs w:val="24"/>
              </w:rPr>
              <w:t>。</w:t>
            </w:r>
          </w:p>
          <w:p w14:paraId="3067961E">
            <w:pPr>
              <w:tabs>
                <w:tab w:val="left" w:pos="0"/>
                <w:tab w:val="left" w:pos="7012"/>
              </w:tabs>
              <w:autoSpaceDE w:val="0"/>
              <w:autoSpaceDN w:val="0"/>
              <w:adjustRightInd w:val="0"/>
              <w:snapToGrid w:val="0"/>
              <w:spacing w:line="360" w:lineRule="auto"/>
              <w:ind w:firstLine="480" w:firstLineChars="200"/>
            </w:pPr>
            <w:r>
              <w:rPr>
                <w:bCs/>
                <w:sz w:val="24"/>
              </w:rPr>
              <w:t>综上，本项目符合《内蒙古自治区主体功能区划》。</w:t>
            </w:r>
          </w:p>
          <w:p w14:paraId="31D6B2BF">
            <w:pPr>
              <w:tabs>
                <w:tab w:val="left" w:pos="0"/>
                <w:tab w:val="left" w:pos="7012"/>
              </w:tabs>
              <w:autoSpaceDE w:val="0"/>
              <w:autoSpaceDN w:val="0"/>
              <w:adjustRightInd w:val="0"/>
              <w:snapToGrid w:val="0"/>
              <w:spacing w:line="360" w:lineRule="auto"/>
              <w:jc w:val="center"/>
              <w:rPr>
                <w:rFonts w:hint="eastAsia"/>
              </w:rPr>
            </w:pPr>
            <w:r>
              <w:rPr>
                <w:rFonts w:hint="eastAsia"/>
              </w:rPr>
              <w:drawing>
                <wp:inline distT="0" distB="0" distL="114300" distR="114300">
                  <wp:extent cx="4354195" cy="3384550"/>
                  <wp:effectExtent l="0" t="0" r="8255" b="6350"/>
                  <wp:docPr id="5" name="图片 1" descr="61042f7170e5da7be243fa0308cd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61042f7170e5da7be243fa0308cdaff"/>
                          <pic:cNvPicPr>
                            <a:picLocks noChangeAspect="1"/>
                          </pic:cNvPicPr>
                        </pic:nvPicPr>
                        <pic:blipFill>
                          <a:blip r:embed="rId13"/>
                          <a:stretch>
                            <a:fillRect/>
                          </a:stretch>
                        </pic:blipFill>
                        <pic:spPr>
                          <a:xfrm>
                            <a:off x="0" y="0"/>
                            <a:ext cx="4354195" cy="3384550"/>
                          </a:xfrm>
                          <a:prstGeom prst="rect">
                            <a:avLst/>
                          </a:prstGeom>
                          <a:noFill/>
                          <a:ln>
                            <a:noFill/>
                          </a:ln>
                        </pic:spPr>
                      </pic:pic>
                    </a:graphicData>
                  </a:graphic>
                </wp:inline>
              </w:drawing>
            </w:r>
          </w:p>
          <w:p w14:paraId="5941DFC8">
            <w:pPr>
              <w:adjustRightInd w:val="0"/>
              <w:snapToGrid w:val="0"/>
              <w:spacing w:line="360" w:lineRule="auto"/>
              <w:jc w:val="center"/>
              <w:rPr>
                <w:rFonts w:ascii="Times New Roman" w:hAnsi="Times New Roman" w:eastAsia="宋体" w:cs="Times New Roman"/>
                <w:b/>
                <w:color w:val="000000"/>
                <w:sz w:val="24"/>
                <w:szCs w:val="21"/>
              </w:rPr>
            </w:pPr>
            <w:r>
              <w:rPr>
                <w:rFonts w:hint="eastAsia" w:ascii="Times New Roman" w:hAnsi="Times New Roman" w:eastAsia="宋体" w:cs="Times New Roman"/>
                <w:b/>
                <w:color w:val="000000"/>
                <w:sz w:val="24"/>
                <w:szCs w:val="21"/>
              </w:rPr>
              <w:t>图1-</w:t>
            </w:r>
            <w:r>
              <w:rPr>
                <w:rFonts w:hint="eastAsia" w:cs="Times New Roman"/>
                <w:b/>
                <w:color w:val="000000"/>
                <w:sz w:val="24"/>
                <w:szCs w:val="21"/>
                <w:lang w:val="en-US" w:eastAsia="zh-CN"/>
              </w:rPr>
              <w:t>4</w:t>
            </w:r>
            <w:r>
              <w:rPr>
                <w:rFonts w:hint="eastAsia" w:ascii="Times New Roman" w:hAnsi="Times New Roman" w:eastAsia="宋体" w:cs="Times New Roman"/>
                <w:b/>
                <w:color w:val="000000"/>
                <w:sz w:val="24"/>
                <w:szCs w:val="21"/>
                <w:lang w:val="en-US" w:eastAsia="zh-CN"/>
              </w:rPr>
              <w:t xml:space="preserve"> </w:t>
            </w:r>
            <w:r>
              <w:rPr>
                <w:rFonts w:hint="eastAsia" w:cs="Times New Roman"/>
                <w:b/>
                <w:color w:val="000000"/>
                <w:sz w:val="24"/>
                <w:szCs w:val="21"/>
                <w:lang w:val="en-US" w:eastAsia="zh-CN"/>
              </w:rPr>
              <w:t xml:space="preserve"> </w:t>
            </w:r>
            <w:r>
              <w:rPr>
                <w:rFonts w:hint="eastAsia" w:ascii="Times New Roman" w:hAnsi="Times New Roman" w:eastAsia="宋体" w:cs="Times New Roman"/>
                <w:b/>
                <w:color w:val="000000"/>
                <w:sz w:val="24"/>
                <w:szCs w:val="21"/>
                <w:lang w:val="en-US" w:eastAsia="zh-CN"/>
              </w:rPr>
              <w:t xml:space="preserve"> </w:t>
            </w:r>
            <w:r>
              <w:rPr>
                <w:rFonts w:hint="eastAsia" w:ascii="Times New Roman" w:hAnsi="Times New Roman" w:eastAsia="宋体" w:cs="Times New Roman"/>
                <w:b/>
                <w:color w:val="000000"/>
                <w:sz w:val="24"/>
                <w:szCs w:val="21"/>
              </w:rPr>
              <w:t>内蒙古自治区主体功能区划图</w:t>
            </w:r>
          </w:p>
          <w:p w14:paraId="04C3C187">
            <w:pPr>
              <w:tabs>
                <w:tab w:val="left" w:pos="0"/>
                <w:tab w:val="left" w:pos="7012"/>
              </w:tabs>
              <w:autoSpaceDE w:val="0"/>
              <w:autoSpaceDN w:val="0"/>
              <w:adjustRightInd w:val="0"/>
              <w:spacing w:line="360" w:lineRule="auto"/>
              <w:ind w:firstLine="482" w:firstLineChars="200"/>
              <w:rPr>
                <w:sz w:val="24"/>
                <w:szCs w:val="24"/>
              </w:rPr>
            </w:pPr>
            <w:r>
              <w:rPr>
                <w:b/>
                <w:bCs/>
                <w:sz w:val="24"/>
                <w:szCs w:val="24"/>
              </w:rPr>
              <w:t>4.与《内蒙古自治区</w:t>
            </w:r>
            <w:r>
              <w:rPr>
                <w:rFonts w:hint="eastAsia"/>
                <w:b/>
                <w:bCs/>
                <w:sz w:val="24"/>
                <w:szCs w:val="24"/>
                <w:lang w:eastAsia="zh-CN"/>
              </w:rPr>
              <w:t>“</w:t>
            </w:r>
            <w:r>
              <w:rPr>
                <w:b/>
                <w:bCs/>
                <w:sz w:val="24"/>
                <w:szCs w:val="24"/>
              </w:rPr>
              <w:t>十四五</w:t>
            </w:r>
            <w:r>
              <w:rPr>
                <w:rFonts w:hint="eastAsia"/>
                <w:b/>
                <w:bCs/>
                <w:sz w:val="24"/>
                <w:szCs w:val="24"/>
                <w:lang w:eastAsia="zh-CN"/>
              </w:rPr>
              <w:t>”</w:t>
            </w:r>
            <w:r>
              <w:rPr>
                <w:b/>
                <w:bCs/>
                <w:sz w:val="24"/>
                <w:szCs w:val="24"/>
              </w:rPr>
              <w:t>生态环境保护规划》相符性分析</w:t>
            </w:r>
          </w:p>
          <w:p w14:paraId="297BBC79">
            <w:pPr>
              <w:tabs>
                <w:tab w:val="left" w:pos="0"/>
                <w:tab w:val="left" w:pos="7012"/>
              </w:tabs>
              <w:autoSpaceDE w:val="0"/>
              <w:autoSpaceDN w:val="0"/>
              <w:adjustRightInd w:val="0"/>
              <w:snapToGrid w:val="0"/>
              <w:spacing w:line="360" w:lineRule="auto"/>
              <w:ind w:firstLine="480" w:firstLineChars="200"/>
              <w:rPr>
                <w:rFonts w:hint="eastAsia" w:eastAsia="宋体"/>
                <w:bCs/>
                <w:sz w:val="24"/>
                <w:lang w:eastAsia="zh-CN"/>
              </w:rPr>
            </w:pPr>
            <w:r>
              <w:rPr>
                <w:bCs/>
                <w:sz w:val="24"/>
              </w:rPr>
              <w:t>《内蒙古自治区</w:t>
            </w:r>
            <w:r>
              <w:rPr>
                <w:rFonts w:hint="eastAsia"/>
                <w:bCs/>
                <w:sz w:val="24"/>
                <w:lang w:eastAsia="zh-CN"/>
              </w:rPr>
              <w:t>“</w:t>
            </w:r>
            <w:r>
              <w:rPr>
                <w:bCs/>
                <w:sz w:val="24"/>
              </w:rPr>
              <w:t>十四五</w:t>
            </w:r>
            <w:r>
              <w:rPr>
                <w:rFonts w:hint="eastAsia"/>
                <w:bCs/>
                <w:sz w:val="24"/>
                <w:lang w:eastAsia="zh-CN"/>
              </w:rPr>
              <w:t>”</w:t>
            </w:r>
            <w:r>
              <w:rPr>
                <w:bCs/>
                <w:sz w:val="24"/>
              </w:rPr>
              <w:t>生态环境保护规划》中指出：</w:t>
            </w:r>
            <w:r>
              <w:rPr>
                <w:rFonts w:hint="eastAsia"/>
                <w:bCs/>
                <w:sz w:val="24"/>
                <w:lang w:eastAsia="zh-CN"/>
              </w:rPr>
              <w:t>“内蒙古</w:t>
            </w:r>
            <w:r>
              <w:rPr>
                <w:bCs/>
                <w:sz w:val="24"/>
              </w:rPr>
              <w:t>作为重要能源和战略资源基地，产业结构以煤炭、电力、冶金、煤化工等资源能源型传统工业产业为主。大力提升工业VOCs治理收集率、去除率和治理设施运行率，全方位、全链条、全环节控制VOCs物料无组织排放。全区65蒸吨/小时及以上燃煤锅炉基本完成超低排放改造。显著改善呼包鄂区域大气环境质量。加快实施重点行业污染治理设施提标改造，扩大特别排放限值执行范围，继续开展重污染天气预报预警会商，建立联合执法机制，切实保障2022年冬奥会和冬残奥会空气质量。强化国土空间管控，科学开展通风廊道建设，切实降低主城区大气污染。鄂尔多斯市准格尔旗、达拉特旗</w:t>
            </w:r>
            <w:r>
              <w:rPr>
                <w:rFonts w:hint="eastAsia"/>
                <w:bCs/>
                <w:sz w:val="24"/>
                <w:lang w:eastAsia="zh-CN"/>
              </w:rPr>
              <w:t>、</w:t>
            </w:r>
            <w:r>
              <w:rPr>
                <w:bCs/>
                <w:sz w:val="24"/>
              </w:rPr>
              <w:t>巴彦淖尔市乌拉特前旗重点加强煤化工、焦化、钢铁、电解铝等行业深度治理，强化工业炉窑综合整治，深入推进VOCs、NOx等污染物协同减排。严禁在黄河干流和主要支流岸线1公里范围内新建化工园区</w:t>
            </w:r>
            <w:r>
              <w:rPr>
                <w:rFonts w:hint="eastAsia"/>
                <w:bCs/>
                <w:sz w:val="24"/>
              </w:rPr>
              <w:t>，</w:t>
            </w:r>
            <w:r>
              <w:rPr>
                <w:bCs/>
                <w:sz w:val="24"/>
              </w:rPr>
              <w:t>推动沿黄高耗水、高污染企业入园。重点推进工业污染防治。加快推进流域产业布局调整升级。推动重点行业、重点区域绿色发展，加大对化工、焦化、制药、食品加工、造纸、印染等行业污染治理力度。强化地下水污染风险防控</w:t>
            </w:r>
            <w:r>
              <w:rPr>
                <w:rFonts w:hint="eastAsia"/>
                <w:bCs/>
                <w:sz w:val="24"/>
                <w:lang w:eastAsia="zh-CN"/>
              </w:rPr>
              <w:t>，</w:t>
            </w:r>
            <w:r>
              <w:rPr>
                <w:bCs/>
                <w:sz w:val="24"/>
              </w:rPr>
              <w:t>对高风险的化工生产企业以及工业集聚区、重点尾矿库、危险废物处置场、垃圾填埋场等区域开展必要的防渗处理，防止持续污染地下水。</w:t>
            </w:r>
            <w:r>
              <w:rPr>
                <w:rFonts w:hint="eastAsia"/>
                <w:bCs/>
                <w:sz w:val="24"/>
                <w:lang w:eastAsia="zh-CN"/>
              </w:rPr>
              <w:t>”</w:t>
            </w:r>
          </w:p>
          <w:p w14:paraId="5C0D7496">
            <w:pPr>
              <w:spacing w:line="360" w:lineRule="auto"/>
              <w:ind w:firstLine="482"/>
              <w:rPr>
                <w:b/>
                <w:bCs/>
                <w:color w:val="auto"/>
                <w:sz w:val="24"/>
                <w:lang w:val="en-US"/>
              </w:rPr>
            </w:pPr>
            <w:r>
              <w:rPr>
                <w:rFonts w:hint="eastAsia"/>
                <w:bCs/>
                <w:sz w:val="24"/>
              </w:rPr>
              <w:t>本</w:t>
            </w:r>
            <w:r>
              <w:rPr>
                <w:bCs/>
                <w:sz w:val="24"/>
              </w:rPr>
              <w:t>项目位于内蒙古</w:t>
            </w:r>
            <w:r>
              <w:rPr>
                <w:rFonts w:hint="eastAsia"/>
                <w:bCs/>
                <w:sz w:val="24"/>
                <w:lang w:val="en-US" w:eastAsia="zh-CN"/>
              </w:rPr>
              <w:t>自治区</w:t>
            </w:r>
            <w:r>
              <w:rPr>
                <w:bCs/>
                <w:sz w:val="24"/>
              </w:rPr>
              <w:t>鄂尔多斯</w:t>
            </w:r>
            <w:r>
              <w:rPr>
                <w:rFonts w:hint="eastAsia"/>
                <w:bCs/>
                <w:sz w:val="24"/>
                <w:lang w:val="en-US" w:eastAsia="zh-CN"/>
              </w:rPr>
              <w:t>市</w:t>
            </w:r>
            <w:r>
              <w:rPr>
                <w:rFonts w:hint="eastAsia" w:ascii="Times New Roman" w:hAnsi="Times New Roman" w:eastAsia="宋体" w:cs="Times New Roman"/>
                <w:bCs/>
                <w:color w:val="000000"/>
                <w:sz w:val="24"/>
              </w:rPr>
              <w:t>杭锦旗经济开发区独贵塔拉产业园内蒙古伊泰化工有限责任公司预留精细化学品加工装置区内南侧</w:t>
            </w:r>
            <w:r>
              <w:rPr>
                <w:bCs/>
                <w:sz w:val="24"/>
              </w:rPr>
              <w:t>，距离黄河约</w:t>
            </w:r>
            <w:r>
              <w:rPr>
                <w:rFonts w:hint="eastAsia"/>
                <w:bCs/>
                <w:sz w:val="24"/>
                <w:lang w:val="en-US" w:eastAsia="zh-CN"/>
              </w:rPr>
              <w:t>60</w:t>
            </w:r>
            <w:r>
              <w:rPr>
                <w:bCs/>
                <w:sz w:val="24"/>
              </w:rPr>
              <w:t>km；</w:t>
            </w:r>
            <w:r>
              <w:rPr>
                <w:rFonts w:ascii="Times New Roman" w:hAnsi="Times New Roman" w:eastAsia="宋体" w:cs="Times New Roman"/>
                <w:bCs/>
                <w:color w:val="000000"/>
                <w:sz w:val="24"/>
              </w:rPr>
              <w:t>根据《产业结构调整指导目录（20</w:t>
            </w:r>
            <w:r>
              <w:rPr>
                <w:rFonts w:hint="eastAsia" w:ascii="Times New Roman" w:hAnsi="Times New Roman" w:eastAsia="宋体" w:cs="Times New Roman"/>
                <w:bCs/>
                <w:color w:val="000000"/>
                <w:sz w:val="24"/>
              </w:rPr>
              <w:t>24</w:t>
            </w:r>
            <w:r>
              <w:rPr>
                <w:rFonts w:ascii="Times New Roman" w:hAnsi="Times New Roman" w:eastAsia="宋体" w:cs="Times New Roman"/>
                <w:bCs/>
                <w:color w:val="000000"/>
                <w:sz w:val="24"/>
              </w:rPr>
              <w:t>年本）》的规定，本项目不属于限制类、淘汰类和鼓励类，为允许类项目</w:t>
            </w:r>
            <w:r>
              <w:rPr>
                <w:bCs/>
                <w:sz w:val="24"/>
              </w:rPr>
              <w:t>；</w:t>
            </w:r>
            <w:r>
              <w:rPr>
                <w:rFonts w:hint="eastAsia"/>
                <w:bCs/>
                <w:sz w:val="24"/>
              </w:rPr>
              <w:t>项目</w:t>
            </w:r>
            <w:r>
              <w:rPr>
                <w:rFonts w:hint="eastAsia"/>
                <w:bCs/>
                <w:sz w:val="24"/>
                <w:lang w:val="en-US" w:eastAsia="zh-CN"/>
              </w:rPr>
              <w:t>产生的不凝气</w:t>
            </w:r>
            <w:r>
              <w:rPr>
                <w:rFonts w:hint="eastAsia" w:ascii="Times New Roman" w:hAnsi="Times New Roman" w:eastAsia="宋体" w:cs="Times New Roman"/>
                <w:bCs/>
                <w:color w:val="auto"/>
                <w:kern w:val="2"/>
                <w:sz w:val="24"/>
                <w:szCs w:val="24"/>
                <w:lang w:val="en-US" w:eastAsia="zh-CN"/>
              </w:rPr>
              <w:t>经</w:t>
            </w:r>
            <w:r>
              <w:rPr>
                <w:rFonts w:hint="eastAsia" w:ascii="Times New Roman" w:hAnsi="Times New Roman" w:eastAsia="宋体" w:cs="Times New Roman"/>
                <w:bCs/>
                <w:color w:val="auto"/>
                <w:kern w:val="2"/>
                <w:sz w:val="24"/>
                <w:szCs w:val="24"/>
              </w:rPr>
              <w:t>过</w:t>
            </w:r>
            <w:r>
              <w:rPr>
                <w:rFonts w:hint="eastAsia" w:ascii="Times New Roman" w:hAnsi="Times New Roman" w:eastAsia="宋体" w:cs="Times New Roman"/>
                <w:bCs/>
                <w:color w:val="auto"/>
                <w:kern w:val="2"/>
                <w:sz w:val="24"/>
                <w:szCs w:val="24"/>
                <w:lang w:val="en-US" w:eastAsia="zh-CN"/>
              </w:rPr>
              <w:t>合成装置</w:t>
            </w:r>
            <w:r>
              <w:rPr>
                <w:rFonts w:hint="eastAsia" w:ascii="Times New Roman" w:hAnsi="Times New Roman" w:eastAsia="宋体" w:cs="Times New Roman"/>
                <w:bCs/>
                <w:color w:val="auto"/>
                <w:kern w:val="2"/>
                <w:sz w:val="24"/>
                <w:szCs w:val="24"/>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bCs/>
                <w:color w:val="auto"/>
                <w:kern w:val="2"/>
                <w:sz w:val="24"/>
                <w:szCs w:val="24"/>
                <w:lang w:val="en-US" w:eastAsia="zh-CN"/>
              </w:rPr>
              <w:t>尾气脱碳单元一部分气体进入合</w:t>
            </w:r>
            <w:r>
              <w:rPr>
                <w:rFonts w:hint="eastAsia" w:cs="Times New Roman"/>
                <w:bCs/>
                <w:color w:val="auto"/>
                <w:kern w:val="2"/>
                <w:sz w:val="24"/>
                <w:szCs w:val="24"/>
                <w:lang w:val="en-US" w:eastAsia="zh-CN"/>
              </w:rPr>
              <w:t>成装置产出产品，另一部分气体进入加工油洗单元</w:t>
            </w:r>
            <w:r>
              <w:rPr>
                <w:rFonts w:hint="eastAsia" w:ascii="Times New Roman" w:hAnsi="Times New Roman" w:eastAsia="宋体" w:cs="Times New Roman"/>
                <w:bCs/>
                <w:color w:val="auto"/>
                <w:kern w:val="2"/>
                <w:sz w:val="24"/>
                <w:szCs w:val="24"/>
                <w:lang w:val="en-US" w:eastAsia="zh-CN"/>
              </w:rPr>
              <w:t>产出产品</w:t>
            </w:r>
            <w:r>
              <w:rPr>
                <w:rFonts w:hint="eastAsia"/>
                <w:bCs/>
                <w:sz w:val="24"/>
                <w:lang w:eastAsia="zh-CN"/>
              </w:rPr>
              <w:t>；</w:t>
            </w:r>
            <w:r>
              <w:rPr>
                <w:bCs/>
                <w:sz w:val="24"/>
              </w:rPr>
              <w:t>本项目生产用水</w:t>
            </w:r>
            <w:r>
              <w:rPr>
                <w:rFonts w:hint="eastAsia"/>
                <w:bCs/>
                <w:sz w:val="24"/>
                <w:lang w:val="en-US" w:eastAsia="zh-CN"/>
              </w:rPr>
              <w:t>依托厂区现有供水管网</w:t>
            </w:r>
            <w:r>
              <w:rPr>
                <w:bCs/>
                <w:sz w:val="24"/>
              </w:rPr>
              <w:t>，</w:t>
            </w:r>
            <w:r>
              <w:rPr>
                <w:rFonts w:hint="eastAsia"/>
                <w:bCs/>
                <w:sz w:val="24"/>
              </w:rPr>
              <w:t>生产废水主要为</w:t>
            </w:r>
            <w:r>
              <w:rPr>
                <w:rFonts w:hint="eastAsia"/>
                <w:bCs/>
                <w:sz w:val="24"/>
                <w:lang w:val="en-US" w:eastAsia="zh-CN"/>
              </w:rPr>
              <w:t>地面清洗废水</w:t>
            </w:r>
            <w:r>
              <w:rPr>
                <w:rFonts w:hint="eastAsia"/>
                <w:bCs/>
                <w:sz w:val="24"/>
              </w:rPr>
              <w:t>，</w:t>
            </w:r>
            <w:r>
              <w:rPr>
                <w:rFonts w:hint="eastAsia"/>
                <w:bCs/>
                <w:sz w:val="24"/>
                <w:lang w:val="en-US" w:eastAsia="zh-CN"/>
              </w:rPr>
              <w:t>经收集处理后回用，不外排</w:t>
            </w:r>
            <w:r>
              <w:rPr>
                <w:bCs/>
                <w:sz w:val="24"/>
              </w:rPr>
              <w:t>。项目的建设符合《内蒙古自治区</w:t>
            </w:r>
            <w:r>
              <w:rPr>
                <w:rFonts w:hint="eastAsia"/>
                <w:bCs/>
                <w:sz w:val="24"/>
                <w:lang w:eastAsia="zh-CN"/>
              </w:rPr>
              <w:t>“</w:t>
            </w:r>
            <w:r>
              <w:rPr>
                <w:bCs/>
                <w:sz w:val="24"/>
              </w:rPr>
              <w:t>十四五</w:t>
            </w:r>
            <w:r>
              <w:rPr>
                <w:rFonts w:hint="eastAsia"/>
                <w:bCs/>
                <w:sz w:val="24"/>
                <w:lang w:eastAsia="zh-CN"/>
              </w:rPr>
              <w:t>”</w:t>
            </w:r>
            <w:r>
              <w:rPr>
                <w:bCs/>
                <w:sz w:val="24"/>
              </w:rPr>
              <w:t>生态环境保护规划》。</w:t>
            </w:r>
          </w:p>
          <w:p w14:paraId="0818D6B4">
            <w:pPr>
              <w:spacing w:line="360" w:lineRule="auto"/>
              <w:ind w:firstLine="482"/>
              <w:rPr>
                <w:rFonts w:hint="eastAsia"/>
                <w:b/>
                <w:bCs/>
                <w:color w:val="auto"/>
                <w:sz w:val="24"/>
                <w:lang w:val="en-US" w:eastAsia="zh-CN"/>
              </w:rPr>
            </w:pPr>
            <w:r>
              <w:rPr>
                <w:rFonts w:hint="eastAsia"/>
                <w:b/>
                <w:bCs/>
                <w:color w:val="auto"/>
                <w:sz w:val="24"/>
                <w:lang w:val="en-US" w:eastAsia="zh-CN"/>
              </w:rPr>
              <w:t>5.项目与《鄂尔多斯市“十四五”生态环境保护规划》符合性分析</w:t>
            </w:r>
          </w:p>
          <w:p w14:paraId="31A67611">
            <w:pPr>
              <w:spacing w:line="360" w:lineRule="auto"/>
              <w:ind w:firstLine="482"/>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2022年1月13日，鄂尔多斯市人民政府办公室发布《关于印发</w:t>
            </w:r>
            <w:r>
              <w:rPr>
                <w:rFonts w:hint="eastAsia" w:ascii="宋体" w:hAnsi="宋体" w:eastAsia="宋体" w:cs="宋体"/>
                <w:i w:val="0"/>
                <w:iCs w:val="0"/>
                <w:caps w:val="0"/>
                <w:color w:val="000000"/>
                <w:spacing w:val="0"/>
                <w:sz w:val="24"/>
                <w:szCs w:val="24"/>
                <w:shd w:val="clear" w:fill="FFFFFF"/>
              </w:rPr>
              <w:t>〈</w:t>
            </w:r>
            <w:r>
              <w:rPr>
                <w:rFonts w:hint="eastAsia" w:ascii="Times New Roman" w:hAnsi="Times New Roman" w:eastAsia="宋体" w:cs="Times New Roman"/>
                <w:color w:val="auto"/>
                <w:sz w:val="24"/>
                <w:szCs w:val="24"/>
                <w:highlight w:val="none"/>
                <w:lang w:val="en-US" w:eastAsia="zh-CN"/>
              </w:rPr>
              <w:t>鄂尔多斯市</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十四五</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生态环境保护规划</w:t>
            </w:r>
            <w:r>
              <w:rPr>
                <w:rFonts w:hint="eastAsia" w:ascii="宋体" w:hAnsi="宋体" w:eastAsia="宋体" w:cs="宋体"/>
                <w:i w:val="0"/>
                <w:iCs w:val="0"/>
                <w:caps w:val="0"/>
                <w:color w:val="000000"/>
                <w:spacing w:val="0"/>
                <w:sz w:val="24"/>
                <w:szCs w:val="24"/>
                <w:shd w:val="clear" w:fill="FFFFFF"/>
              </w:rPr>
              <w:t>〉</w:t>
            </w:r>
            <w:r>
              <w:rPr>
                <w:rFonts w:hint="eastAsia" w:ascii="Times New Roman" w:hAnsi="Times New Roman" w:eastAsia="宋体" w:cs="Times New Roman"/>
                <w:color w:val="auto"/>
                <w:sz w:val="24"/>
                <w:szCs w:val="24"/>
                <w:highlight w:val="none"/>
                <w:lang w:val="en-US" w:eastAsia="zh-CN"/>
              </w:rPr>
              <w:t>的通知》（鄂府办发〔2022〕7号）。本项目与</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鄂尔多斯市</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十四五</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生态环境保护规划</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符合性分析详见表1-</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w:t>
            </w:r>
          </w:p>
          <w:p w14:paraId="095A8CDE">
            <w:pPr>
              <w:keepNext w:val="0"/>
              <w:keepLines w:val="0"/>
              <w:pageBreakBefore w:val="0"/>
              <w:widowControl w:val="0"/>
              <w:kinsoku/>
              <w:wordWrap/>
              <w:overflowPunct/>
              <w:topLinePunct w:val="0"/>
              <w:bidi w:val="0"/>
              <w:spacing w:line="240" w:lineRule="auto"/>
              <w:ind w:firstLine="0" w:firstLineChars="0"/>
              <w:jc w:val="center"/>
              <w:textAlignment w:val="auto"/>
              <w:rPr>
                <w:bCs/>
                <w:sz w:val="24"/>
                <w:szCs w:val="24"/>
              </w:rPr>
            </w:pPr>
            <w:r>
              <w:rPr>
                <w:b/>
                <w:bCs/>
                <w:sz w:val="24"/>
                <w:szCs w:val="24"/>
              </w:rPr>
              <w:t>表1-</w:t>
            </w:r>
            <w:r>
              <w:rPr>
                <w:rFonts w:hint="eastAsia"/>
                <w:b/>
                <w:bCs/>
                <w:sz w:val="24"/>
                <w:szCs w:val="24"/>
                <w:lang w:val="en-US" w:eastAsia="zh-CN"/>
              </w:rPr>
              <w:t>4</w:t>
            </w:r>
            <w:r>
              <w:rPr>
                <w:b/>
                <w:bCs/>
                <w:sz w:val="24"/>
                <w:szCs w:val="24"/>
              </w:rPr>
              <w:t>本项目与</w:t>
            </w:r>
            <w:r>
              <w:rPr>
                <w:rFonts w:hint="eastAsia"/>
                <w:b/>
                <w:bCs/>
                <w:sz w:val="24"/>
                <w:szCs w:val="24"/>
                <w:lang w:eastAsia="zh-CN"/>
              </w:rPr>
              <w:t>《</w:t>
            </w:r>
            <w:r>
              <w:rPr>
                <w:rFonts w:hint="eastAsia"/>
                <w:b/>
                <w:bCs/>
                <w:sz w:val="24"/>
                <w:szCs w:val="24"/>
                <w:lang w:val="en-US" w:eastAsia="zh-CN"/>
              </w:rPr>
              <w:t>鄂尔多斯市</w:t>
            </w:r>
            <w:r>
              <w:rPr>
                <w:rFonts w:hint="eastAsia"/>
                <w:b/>
                <w:bCs/>
                <w:sz w:val="24"/>
                <w:szCs w:val="24"/>
                <w:lang w:eastAsia="zh-CN"/>
              </w:rPr>
              <w:t>“</w:t>
            </w:r>
            <w:r>
              <w:rPr>
                <w:b/>
                <w:bCs/>
                <w:sz w:val="24"/>
                <w:szCs w:val="24"/>
              </w:rPr>
              <w:t>十四五</w:t>
            </w:r>
            <w:r>
              <w:rPr>
                <w:rFonts w:hint="eastAsia"/>
                <w:b/>
                <w:bCs/>
                <w:sz w:val="24"/>
                <w:szCs w:val="24"/>
                <w:lang w:eastAsia="zh-CN"/>
              </w:rPr>
              <w:t>”</w:t>
            </w:r>
            <w:r>
              <w:rPr>
                <w:b/>
                <w:bCs/>
                <w:sz w:val="24"/>
                <w:szCs w:val="24"/>
              </w:rPr>
              <w:t>生态环境保护规划</w:t>
            </w:r>
            <w:r>
              <w:rPr>
                <w:rFonts w:hint="eastAsia"/>
                <w:b/>
                <w:bCs/>
                <w:sz w:val="24"/>
                <w:szCs w:val="24"/>
                <w:lang w:eastAsia="zh-CN"/>
              </w:rPr>
              <w:t>》</w:t>
            </w:r>
            <w:r>
              <w:rPr>
                <w:b/>
                <w:bCs/>
                <w:sz w:val="24"/>
                <w:szCs w:val="24"/>
              </w:rPr>
              <w:t>符合性分析</w:t>
            </w:r>
          </w:p>
          <w:tbl>
            <w:tblPr>
              <w:tblStyle w:val="42"/>
              <w:tblW w:w="7438"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7"/>
              <w:gridCol w:w="4615"/>
              <w:gridCol w:w="1870"/>
              <w:gridCol w:w="556"/>
            </w:tblGrid>
            <w:tr w14:paraId="3E6CB0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397" w:type="dxa"/>
                  <w:tcBorders>
                    <w:left w:val="single" w:color="auto" w:sz="0" w:space="0"/>
                  </w:tcBorders>
                  <w:noWrap w:val="0"/>
                  <w:vAlign w:val="center"/>
                </w:tcPr>
                <w:p w14:paraId="3C597E8D">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bCs/>
                      <w:kern w:val="0"/>
                      <w:sz w:val="21"/>
                      <w:szCs w:val="21"/>
                    </w:rPr>
                    <w:t>序号</w:t>
                  </w:r>
                </w:p>
              </w:tc>
              <w:tc>
                <w:tcPr>
                  <w:tcW w:w="4615" w:type="dxa"/>
                  <w:noWrap w:val="0"/>
                  <w:vAlign w:val="center"/>
                </w:tcPr>
                <w:p w14:paraId="7D800912">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bCs/>
                      <w:kern w:val="0"/>
                      <w:sz w:val="21"/>
                      <w:szCs w:val="21"/>
                      <w:lang w:eastAsia="zh-CN"/>
                    </w:rPr>
                    <w:t>“</w:t>
                  </w:r>
                  <w:r>
                    <w:rPr>
                      <w:bCs/>
                      <w:kern w:val="0"/>
                      <w:sz w:val="21"/>
                      <w:szCs w:val="21"/>
                    </w:rPr>
                    <w:t>十四五</w:t>
                  </w:r>
                  <w:r>
                    <w:rPr>
                      <w:rFonts w:hint="eastAsia"/>
                      <w:bCs/>
                      <w:kern w:val="0"/>
                      <w:sz w:val="21"/>
                      <w:szCs w:val="21"/>
                      <w:lang w:eastAsia="zh-CN"/>
                    </w:rPr>
                    <w:t>”</w:t>
                  </w:r>
                  <w:r>
                    <w:rPr>
                      <w:bCs/>
                      <w:kern w:val="0"/>
                      <w:sz w:val="21"/>
                      <w:szCs w:val="21"/>
                    </w:rPr>
                    <w:t>生态环境保护规划</w:t>
                  </w:r>
                </w:p>
              </w:tc>
              <w:tc>
                <w:tcPr>
                  <w:tcW w:w="1870" w:type="dxa"/>
                  <w:noWrap w:val="0"/>
                  <w:vAlign w:val="center"/>
                </w:tcPr>
                <w:p w14:paraId="50704959">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bCs/>
                      <w:kern w:val="0"/>
                      <w:sz w:val="21"/>
                      <w:szCs w:val="21"/>
                    </w:rPr>
                    <w:t>本项目建设情况</w:t>
                  </w:r>
                </w:p>
              </w:tc>
              <w:tc>
                <w:tcPr>
                  <w:tcW w:w="556" w:type="dxa"/>
                  <w:tcBorders>
                    <w:right w:val="single" w:color="auto" w:sz="4" w:space="0"/>
                  </w:tcBorders>
                  <w:noWrap w:val="0"/>
                  <w:vAlign w:val="center"/>
                </w:tcPr>
                <w:p w14:paraId="4B3F26FD">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bCs/>
                      <w:kern w:val="0"/>
                      <w:sz w:val="21"/>
                      <w:szCs w:val="21"/>
                    </w:rPr>
                    <w:t>是否符合要求</w:t>
                  </w:r>
                </w:p>
              </w:tc>
            </w:tr>
            <w:tr w14:paraId="0FF1848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1" w:hRule="atLeast"/>
                <w:jc w:val="center"/>
              </w:trPr>
              <w:tc>
                <w:tcPr>
                  <w:tcW w:w="397" w:type="dxa"/>
                  <w:tcBorders>
                    <w:left w:val="single" w:color="auto" w:sz="4" w:space="0"/>
                  </w:tcBorders>
                  <w:noWrap w:val="0"/>
                  <w:vAlign w:val="center"/>
                </w:tcPr>
                <w:p w14:paraId="27A7DEF4">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bCs/>
                      <w:kern w:val="0"/>
                      <w:szCs w:val="21"/>
                    </w:rPr>
                    <w:t>1</w:t>
                  </w:r>
                </w:p>
              </w:tc>
              <w:tc>
                <w:tcPr>
                  <w:tcW w:w="4615" w:type="dxa"/>
                  <w:noWrap w:val="0"/>
                  <w:vAlign w:val="center"/>
                </w:tcPr>
                <w:p w14:paraId="2E07F32C">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健全绿色低碳循环发展的生产体系。加快实施钢铁、石化、化工、有色、建材、造纸、皮革等行业绿色化改造。大力发展再制造产业，加强再制造产品认证与推广应用。全面推行清洁生产，依法在</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双超双有高耗能</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行业实施强制性清洁生产审核。完善</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散乱污</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企业认定办法，分类实施关停取缔、整合搬迁、整改提升等措施。鼓励发展生态种植、生态养殖，加强绿色食品、有机农产品认证和管理。发展生态循环农业，提高畜禽粪污资源化利用水平。强化耕地质量保护与提升，推进退化耕地综合治理。</w:t>
                  </w:r>
                </w:p>
              </w:tc>
              <w:tc>
                <w:tcPr>
                  <w:tcW w:w="1870" w:type="dxa"/>
                  <w:noWrap w:val="0"/>
                  <w:vAlign w:val="center"/>
                </w:tcPr>
                <w:p w14:paraId="645D5C5B">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eastAsia"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本项目为内蒙古伊泰化工有限责任公司费托油水处理技改项目，符合规划要求。</w:t>
                  </w:r>
                </w:p>
              </w:tc>
              <w:tc>
                <w:tcPr>
                  <w:tcW w:w="556" w:type="dxa"/>
                  <w:tcBorders>
                    <w:right w:val="single" w:color="auto" w:sz="4" w:space="0"/>
                  </w:tcBorders>
                  <w:noWrap w:val="0"/>
                  <w:vAlign w:val="center"/>
                </w:tcPr>
                <w:p w14:paraId="3E3CAF6E">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b/>
                      <w:kern w:val="0"/>
                      <w:szCs w:val="21"/>
                    </w:rPr>
                    <w:t>符合</w:t>
                  </w:r>
                </w:p>
              </w:tc>
            </w:tr>
            <w:tr w14:paraId="7E0A45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67" w:hRule="atLeast"/>
                <w:jc w:val="center"/>
              </w:trPr>
              <w:tc>
                <w:tcPr>
                  <w:tcW w:w="397" w:type="dxa"/>
                  <w:tcBorders>
                    <w:left w:val="single" w:color="auto" w:sz="4" w:space="0"/>
                  </w:tcBorders>
                  <w:noWrap w:val="0"/>
                  <w:vAlign w:val="center"/>
                </w:tcPr>
                <w:p w14:paraId="00A36A57">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bCs/>
                      <w:kern w:val="0"/>
                      <w:szCs w:val="21"/>
                    </w:rPr>
                    <w:t>2</w:t>
                  </w:r>
                </w:p>
              </w:tc>
              <w:tc>
                <w:tcPr>
                  <w:tcW w:w="4615" w:type="dxa"/>
                  <w:noWrap w:val="0"/>
                  <w:vAlign w:val="center"/>
                </w:tcPr>
                <w:p w14:paraId="06A992AB">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 w:val="0"/>
                      <w:bCs/>
                      <w:sz w:val="21"/>
                      <w:szCs w:val="21"/>
                    </w:rPr>
                    <w:t>加快城镇基础设施绿色升级。推进城镇污水管网全覆盖。推动城镇生活污水收集处理设施</w:t>
                  </w:r>
                  <w:r>
                    <w:rPr>
                      <w:rFonts w:hint="eastAsia" w:cs="Times New Roman"/>
                      <w:b w:val="0"/>
                      <w:bCs/>
                      <w:sz w:val="21"/>
                      <w:szCs w:val="21"/>
                      <w:lang w:eastAsia="zh-CN"/>
                    </w:rPr>
                    <w:t>“</w:t>
                  </w:r>
                  <w:r>
                    <w:rPr>
                      <w:rFonts w:hint="default" w:ascii="Times New Roman" w:hAnsi="Times New Roman" w:eastAsia="宋体" w:cs="Times New Roman"/>
                      <w:b w:val="0"/>
                      <w:bCs/>
                      <w:sz w:val="21"/>
                      <w:szCs w:val="21"/>
                    </w:rPr>
                    <w:t>厂网一体化</w:t>
                  </w:r>
                  <w:r>
                    <w:rPr>
                      <w:rFonts w:hint="eastAsia" w:cs="Times New Roman"/>
                      <w:b w:val="0"/>
                      <w:bCs/>
                      <w:sz w:val="21"/>
                      <w:szCs w:val="21"/>
                      <w:lang w:eastAsia="zh-CN"/>
                    </w:rPr>
                    <w:t>”</w:t>
                  </w:r>
                  <w:r>
                    <w:rPr>
                      <w:rFonts w:hint="default" w:ascii="Times New Roman" w:hAnsi="Times New Roman" w:eastAsia="宋体" w:cs="Times New Roman"/>
                      <w:b w:val="0"/>
                      <w:bCs/>
                      <w:sz w:val="21"/>
                      <w:szCs w:val="21"/>
                    </w:rPr>
                    <w:t>，加快建设污泥无害化资源化处置设施。加快城镇生活垃圾处理设施建设，推进生活垃圾焚烧发电，减少生活垃圾填埋处理。加强灰渣及危险废物集中处置能力建设，提升信息化、智能化监管水平，严格执行经营许可管理制度。提升医疗废物应急处理能力。做好餐厨垃圾资源化利用和无害化处理。加强5G、区块链、人工智能、工业互联网、物联网等新型基础设施规划布局建设，推动数字产业化和产业数字化发展。</w:t>
                  </w:r>
                </w:p>
              </w:tc>
              <w:tc>
                <w:tcPr>
                  <w:tcW w:w="1870" w:type="dxa"/>
                  <w:noWrap w:val="0"/>
                  <w:vAlign w:val="center"/>
                </w:tcPr>
                <w:p w14:paraId="2D3DCEE5">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b w:val="0"/>
                      <w:bCs/>
                      <w:sz w:val="21"/>
                      <w:szCs w:val="21"/>
                      <w:lang w:val="en-US" w:eastAsia="zh-CN"/>
                    </w:rPr>
                  </w:pPr>
                  <w:r>
                    <w:rPr>
                      <w:rFonts w:hint="default" w:ascii="Times New Roman" w:hAnsi="Times New Roman" w:eastAsia="宋体" w:cs="Times New Roman"/>
                      <w:b w:val="0"/>
                      <w:bCs/>
                      <w:sz w:val="21"/>
                      <w:szCs w:val="21"/>
                    </w:rPr>
                    <w:t>本项目</w:t>
                  </w:r>
                  <w:r>
                    <w:rPr>
                      <w:rFonts w:hint="eastAsia" w:ascii="Times New Roman" w:hAnsi="Times New Roman" w:eastAsia="宋体" w:cs="Times New Roman"/>
                      <w:b w:val="0"/>
                      <w:bCs/>
                      <w:sz w:val="21"/>
                      <w:szCs w:val="21"/>
                      <w:lang w:val="en-US" w:eastAsia="zh-CN"/>
                    </w:rPr>
                    <w:t>生产废水全部回用，不外排；</w:t>
                  </w:r>
                  <w:r>
                    <w:rPr>
                      <w:rFonts w:hint="default" w:ascii="Times New Roman" w:hAnsi="Times New Roman" w:eastAsia="宋体" w:cs="Times New Roman"/>
                      <w:b w:val="0"/>
                      <w:bCs/>
                      <w:sz w:val="21"/>
                      <w:szCs w:val="21"/>
                    </w:rPr>
                    <w:t>本项目</w:t>
                  </w:r>
                  <w:r>
                    <w:rPr>
                      <w:rFonts w:hint="eastAsia" w:ascii="Times New Roman" w:hAnsi="Times New Roman" w:eastAsia="宋体" w:cs="Times New Roman"/>
                      <w:b w:val="0"/>
                      <w:bCs/>
                      <w:sz w:val="21"/>
                      <w:szCs w:val="21"/>
                      <w:lang w:val="en-US" w:eastAsia="zh-CN"/>
                    </w:rPr>
                    <w:t>机修废机油等经收集后统一送至有资质的单位处理，符合规划要求。</w:t>
                  </w:r>
                </w:p>
              </w:tc>
              <w:tc>
                <w:tcPr>
                  <w:tcW w:w="556" w:type="dxa"/>
                  <w:tcBorders>
                    <w:right w:val="single" w:color="auto" w:sz="4" w:space="0"/>
                  </w:tcBorders>
                  <w:noWrap w:val="0"/>
                  <w:vAlign w:val="center"/>
                </w:tcPr>
                <w:p w14:paraId="649AF357">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b/>
                      <w:kern w:val="0"/>
                      <w:szCs w:val="21"/>
                    </w:rPr>
                    <w:t>符合</w:t>
                  </w:r>
                </w:p>
              </w:tc>
            </w:tr>
            <w:tr w14:paraId="124A99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1" w:hRule="atLeast"/>
                <w:jc w:val="center"/>
              </w:trPr>
              <w:tc>
                <w:tcPr>
                  <w:tcW w:w="397" w:type="dxa"/>
                  <w:tcBorders>
                    <w:left w:val="single" w:color="auto" w:sz="4" w:space="0"/>
                  </w:tcBorders>
                  <w:noWrap w:val="0"/>
                  <w:vAlign w:val="center"/>
                </w:tcPr>
                <w:p w14:paraId="6859772E">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bCs/>
                      <w:kern w:val="0"/>
                      <w:szCs w:val="21"/>
                    </w:rPr>
                    <w:t>3</w:t>
                  </w:r>
                </w:p>
              </w:tc>
              <w:tc>
                <w:tcPr>
                  <w:tcW w:w="4615" w:type="dxa"/>
                  <w:noWrap w:val="0"/>
                  <w:vAlign w:val="center"/>
                </w:tcPr>
                <w:p w14:paraId="081E9DA9">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构建绿色产业链供应链。聚焦重点产业关键领域，树立全产业链思维和市场化导向，强化产业上下游、产供销之间的协同、配套、联动，有效补断点疏堵点，促进供给侧与需求侧的高效耦合和精准对接，形成更具优势、更加稳定、更有</w:t>
                  </w:r>
                  <w:r>
                    <w:rPr>
                      <w:rFonts w:hint="eastAsia" w:cs="Times New Roman"/>
                      <w:color w:val="auto"/>
                      <w:sz w:val="21"/>
                      <w:szCs w:val="21"/>
                      <w:highlight w:val="none"/>
                      <w:vertAlign w:val="baseline"/>
                      <w:lang w:val="en-US" w:eastAsia="zh-CN"/>
                    </w:rPr>
                    <w:t>竞争力</w:t>
                  </w:r>
                  <w:r>
                    <w:rPr>
                      <w:rFonts w:hint="default" w:ascii="Times New Roman" w:hAnsi="Times New Roman" w:eastAsia="宋体" w:cs="Times New Roman"/>
                      <w:color w:val="auto"/>
                      <w:sz w:val="21"/>
                      <w:szCs w:val="21"/>
                      <w:highlight w:val="none"/>
                      <w:vertAlign w:val="baseline"/>
                      <w:lang w:val="en-US" w:eastAsia="zh-CN"/>
                    </w:rPr>
                    <w:t>的产业链供应链。运用新技术、数字化，推动焦化、冶金、建材、陶瓷、绒纺、氯碱化工及农畜产品加工等传统产业工艺升级、产品升级、链条升级，打造高端绿色化的传统产业</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升级版</w:t>
                  </w:r>
                  <w:r>
                    <w:rPr>
                      <w:rFonts w:hint="eastAsia" w:cs="Times New Roman"/>
                      <w:color w:val="auto"/>
                      <w:sz w:val="21"/>
                      <w:szCs w:val="21"/>
                      <w:highlight w:val="none"/>
                      <w:vertAlign w:val="baseline"/>
                      <w:lang w:val="en-US" w:eastAsia="zh-CN"/>
                    </w:rPr>
                    <w:t>”</w:t>
                  </w:r>
                  <w:r>
                    <w:rPr>
                      <w:rFonts w:hint="default" w:ascii="Times New Roman" w:hAnsi="Times New Roman" w:eastAsia="宋体" w:cs="Times New Roman"/>
                      <w:color w:val="auto"/>
                      <w:sz w:val="21"/>
                      <w:szCs w:val="21"/>
                      <w:highlight w:val="none"/>
                      <w:vertAlign w:val="baseline"/>
                      <w:lang w:val="en-US" w:eastAsia="zh-CN"/>
                    </w:rPr>
                    <w:t>。选择100家左右积极性高、社会影响大、带动作用强的企业开展绿色供应链试点，探索建立绿色供应链制度体系。</w:t>
                  </w:r>
                </w:p>
              </w:tc>
              <w:tc>
                <w:tcPr>
                  <w:tcW w:w="1870" w:type="dxa"/>
                  <w:noWrap w:val="0"/>
                  <w:vAlign w:val="center"/>
                </w:tcPr>
                <w:p w14:paraId="667CC523">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本项目为内蒙古伊泰化工有限责任公司费托油水处理技改项目，属于现有产业下游项目，符合规划要求。</w:t>
                  </w:r>
                </w:p>
              </w:tc>
              <w:tc>
                <w:tcPr>
                  <w:tcW w:w="556" w:type="dxa"/>
                  <w:tcBorders>
                    <w:right w:val="single" w:color="auto" w:sz="4" w:space="0"/>
                  </w:tcBorders>
                  <w:noWrap w:val="0"/>
                  <w:vAlign w:val="center"/>
                </w:tcPr>
                <w:p w14:paraId="3567E844">
                  <w:pPr>
                    <w:keepNext w:val="0"/>
                    <w:keepLines w:val="0"/>
                    <w:pageBreakBefore w:val="0"/>
                    <w:widowControl w:val="0"/>
                    <w:kinsoku/>
                    <w:wordWrap/>
                    <w:overflowPunct/>
                    <w:topLinePunct w:val="0"/>
                    <w:bidi w:val="0"/>
                    <w:ind w:left="-105" w:leftChars="-50" w:right="-105" w:rightChars="-50" w:firstLine="0" w:firstLineChars="0"/>
                    <w:jc w:val="center"/>
                    <w:textAlignment w:val="auto"/>
                    <w:rPr>
                      <w:rFonts w:hint="default" w:ascii="Times New Roman" w:hAnsi="Times New Roman" w:eastAsia="宋体" w:cs="Times New Roman"/>
                      <w:color w:val="auto"/>
                      <w:sz w:val="24"/>
                      <w:szCs w:val="24"/>
                      <w:highlight w:val="none"/>
                      <w:vertAlign w:val="baseline"/>
                      <w:lang w:val="en-US" w:eastAsia="zh-CN"/>
                    </w:rPr>
                  </w:pPr>
                  <w:r>
                    <w:rPr>
                      <w:b/>
                      <w:kern w:val="0"/>
                      <w:szCs w:val="21"/>
                    </w:rPr>
                    <w:t>符合</w:t>
                  </w:r>
                </w:p>
              </w:tc>
            </w:tr>
          </w:tbl>
          <w:p w14:paraId="465DFEF6">
            <w:pPr>
              <w:adjustRightInd w:val="0"/>
              <w:snapToGrid w:val="0"/>
              <w:spacing w:line="360" w:lineRule="auto"/>
              <w:ind w:firstLine="482" w:firstLineChars="200"/>
              <w:rPr>
                <w:rFonts w:ascii="Times New Roman" w:hAnsi="Times New Roman" w:eastAsia="宋体" w:cs="Times New Roman"/>
                <w:b/>
                <w:bCs/>
                <w:color w:val="000000"/>
                <w:sz w:val="24"/>
              </w:rPr>
            </w:pPr>
            <w:r>
              <w:rPr>
                <w:rFonts w:hint="eastAsia" w:ascii="Times New Roman" w:hAnsi="Times New Roman" w:eastAsia="宋体" w:cs="Times New Roman"/>
                <w:b/>
                <w:bCs/>
                <w:color w:val="000000"/>
                <w:sz w:val="24"/>
                <w:lang w:val="en-US" w:eastAsia="zh-CN"/>
              </w:rPr>
              <w:t>6</w:t>
            </w:r>
            <w:r>
              <w:rPr>
                <w:rFonts w:hint="eastAsia" w:ascii="Times New Roman" w:hAnsi="Times New Roman" w:eastAsia="宋体" w:cs="Times New Roman"/>
                <w:b/>
                <w:bCs/>
                <w:color w:val="000000"/>
                <w:sz w:val="24"/>
              </w:rPr>
              <w:t>.</w:t>
            </w:r>
            <w:r>
              <w:rPr>
                <w:rFonts w:ascii="Times New Roman" w:hAnsi="Times New Roman" w:eastAsia="宋体" w:cs="Times New Roman"/>
                <w:b/>
                <w:bCs/>
                <w:color w:val="000000"/>
                <w:sz w:val="24"/>
              </w:rPr>
              <w:t>选址合理性分析</w:t>
            </w:r>
          </w:p>
          <w:p w14:paraId="13D8AE99">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本项目位于</w:t>
            </w:r>
            <w:r>
              <w:rPr>
                <w:rFonts w:hint="eastAsia" w:ascii="Times New Roman" w:hAnsi="Times New Roman" w:eastAsia="宋体" w:cs="Times New Roman"/>
                <w:bCs/>
                <w:color w:val="000000"/>
                <w:sz w:val="24"/>
              </w:rPr>
              <w:t>内蒙古鄂尔多斯市杭锦旗经济开发区独贵塔拉产业园内蒙古伊泰化工有限责任公司</w:t>
            </w:r>
            <w:r>
              <w:rPr>
                <w:rFonts w:hint="eastAsia"/>
                <w:bCs/>
                <w:color w:val="000000"/>
                <w:sz w:val="24"/>
                <w:lang w:val="en-US" w:eastAsia="zh-CN"/>
              </w:rPr>
              <w:t>油品加工装置合成水处理单元内东南角</w:t>
            </w:r>
            <w:r>
              <w:rPr>
                <w:rFonts w:ascii="Times New Roman" w:hAnsi="Times New Roman" w:eastAsia="宋体" w:cs="Times New Roman"/>
                <w:bCs/>
                <w:color w:val="000000"/>
                <w:sz w:val="24"/>
              </w:rPr>
              <w:t>，园区道路、供电、供水、电讯等基础设施条件良好，配套齐全，社会协作条件较优越；四周均为园区企业</w:t>
            </w:r>
            <w:r>
              <w:rPr>
                <w:rFonts w:hint="eastAsia" w:ascii="Times New Roman" w:hAnsi="Times New Roman" w:eastAsia="宋体" w:cs="Times New Roman"/>
                <w:bCs/>
                <w:color w:val="000000"/>
                <w:sz w:val="24"/>
              </w:rPr>
              <w:t>。</w:t>
            </w:r>
          </w:p>
          <w:p w14:paraId="1F015A49">
            <w:pPr>
              <w:adjustRightInd w:val="0"/>
              <w:snapToGrid w:val="0"/>
              <w:spacing w:line="360" w:lineRule="auto"/>
              <w:ind w:firstLine="480" w:firstLineChars="200"/>
              <w:rPr>
                <w:rFonts w:ascii="Times New Roman" w:hAnsi="Times New Roman" w:eastAsia="宋体" w:cs="Times New Roman"/>
                <w:bCs/>
                <w:color w:val="000000"/>
                <w:sz w:val="24"/>
              </w:rPr>
            </w:pPr>
            <w:r>
              <w:rPr>
                <w:rFonts w:ascii="Times New Roman" w:hAnsi="Times New Roman" w:eastAsia="宋体" w:cs="Times New Roman"/>
                <w:bCs/>
                <w:color w:val="000000"/>
                <w:sz w:val="24"/>
              </w:rPr>
              <w:t>项目</w:t>
            </w:r>
            <w:r>
              <w:rPr>
                <w:rFonts w:hint="eastAsia" w:ascii="Times New Roman" w:hAnsi="Times New Roman" w:eastAsia="宋体" w:cs="Times New Roman"/>
                <w:bCs/>
                <w:color w:val="000000"/>
                <w:sz w:val="24"/>
                <w:lang w:eastAsia="zh-CN"/>
              </w:rPr>
              <w:t>厂界外500m范围内无自然保护区、风景名胜区、文化区、居住区等大气环境敏感目标；500m范围内也无地下水集中式饮用水水源和热水、矿泉水、温泉等特殊地下水资源；厂界外50m范围内无声环境保护目标</w:t>
            </w:r>
            <w:r>
              <w:rPr>
                <w:rFonts w:ascii="Times New Roman" w:hAnsi="Times New Roman" w:eastAsia="宋体" w:cs="Times New Roman"/>
                <w:bCs/>
                <w:color w:val="000000"/>
                <w:sz w:val="24"/>
              </w:rPr>
              <w:t>。</w:t>
            </w:r>
            <w:r>
              <w:rPr>
                <w:rFonts w:hint="eastAsia" w:ascii="Times New Roman" w:hAnsi="Times New Roman" w:eastAsia="宋体" w:cs="Times New Roman"/>
                <w:bCs/>
                <w:color w:val="000000"/>
                <w:sz w:val="24"/>
                <w:lang w:val="en-US" w:eastAsia="zh-CN"/>
              </w:rPr>
              <w:t>本项目各</w:t>
            </w:r>
            <w:r>
              <w:rPr>
                <w:rFonts w:ascii="Times New Roman" w:hAnsi="Times New Roman" w:eastAsia="宋体" w:cs="Times New Roman"/>
                <w:bCs/>
                <w:color w:val="000000"/>
                <w:sz w:val="24"/>
              </w:rPr>
              <w:t>污染物</w:t>
            </w:r>
            <w:r>
              <w:rPr>
                <w:rFonts w:hint="eastAsia" w:cs="Times New Roman"/>
                <w:bCs/>
                <w:color w:val="000000"/>
                <w:sz w:val="24"/>
                <w:lang w:eastAsia="zh-CN"/>
              </w:rPr>
              <w:t>均</w:t>
            </w:r>
            <w:r>
              <w:rPr>
                <w:rFonts w:ascii="Times New Roman" w:hAnsi="Times New Roman" w:eastAsia="宋体" w:cs="Times New Roman"/>
                <w:bCs/>
                <w:color w:val="000000"/>
                <w:sz w:val="24"/>
              </w:rPr>
              <w:t>达标排放，项目建设对周围环境影响</w:t>
            </w:r>
            <w:r>
              <w:rPr>
                <w:rFonts w:hint="eastAsia" w:ascii="Times New Roman" w:hAnsi="Times New Roman" w:eastAsia="宋体" w:cs="Times New Roman"/>
                <w:bCs/>
                <w:color w:val="000000"/>
                <w:sz w:val="24"/>
              </w:rPr>
              <w:t>相对</w:t>
            </w:r>
            <w:r>
              <w:rPr>
                <w:rFonts w:ascii="Times New Roman" w:hAnsi="Times New Roman" w:eastAsia="宋体" w:cs="Times New Roman"/>
                <w:bCs/>
                <w:color w:val="000000"/>
                <w:sz w:val="24"/>
              </w:rPr>
              <w:t>较小</w:t>
            </w:r>
            <w:r>
              <w:rPr>
                <w:rFonts w:hint="eastAsia" w:ascii="Times New Roman" w:hAnsi="Times New Roman" w:eastAsia="宋体" w:cs="Times New Roman"/>
                <w:bCs/>
                <w:color w:val="000000"/>
                <w:sz w:val="24"/>
              </w:rPr>
              <w:t>。</w:t>
            </w:r>
            <w:r>
              <w:rPr>
                <w:rFonts w:ascii="Times New Roman" w:hAnsi="Times New Roman" w:eastAsia="宋体" w:cs="Times New Roman"/>
                <w:bCs/>
                <w:color w:val="000000"/>
                <w:sz w:val="24"/>
              </w:rPr>
              <w:t>从环保角度分析，项目选址合理。</w:t>
            </w:r>
          </w:p>
          <w:p w14:paraId="41C19853">
            <w:pPr>
              <w:adjustRightInd w:val="0"/>
              <w:snapToGrid w:val="0"/>
              <w:spacing w:line="360" w:lineRule="auto"/>
              <w:rPr>
                <w:rFonts w:ascii="Times New Roman" w:hAnsi="Times New Roman" w:eastAsia="宋体" w:cs="Times New Roman"/>
                <w:bCs/>
                <w:color w:val="000000"/>
                <w:sz w:val="24"/>
              </w:rPr>
            </w:pPr>
          </w:p>
        </w:tc>
      </w:tr>
    </w:tbl>
    <w:p w14:paraId="743CBFD4">
      <w:pPr>
        <w:spacing w:line="360" w:lineRule="auto"/>
        <w:outlineLvl w:val="0"/>
        <w:rPr>
          <w:rFonts w:eastAsia="黑体"/>
          <w:color w:val="000000"/>
          <w:sz w:val="30"/>
        </w:rPr>
        <w:sectPr>
          <w:footerReference r:id="rId6" w:type="default"/>
          <w:pgSz w:w="11906" w:h="16838"/>
          <w:pgMar w:top="1526" w:right="1531" w:bottom="1134" w:left="1531" w:header="964" w:footer="1077" w:gutter="0"/>
          <w:pgBorders>
            <w:top w:val="none" w:sz="0" w:space="0"/>
            <w:left w:val="none" w:sz="0" w:space="0"/>
            <w:bottom w:val="none" w:sz="0" w:space="0"/>
            <w:right w:val="none" w:sz="0" w:space="0"/>
          </w:pgBorders>
          <w:pgNumType w:start="1"/>
          <w:cols w:space="720" w:num="1"/>
          <w:docGrid w:linePitch="312" w:charSpace="0"/>
        </w:sectPr>
      </w:pPr>
    </w:p>
    <w:p w14:paraId="5D5205B7">
      <w:pPr>
        <w:pStyle w:val="37"/>
        <w:snapToGrid w:val="0"/>
        <w:spacing w:before="0" w:beforeAutospacing="0" w:after="0" w:afterAutospacing="0" w:line="288" w:lineRule="auto"/>
        <w:outlineLvl w:val="0"/>
        <w:rPr>
          <w:rFonts w:ascii="Times New Roman" w:hAnsi="Times New Roman"/>
          <w:b/>
          <w:snapToGrid w:val="0"/>
          <w:color w:val="000000"/>
          <w:sz w:val="32"/>
          <w:szCs w:val="32"/>
        </w:rPr>
      </w:pPr>
      <w:r>
        <w:rPr>
          <w:rFonts w:ascii="Times New Roman" w:hAnsi="Times New Roman"/>
          <w:b/>
          <w:snapToGrid w:val="0"/>
          <w:color w:val="000000"/>
          <w:sz w:val="32"/>
          <w:szCs w:val="32"/>
        </w:rPr>
        <w:t>二、建设项目工程分析</w:t>
      </w:r>
    </w:p>
    <w:tbl>
      <w:tblPr>
        <w:tblStyle w:val="41"/>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317"/>
      </w:tblGrid>
      <w:tr w14:paraId="4F1D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9" w:hRule="atLeast"/>
          <w:jc w:val="center"/>
        </w:trPr>
        <w:tc>
          <w:tcPr>
            <w:tcW w:w="421" w:type="pct"/>
            <w:tcBorders>
              <w:tl2br w:val="nil"/>
              <w:tr2bl w:val="nil"/>
            </w:tcBorders>
            <w:noWrap w:val="0"/>
            <w:vAlign w:val="center"/>
          </w:tcPr>
          <w:p w14:paraId="1BD68FD4">
            <w:pPr>
              <w:pStyle w:val="37"/>
              <w:adjustRightInd w:val="0"/>
              <w:snapToGrid w:val="0"/>
              <w:spacing w:before="0" w:beforeAutospacing="0" w:after="0" w:afterAutospacing="0"/>
              <w:jc w:val="center"/>
              <w:rPr>
                <w:rFonts w:ascii="Times New Roman" w:hAnsi="Times New Roman"/>
                <w:b/>
                <w:color w:val="000000"/>
                <w:szCs w:val="24"/>
              </w:rPr>
            </w:pPr>
            <w:r>
              <w:rPr>
                <w:rFonts w:ascii="Times New Roman" w:hAnsi="Times New Roman"/>
                <w:b/>
                <w:color w:val="000000"/>
                <w:szCs w:val="24"/>
              </w:rPr>
              <w:t>建设内容</w:t>
            </w:r>
          </w:p>
        </w:tc>
        <w:tc>
          <w:tcPr>
            <w:tcW w:w="4578" w:type="pct"/>
            <w:tcBorders>
              <w:tl2br w:val="nil"/>
              <w:tr2bl w:val="nil"/>
            </w:tcBorders>
            <w:noWrap w:val="0"/>
            <w:vAlign w:val="top"/>
          </w:tcPr>
          <w:p w14:paraId="6E172F23">
            <w:pPr>
              <w:spacing w:line="360" w:lineRule="auto"/>
              <w:rPr>
                <w:b/>
                <w:color w:val="000000"/>
                <w:sz w:val="24"/>
              </w:rPr>
            </w:pPr>
            <w:r>
              <w:rPr>
                <w:b/>
                <w:color w:val="000000"/>
                <w:sz w:val="24"/>
              </w:rPr>
              <w:t>1</w:t>
            </w:r>
            <w:r>
              <w:rPr>
                <w:rFonts w:hint="eastAsia"/>
                <w:b/>
                <w:color w:val="000000"/>
                <w:sz w:val="24"/>
              </w:rPr>
              <w:t>.</w:t>
            </w:r>
            <w:r>
              <w:rPr>
                <w:b/>
                <w:color w:val="000000"/>
                <w:sz w:val="24"/>
              </w:rPr>
              <w:t>项目由来</w:t>
            </w:r>
          </w:p>
          <w:p w14:paraId="0A8B5FC8">
            <w:pPr>
              <w:adjustRightInd w:val="0"/>
              <w:snapToGrid w:val="0"/>
              <w:spacing w:line="360" w:lineRule="auto"/>
              <w:ind w:firstLine="480" w:firstLineChars="200"/>
              <w:jc w:val="left"/>
              <w:rPr>
                <w:rFonts w:hint="eastAsia"/>
                <w:bCs/>
                <w:sz w:val="24"/>
              </w:rPr>
            </w:pPr>
            <w:r>
              <w:rPr>
                <w:rFonts w:hint="eastAsia"/>
                <w:bCs/>
                <w:sz w:val="24"/>
              </w:rPr>
              <w:t>内蒙古伊泰化工有限责任公司</w:t>
            </w:r>
            <w:r>
              <w:rPr>
                <w:rFonts w:hint="eastAsia"/>
                <w:bCs/>
                <w:sz w:val="24"/>
                <w:lang w:val="en-US" w:eastAsia="zh-CN"/>
              </w:rPr>
              <w:t>（简称“伊泰化工”）</w:t>
            </w:r>
            <w:r>
              <w:rPr>
                <w:rFonts w:hint="eastAsia"/>
                <w:bCs/>
                <w:sz w:val="24"/>
              </w:rPr>
              <w:t>成立于2009年，公司位于鄂尔多斯市杭锦旗独贵塔拉工业园区锦泰精细化工园，公司注册资本</w:t>
            </w:r>
            <w:r>
              <w:rPr>
                <w:rFonts w:hint="eastAsia"/>
                <w:bCs/>
                <w:sz w:val="24"/>
                <w:lang w:val="en-US" w:eastAsia="zh-CN"/>
              </w:rPr>
              <w:t>59</w:t>
            </w:r>
            <w:r>
              <w:rPr>
                <w:rFonts w:hint="eastAsia"/>
                <w:bCs/>
                <w:sz w:val="24"/>
              </w:rPr>
              <w:t>亿元人民币，是隶属于内蒙古伊泰集团有限公司下属的内蒙古伊泰煤炭股份有限公司的全资子公司。</w:t>
            </w:r>
          </w:p>
          <w:p w14:paraId="7E742A63">
            <w:pPr>
              <w:adjustRightInd w:val="0"/>
              <w:snapToGrid w:val="0"/>
              <w:spacing w:line="360" w:lineRule="auto"/>
              <w:ind w:firstLine="480" w:firstLineChars="200"/>
              <w:jc w:val="left"/>
              <w:rPr>
                <w:rFonts w:hint="default" w:ascii="Times New Roman" w:hAnsi="Times New Roman" w:eastAsia="宋体" w:cs="Times New Roman"/>
                <w:bCs/>
                <w:sz w:val="24"/>
                <w:lang w:val="en-US" w:eastAsia="zh-CN"/>
              </w:rPr>
            </w:pPr>
            <w:r>
              <w:rPr>
                <w:rFonts w:hint="eastAsia"/>
                <w:bCs/>
                <w:sz w:val="24"/>
              </w:rPr>
              <w:t>原鄂尔多斯市环境保护局于2016年12月29日以《内蒙古伊泰化工有限责任公司120万吨/年精细化工项目（变更）环境影响报告书的批复》</w:t>
            </w:r>
            <w:r>
              <w:rPr>
                <w:rFonts w:hint="eastAsia"/>
                <w:bCs/>
                <w:sz w:val="24"/>
                <w:lang w:eastAsia="zh-CN"/>
              </w:rPr>
              <w:t>（</w:t>
            </w:r>
            <w:r>
              <w:rPr>
                <w:rFonts w:hint="eastAsia"/>
                <w:bCs/>
                <w:sz w:val="24"/>
              </w:rPr>
              <w:t>鄂环评字﹝20</w:t>
            </w:r>
            <w:r>
              <w:rPr>
                <w:rFonts w:hint="eastAsia"/>
                <w:bCs/>
                <w:sz w:val="24"/>
                <w:lang w:val="en-US" w:eastAsia="zh-CN"/>
              </w:rPr>
              <w:t>16</w:t>
            </w:r>
            <w:r>
              <w:rPr>
                <w:rFonts w:hint="eastAsia"/>
                <w:bCs/>
                <w:sz w:val="24"/>
              </w:rPr>
              <w:t>﹞162号</w:t>
            </w:r>
            <w:r>
              <w:rPr>
                <w:rFonts w:hint="eastAsia"/>
                <w:bCs/>
                <w:sz w:val="24"/>
                <w:lang w:eastAsia="zh-CN"/>
              </w:rPr>
              <w:t>）</w:t>
            </w:r>
            <w:r>
              <w:rPr>
                <w:rFonts w:hint="eastAsia"/>
                <w:bCs/>
                <w:sz w:val="24"/>
              </w:rPr>
              <w:t>对内蒙古伊泰化工有限责任公司120万吨/年精细化工项目（</w:t>
            </w:r>
            <w:r>
              <w:rPr>
                <w:rFonts w:hint="eastAsia" w:ascii="Times New Roman" w:hAnsi="Times New Roman" w:eastAsia="宋体" w:cs="Times New Roman"/>
                <w:bCs/>
                <w:sz w:val="24"/>
                <w:lang w:val="en-US" w:eastAsia="zh-CN"/>
              </w:rPr>
              <w:t>变更）进行批复。</w:t>
            </w:r>
          </w:p>
          <w:p w14:paraId="1ADC7805">
            <w:pPr>
              <w:adjustRightInd w:val="0"/>
              <w:snapToGrid w:val="0"/>
              <w:spacing w:line="360" w:lineRule="auto"/>
              <w:ind w:firstLine="480" w:firstLineChars="200"/>
              <w:jc w:val="left"/>
              <w:rPr>
                <w:rFonts w:hint="eastAsia"/>
                <w:bCs/>
                <w:sz w:val="24"/>
              </w:rPr>
            </w:pPr>
            <w:r>
              <w:rPr>
                <w:rFonts w:hint="eastAsia" w:ascii="Times New Roman" w:hAnsi="Times New Roman" w:eastAsia="宋体" w:cs="Times New Roman"/>
                <w:bCs/>
                <w:sz w:val="24"/>
                <w:lang w:val="en-US" w:eastAsia="zh-CN"/>
              </w:rPr>
              <w:t>目前，内蒙古伊泰化工有限责任公司120万吨/年精细化学品示范项目（变更）中费托合成装置产生的费托合成轻质油为中间产物，储存在中间罐区轻质油罐，产量为36万吨/年</w:t>
            </w:r>
            <w:r>
              <w:rPr>
                <w:rFonts w:hint="eastAsia" w:cs="Times New Roman"/>
                <w:bCs/>
                <w:sz w:val="24"/>
                <w:lang w:val="en-US" w:eastAsia="zh-CN"/>
              </w:rPr>
              <w:t>。</w:t>
            </w:r>
            <w:r>
              <w:rPr>
                <w:rFonts w:hint="eastAsia"/>
                <w:bCs/>
                <w:sz w:val="24"/>
                <w:lang w:val="en-US" w:eastAsia="zh-CN"/>
              </w:rPr>
              <w:t>为提高煤制油的产品经济效益以及提高煤制油企业产品销售自主权，本项目通过利旧改造原油品加工装置合成水处理单元的萃取精馏塔和乙二醇回收塔及附属系统切割拔出C5烷烯烃产品，</w:t>
            </w:r>
            <w:r>
              <w:rPr>
                <w:rFonts w:hint="eastAsia" w:ascii="Times New Roman" w:hAnsi="Times New Roman" w:eastAsia="宋体" w:cs="Times New Roman"/>
                <w:sz w:val="24"/>
                <w:lang w:val="en-US" w:eastAsia="zh-CN"/>
              </w:rPr>
              <w:t>原萃取精馏塔和乙二醇回收塔用于处理合成油水，后闲置未运行。</w:t>
            </w:r>
            <w:r>
              <w:rPr>
                <w:rFonts w:hint="eastAsia" w:cs="Times New Roman"/>
                <w:sz w:val="24"/>
                <w:lang w:val="en-US" w:eastAsia="zh-CN"/>
              </w:rPr>
              <w:t>本次技改不影响装置合成水处理单元其他工程，</w:t>
            </w:r>
            <w:r>
              <w:rPr>
                <w:rFonts w:hint="eastAsia"/>
                <w:bCs/>
                <w:sz w:val="24"/>
                <w:lang w:val="en-US" w:eastAsia="zh-CN"/>
              </w:rPr>
              <w:t>可在一定程度上提高企业经济效益</w:t>
            </w:r>
            <w:r>
              <w:rPr>
                <w:rFonts w:hint="eastAsia"/>
                <w:bCs/>
                <w:sz w:val="24"/>
              </w:rPr>
              <w:t>。</w:t>
            </w:r>
          </w:p>
          <w:p w14:paraId="205AE8C2">
            <w:pPr>
              <w:adjustRightInd w:val="0"/>
              <w:snapToGrid w:val="0"/>
              <w:spacing w:line="360" w:lineRule="auto"/>
              <w:ind w:firstLine="480" w:firstLineChars="200"/>
              <w:jc w:val="left"/>
              <w:rPr>
                <w:rFonts w:hint="eastAsia"/>
                <w:bCs/>
                <w:sz w:val="24"/>
              </w:rPr>
            </w:pPr>
            <w:r>
              <w:rPr>
                <w:rFonts w:hint="eastAsia"/>
                <w:bCs/>
                <w:sz w:val="24"/>
              </w:rPr>
              <w:t>本项目占地面积</w:t>
            </w:r>
            <w:r>
              <w:rPr>
                <w:rFonts w:hint="eastAsia"/>
                <w:bCs/>
                <w:sz w:val="24"/>
                <w:lang w:val="en-US" w:eastAsia="zh-CN"/>
              </w:rPr>
              <w:t>4995</w:t>
            </w:r>
            <w:r>
              <w:rPr>
                <w:rFonts w:hint="eastAsia"/>
                <w:bCs/>
                <w:sz w:val="24"/>
              </w:rPr>
              <w:t>m</w:t>
            </w:r>
            <w:r>
              <w:rPr>
                <w:rFonts w:hint="eastAsia"/>
                <w:bCs/>
                <w:sz w:val="24"/>
                <w:vertAlign w:val="superscript"/>
              </w:rPr>
              <w:t>2</w:t>
            </w:r>
            <w:r>
              <w:rPr>
                <w:rFonts w:hint="eastAsia"/>
                <w:bCs/>
                <w:sz w:val="24"/>
              </w:rPr>
              <w:t>，位于内蒙古伊泰化工有限责任公司</w:t>
            </w:r>
            <w:r>
              <w:rPr>
                <w:rFonts w:hint="eastAsia"/>
                <w:bCs/>
                <w:sz w:val="24"/>
                <w:lang w:val="en-US" w:eastAsia="zh-CN"/>
              </w:rPr>
              <w:t>厂区内</w:t>
            </w:r>
            <w:r>
              <w:rPr>
                <w:rFonts w:hint="eastAsia"/>
                <w:bCs/>
                <w:sz w:val="24"/>
              </w:rPr>
              <w:t>，不新增用地。项目主要建设内容为：费托油水</w:t>
            </w:r>
            <w:r>
              <w:rPr>
                <w:rFonts w:hint="eastAsia"/>
                <w:bCs/>
                <w:sz w:val="24"/>
                <w:lang w:val="en-US" w:eastAsia="zh-CN"/>
              </w:rPr>
              <w:t>处理</w:t>
            </w:r>
            <w:r>
              <w:rPr>
                <w:rFonts w:hint="eastAsia"/>
                <w:bCs/>
                <w:sz w:val="24"/>
              </w:rPr>
              <w:t>技改项目进料规模为36万吨/年，产品为纯度不低于98%的C5</w:t>
            </w:r>
            <w:r>
              <w:rPr>
                <w:rFonts w:hint="eastAsia"/>
                <w:bCs/>
                <w:sz w:val="24"/>
                <w:lang w:val="en-US" w:eastAsia="zh-CN"/>
              </w:rPr>
              <w:t>烷烯烃</w:t>
            </w:r>
            <w:r>
              <w:rPr>
                <w:rFonts w:hint="eastAsia"/>
                <w:bCs/>
                <w:sz w:val="24"/>
              </w:rPr>
              <w:t>。</w:t>
            </w:r>
            <w:r>
              <w:rPr>
                <w:rFonts w:hint="eastAsia"/>
                <w:bCs/>
                <w:sz w:val="24"/>
                <w:highlight w:val="none"/>
              </w:rPr>
              <w:t>其中C5</w:t>
            </w:r>
            <w:r>
              <w:rPr>
                <w:rFonts w:hint="eastAsia"/>
                <w:bCs/>
                <w:sz w:val="24"/>
                <w:highlight w:val="none"/>
                <w:lang w:val="en-US" w:eastAsia="zh-CN"/>
              </w:rPr>
              <w:t>烷烯烃</w:t>
            </w:r>
            <w:r>
              <w:rPr>
                <w:rFonts w:hint="eastAsia"/>
                <w:bCs/>
                <w:sz w:val="24"/>
                <w:highlight w:val="none"/>
              </w:rPr>
              <w:t>产品为1.5万吨/年</w:t>
            </w:r>
            <w:r>
              <w:rPr>
                <w:rFonts w:hint="eastAsia"/>
                <w:bCs/>
                <w:sz w:val="24"/>
                <w:highlight w:val="none"/>
                <w:lang w:eastAsia="zh-CN"/>
              </w:rPr>
              <w:t>，</w:t>
            </w:r>
            <w:r>
              <w:rPr>
                <w:rFonts w:hint="eastAsia"/>
                <w:bCs/>
                <w:sz w:val="24"/>
                <w:highlight w:val="none"/>
                <w:lang w:val="en-US" w:eastAsia="zh-CN"/>
              </w:rPr>
              <w:t>C4及C4-烷烯烃产量为0.5万吨</w:t>
            </w:r>
            <w:r>
              <w:rPr>
                <w:rFonts w:hint="eastAsia"/>
                <w:bCs/>
                <w:sz w:val="24"/>
                <w:highlight w:val="none"/>
              </w:rPr>
              <w:t>。</w:t>
            </w:r>
            <w:r>
              <w:rPr>
                <w:rFonts w:hint="eastAsia"/>
                <w:bCs/>
                <w:sz w:val="24"/>
              </w:rPr>
              <w:t>年操作天数333天，年操作小时数8000小时。</w:t>
            </w:r>
          </w:p>
          <w:p w14:paraId="61918247">
            <w:pPr>
              <w:adjustRightInd w:val="0"/>
              <w:snapToGrid w:val="0"/>
              <w:spacing w:line="360" w:lineRule="auto"/>
              <w:ind w:firstLine="480" w:firstLineChars="200"/>
              <w:jc w:val="left"/>
              <w:rPr>
                <w:rFonts w:hint="eastAsia"/>
                <w:bCs/>
                <w:sz w:val="24"/>
              </w:rPr>
            </w:pPr>
            <w:r>
              <w:rPr>
                <w:rFonts w:hint="eastAsia"/>
                <w:bCs/>
                <w:sz w:val="24"/>
              </w:rPr>
              <w:t>根据《建设项目环境影响评价分类管理名录》（2021年版），本项目所属行业类别为</w:t>
            </w:r>
            <w:r>
              <w:rPr>
                <w:rFonts w:hint="eastAsia"/>
                <w:bCs/>
                <w:sz w:val="24"/>
                <w:lang w:eastAsia="zh-CN"/>
              </w:rPr>
              <w:t>“</w:t>
            </w:r>
            <w:r>
              <w:rPr>
                <w:rFonts w:hint="eastAsia"/>
                <w:bCs/>
                <w:sz w:val="24"/>
              </w:rPr>
              <w:t>二十三、化学原料和化学制品制造业——基础化学原料制造261</w:t>
            </w:r>
            <w:r>
              <w:rPr>
                <w:rFonts w:hint="eastAsia"/>
                <w:bCs/>
                <w:sz w:val="24"/>
                <w:lang w:eastAsia="zh-CN"/>
              </w:rPr>
              <w:t>”</w:t>
            </w:r>
            <w:r>
              <w:rPr>
                <w:rFonts w:hint="eastAsia"/>
                <w:bCs/>
                <w:sz w:val="24"/>
              </w:rPr>
              <w:t>类别中的</w:t>
            </w:r>
            <w:r>
              <w:rPr>
                <w:rFonts w:hint="eastAsia"/>
                <w:bCs/>
                <w:sz w:val="24"/>
                <w:lang w:eastAsia="zh-CN"/>
              </w:rPr>
              <w:t>“</w:t>
            </w:r>
            <w:r>
              <w:rPr>
                <w:rFonts w:hint="eastAsia"/>
                <w:bCs/>
                <w:sz w:val="24"/>
              </w:rPr>
              <w:t>单纯物理分离、物理提纯、混合、分装的（不产生废水或挥发性有机物的除外）</w:t>
            </w:r>
            <w:r>
              <w:rPr>
                <w:rFonts w:hint="eastAsia"/>
                <w:bCs/>
                <w:sz w:val="24"/>
                <w:lang w:eastAsia="zh-CN"/>
              </w:rPr>
              <w:t>”，</w:t>
            </w:r>
            <w:r>
              <w:rPr>
                <w:rFonts w:hint="eastAsia"/>
                <w:bCs/>
                <w:sz w:val="24"/>
              </w:rPr>
              <w:t>应编制环境影响报告表。</w:t>
            </w:r>
          </w:p>
          <w:p w14:paraId="6C35159B">
            <w:pPr>
              <w:spacing w:line="360" w:lineRule="auto"/>
              <w:rPr>
                <w:rFonts w:hint="eastAsia"/>
                <w:b/>
                <w:color w:val="000000"/>
                <w:sz w:val="24"/>
              </w:rPr>
            </w:pPr>
            <w:r>
              <w:rPr>
                <w:b/>
                <w:color w:val="000000"/>
                <w:sz w:val="24"/>
              </w:rPr>
              <w:t>2</w:t>
            </w:r>
            <w:r>
              <w:rPr>
                <w:rFonts w:hint="eastAsia"/>
                <w:b/>
                <w:color w:val="000000"/>
                <w:sz w:val="24"/>
              </w:rPr>
              <w:t>.</w:t>
            </w:r>
            <w:r>
              <w:rPr>
                <w:b/>
                <w:color w:val="000000"/>
                <w:sz w:val="24"/>
              </w:rPr>
              <w:t>项目地理位置及周边</w:t>
            </w:r>
            <w:r>
              <w:rPr>
                <w:rFonts w:hint="eastAsia"/>
                <w:b/>
                <w:color w:val="000000"/>
                <w:sz w:val="24"/>
              </w:rPr>
              <w:t>概况</w:t>
            </w:r>
          </w:p>
          <w:p w14:paraId="06A3CA42">
            <w:pPr>
              <w:widowControl/>
              <w:snapToGrid w:val="0"/>
              <w:spacing w:line="360" w:lineRule="auto"/>
              <w:ind w:firstLine="480" w:firstLineChars="200"/>
              <w:jc w:val="left"/>
              <w:rPr>
                <w:rFonts w:hint="eastAsia"/>
                <w:color w:val="000000"/>
                <w:sz w:val="24"/>
              </w:rPr>
            </w:pPr>
            <w:r>
              <w:rPr>
                <w:color w:val="000000"/>
                <w:sz w:val="24"/>
              </w:rPr>
              <w:t>本项目建设地点位于</w:t>
            </w:r>
            <w:r>
              <w:rPr>
                <w:rFonts w:hint="eastAsia"/>
                <w:bCs/>
                <w:color w:val="000000"/>
                <w:sz w:val="24"/>
              </w:rPr>
              <w:t>内蒙古伊泰化工有限责任公司</w:t>
            </w:r>
            <w:r>
              <w:rPr>
                <w:rFonts w:hint="eastAsia"/>
                <w:bCs/>
                <w:color w:val="000000"/>
                <w:sz w:val="24"/>
                <w:lang w:val="en-US" w:eastAsia="zh-CN"/>
              </w:rPr>
              <w:t>120万吨/年精细化学品示范项目油品加工装置合成水处理单元内东南角</w:t>
            </w:r>
            <w:r>
              <w:rPr>
                <w:color w:val="000000"/>
                <w:sz w:val="24"/>
              </w:rPr>
              <w:t>，</w:t>
            </w:r>
            <w:r>
              <w:rPr>
                <w:color w:val="000000"/>
                <w:sz w:val="24"/>
                <w:highlight w:val="none"/>
              </w:rPr>
              <w:t>厂区中心坐标为：N40°1'</w:t>
            </w:r>
            <w:r>
              <w:rPr>
                <w:rFonts w:hint="eastAsia"/>
                <w:color w:val="000000"/>
                <w:sz w:val="24"/>
                <w:highlight w:val="none"/>
                <w:lang w:val="en-US" w:eastAsia="zh-CN"/>
              </w:rPr>
              <w:t>55.737</w:t>
            </w:r>
            <w:r>
              <w:rPr>
                <w:color w:val="000000"/>
                <w:sz w:val="24"/>
                <w:highlight w:val="none"/>
              </w:rPr>
              <w:t>''，E108°</w:t>
            </w:r>
            <w:r>
              <w:rPr>
                <w:rFonts w:hint="eastAsia"/>
                <w:color w:val="000000"/>
                <w:sz w:val="24"/>
                <w:highlight w:val="none"/>
                <w:lang w:val="en-US" w:eastAsia="zh-CN"/>
              </w:rPr>
              <w:t>30</w:t>
            </w:r>
            <w:r>
              <w:rPr>
                <w:color w:val="000000"/>
                <w:sz w:val="24"/>
                <w:highlight w:val="none"/>
              </w:rPr>
              <w:t>'</w:t>
            </w:r>
            <w:r>
              <w:rPr>
                <w:rFonts w:hint="eastAsia"/>
                <w:color w:val="000000"/>
                <w:sz w:val="24"/>
                <w:highlight w:val="none"/>
                <w:lang w:val="en-US" w:eastAsia="zh-CN"/>
              </w:rPr>
              <w:t>16.957</w:t>
            </w:r>
            <w:r>
              <w:rPr>
                <w:color w:val="000000"/>
                <w:sz w:val="24"/>
                <w:highlight w:val="none"/>
              </w:rPr>
              <w:t>''</w:t>
            </w:r>
            <w:r>
              <w:rPr>
                <w:rFonts w:hint="eastAsia"/>
                <w:color w:val="000000"/>
                <w:sz w:val="24"/>
              </w:rPr>
              <w:t>。</w:t>
            </w:r>
            <w:r>
              <w:rPr>
                <w:color w:val="000000"/>
                <w:sz w:val="24"/>
              </w:rPr>
              <w:t>项目</w:t>
            </w:r>
            <w:r>
              <w:rPr>
                <w:rFonts w:hint="eastAsia"/>
                <w:color w:val="000000"/>
                <w:sz w:val="24"/>
                <w:lang w:val="en-US" w:eastAsia="zh-CN"/>
              </w:rPr>
              <w:t>东侧为油品加工装置，西侧为低温油洗单元，南侧为油品加工装置的机柜间和配电室</w:t>
            </w:r>
            <w:r>
              <w:rPr>
                <w:color w:val="000000"/>
                <w:sz w:val="24"/>
              </w:rPr>
              <w:t>。本项目地理位置图见附图</w:t>
            </w:r>
            <w:r>
              <w:rPr>
                <w:rFonts w:hint="eastAsia"/>
                <w:color w:val="000000"/>
                <w:sz w:val="24"/>
                <w:lang w:val="en-US" w:eastAsia="zh-CN"/>
              </w:rPr>
              <w:t>二</w:t>
            </w:r>
            <w:r>
              <w:rPr>
                <w:color w:val="000000"/>
                <w:sz w:val="24"/>
              </w:rPr>
              <w:t>。</w:t>
            </w:r>
          </w:p>
          <w:p w14:paraId="152916AE">
            <w:pPr>
              <w:adjustRightInd w:val="0"/>
              <w:snapToGrid w:val="0"/>
              <w:spacing w:line="360" w:lineRule="auto"/>
              <w:rPr>
                <w:b/>
                <w:color w:val="000000"/>
                <w:sz w:val="24"/>
              </w:rPr>
            </w:pPr>
            <w:r>
              <w:rPr>
                <w:b/>
                <w:color w:val="000000"/>
                <w:sz w:val="24"/>
              </w:rPr>
              <w:t>3</w:t>
            </w:r>
            <w:r>
              <w:rPr>
                <w:rFonts w:hint="eastAsia"/>
                <w:b/>
                <w:color w:val="000000"/>
                <w:sz w:val="24"/>
              </w:rPr>
              <w:t>.</w:t>
            </w:r>
            <w:r>
              <w:rPr>
                <w:b/>
                <w:color w:val="000000"/>
                <w:sz w:val="24"/>
              </w:rPr>
              <w:t>工程建设内容及规模</w:t>
            </w:r>
          </w:p>
          <w:p w14:paraId="40C448FE">
            <w:pPr>
              <w:adjustRightInd w:val="0"/>
              <w:snapToGrid w:val="0"/>
              <w:spacing w:line="360" w:lineRule="auto"/>
              <w:ind w:firstLine="482" w:firstLineChars="200"/>
              <w:rPr>
                <w:rFonts w:hint="eastAsia"/>
                <w:b/>
                <w:bCs/>
                <w:color w:val="000000"/>
                <w:sz w:val="24"/>
                <w:lang w:val="en-US" w:eastAsia="zh-CN"/>
              </w:rPr>
            </w:pPr>
            <w:r>
              <w:rPr>
                <w:rFonts w:hint="eastAsia"/>
                <w:b/>
                <w:bCs/>
                <w:color w:val="000000"/>
                <w:sz w:val="24"/>
                <w:lang w:val="en-US" w:eastAsia="zh-CN"/>
              </w:rPr>
              <w:t>3.1项目概况</w:t>
            </w:r>
          </w:p>
          <w:p w14:paraId="3E637308">
            <w:pPr>
              <w:adjustRightInd w:val="0"/>
              <w:snapToGrid w:val="0"/>
              <w:spacing w:line="360" w:lineRule="auto"/>
              <w:ind w:firstLine="482" w:firstLineChars="200"/>
              <w:rPr>
                <w:rFonts w:hint="default"/>
                <w:b/>
                <w:bCs/>
                <w:color w:val="000000"/>
                <w:sz w:val="24"/>
                <w:lang w:val="en-US" w:eastAsia="zh-CN"/>
              </w:rPr>
            </w:pPr>
            <w:r>
              <w:rPr>
                <w:rFonts w:hint="eastAsia"/>
                <w:b/>
                <w:bCs/>
                <w:color w:val="000000"/>
                <w:sz w:val="24"/>
                <w:lang w:val="en-US" w:eastAsia="zh-CN"/>
              </w:rPr>
              <w:t>3.1.1技改前项目概况</w:t>
            </w:r>
          </w:p>
          <w:p w14:paraId="7262E902">
            <w:pPr>
              <w:spacing w:line="360" w:lineRule="auto"/>
              <w:ind w:firstLine="480"/>
              <w:rPr>
                <w:color w:val="auto"/>
                <w:sz w:val="24"/>
                <w:szCs w:val="24"/>
                <w:highlight w:val="none"/>
              </w:rPr>
            </w:pPr>
            <w:r>
              <w:rPr>
                <w:color w:val="auto"/>
                <w:sz w:val="24"/>
                <w:szCs w:val="24"/>
                <w:highlight w:val="none"/>
              </w:rPr>
              <w:t>1</w:t>
            </w:r>
            <w:r>
              <w:rPr>
                <w:rFonts w:hint="eastAsia"/>
                <w:color w:val="auto"/>
                <w:sz w:val="24"/>
                <w:szCs w:val="24"/>
                <w:highlight w:val="none"/>
                <w:lang w:val="en-US" w:eastAsia="zh-CN"/>
              </w:rPr>
              <w:t>.</w:t>
            </w:r>
            <w:r>
              <w:rPr>
                <w:color w:val="auto"/>
                <w:sz w:val="24"/>
                <w:szCs w:val="24"/>
                <w:highlight w:val="none"/>
              </w:rPr>
              <w:t>基本情况</w:t>
            </w:r>
          </w:p>
          <w:p w14:paraId="1B2D8194">
            <w:pPr>
              <w:spacing w:line="360" w:lineRule="auto"/>
              <w:ind w:firstLine="480"/>
              <w:rPr>
                <w:sz w:val="24"/>
                <w:szCs w:val="24"/>
                <w:highlight w:val="none"/>
              </w:rPr>
            </w:pPr>
            <w:r>
              <w:rPr>
                <w:color w:val="auto"/>
                <w:sz w:val="24"/>
                <w:szCs w:val="24"/>
                <w:highlight w:val="none"/>
              </w:rPr>
              <w:t>项目名称：</w:t>
            </w:r>
            <w:r>
              <w:rPr>
                <w:rFonts w:hint="eastAsia"/>
                <w:color w:val="auto"/>
                <w:sz w:val="24"/>
                <w:szCs w:val="24"/>
                <w:highlight w:val="none"/>
                <w:lang w:val="en-US" w:eastAsia="zh-CN"/>
              </w:rPr>
              <w:t>内蒙古伊泰化工有限责任公司120万吨/年精细化学品项目</w:t>
            </w:r>
            <w:r>
              <w:rPr>
                <w:color w:val="auto"/>
                <w:sz w:val="24"/>
                <w:szCs w:val="24"/>
                <w:highlight w:val="none"/>
              </w:rPr>
              <w:t>。</w:t>
            </w:r>
          </w:p>
          <w:p w14:paraId="0B71F1C8">
            <w:pPr>
              <w:spacing w:line="360" w:lineRule="auto"/>
              <w:ind w:firstLine="480"/>
              <w:rPr>
                <w:sz w:val="24"/>
                <w:szCs w:val="24"/>
                <w:highlight w:val="none"/>
              </w:rPr>
            </w:pPr>
            <w:r>
              <w:rPr>
                <w:sz w:val="24"/>
                <w:szCs w:val="24"/>
                <w:highlight w:val="none"/>
              </w:rPr>
              <w:t>建设地点：内蒙古自治区鄂尔多斯市杭锦旗独贵塔拉工业园区南项目区。</w:t>
            </w:r>
          </w:p>
          <w:p w14:paraId="376DAA07">
            <w:pPr>
              <w:spacing w:line="360" w:lineRule="auto"/>
              <w:ind w:firstLine="480"/>
              <w:rPr>
                <w:sz w:val="24"/>
                <w:szCs w:val="24"/>
                <w:highlight w:val="none"/>
              </w:rPr>
            </w:pPr>
            <w:r>
              <w:rPr>
                <w:sz w:val="24"/>
                <w:szCs w:val="24"/>
                <w:highlight w:val="none"/>
              </w:rPr>
              <w:t>建设单位：内蒙古伊泰化工有限责任公司。</w:t>
            </w:r>
          </w:p>
          <w:p w14:paraId="035A672B">
            <w:pPr>
              <w:spacing w:line="360" w:lineRule="auto"/>
              <w:ind w:firstLine="480"/>
              <w:rPr>
                <w:sz w:val="24"/>
                <w:szCs w:val="24"/>
                <w:highlight w:val="none"/>
              </w:rPr>
            </w:pPr>
            <w:r>
              <w:rPr>
                <w:sz w:val="24"/>
                <w:szCs w:val="24"/>
                <w:highlight w:val="none"/>
              </w:rPr>
              <w:t>总投资及环保投资：总投资为</w:t>
            </w:r>
            <w:r>
              <w:rPr>
                <w:rFonts w:hint="eastAsia"/>
                <w:sz w:val="24"/>
                <w:szCs w:val="24"/>
                <w:highlight w:val="none"/>
                <w:lang w:val="en-US" w:eastAsia="zh-CN"/>
              </w:rPr>
              <w:t>1673568</w:t>
            </w:r>
            <w:r>
              <w:rPr>
                <w:sz w:val="24"/>
                <w:szCs w:val="24"/>
                <w:highlight w:val="none"/>
              </w:rPr>
              <w:t>万元，其中环保投资</w:t>
            </w:r>
            <w:r>
              <w:rPr>
                <w:rFonts w:hint="eastAsia"/>
                <w:sz w:val="24"/>
                <w:szCs w:val="24"/>
                <w:highlight w:val="none"/>
                <w:lang w:val="en-US" w:eastAsia="zh-CN"/>
              </w:rPr>
              <w:t>127474</w:t>
            </w:r>
            <w:r>
              <w:rPr>
                <w:sz w:val="24"/>
                <w:szCs w:val="24"/>
                <w:highlight w:val="none"/>
              </w:rPr>
              <w:t>万元，约占总投资的</w:t>
            </w:r>
            <w:r>
              <w:rPr>
                <w:rFonts w:hint="eastAsia"/>
                <w:sz w:val="24"/>
                <w:szCs w:val="24"/>
                <w:highlight w:val="none"/>
                <w:lang w:val="en-US" w:eastAsia="zh-CN"/>
              </w:rPr>
              <w:t>7.62</w:t>
            </w:r>
            <w:r>
              <w:rPr>
                <w:sz w:val="24"/>
                <w:szCs w:val="24"/>
                <w:highlight w:val="none"/>
              </w:rPr>
              <w:t>%。</w:t>
            </w:r>
          </w:p>
          <w:p w14:paraId="76AD36D3">
            <w:pPr>
              <w:spacing w:line="360" w:lineRule="auto"/>
              <w:ind w:firstLine="480"/>
              <w:rPr>
                <w:sz w:val="24"/>
                <w:szCs w:val="24"/>
                <w:highlight w:val="none"/>
              </w:rPr>
            </w:pPr>
            <w:r>
              <w:rPr>
                <w:sz w:val="24"/>
                <w:szCs w:val="24"/>
                <w:highlight w:val="none"/>
              </w:rPr>
              <w:t>劳动定员：</w:t>
            </w:r>
            <w:r>
              <w:rPr>
                <w:rFonts w:hint="eastAsia"/>
                <w:sz w:val="24"/>
                <w:szCs w:val="24"/>
                <w:highlight w:val="none"/>
                <w:lang w:val="en-US" w:eastAsia="zh-CN"/>
              </w:rPr>
              <w:t>1352</w:t>
            </w:r>
            <w:r>
              <w:rPr>
                <w:sz w:val="24"/>
                <w:szCs w:val="24"/>
                <w:highlight w:val="none"/>
              </w:rPr>
              <w:t>人。</w:t>
            </w:r>
          </w:p>
          <w:p w14:paraId="56E7B2B6">
            <w:pPr>
              <w:spacing w:line="360" w:lineRule="auto"/>
              <w:ind w:firstLine="480"/>
              <w:rPr>
                <w:sz w:val="24"/>
                <w:szCs w:val="24"/>
                <w:highlight w:val="none"/>
              </w:rPr>
            </w:pPr>
            <w:r>
              <w:rPr>
                <w:sz w:val="24"/>
                <w:szCs w:val="24"/>
                <w:highlight w:val="none"/>
              </w:rPr>
              <w:t>工作制度：年操作小时数</w:t>
            </w:r>
            <w:r>
              <w:rPr>
                <w:rFonts w:hint="eastAsia"/>
                <w:sz w:val="24"/>
                <w:szCs w:val="24"/>
                <w:highlight w:val="none"/>
                <w:lang w:val="en-US" w:eastAsia="zh-CN"/>
              </w:rPr>
              <w:t>8000</w:t>
            </w:r>
            <w:r>
              <w:rPr>
                <w:sz w:val="24"/>
                <w:szCs w:val="24"/>
                <w:highlight w:val="none"/>
              </w:rPr>
              <w:t>h。</w:t>
            </w:r>
          </w:p>
          <w:p w14:paraId="7BAF488F">
            <w:pPr>
              <w:spacing w:line="360" w:lineRule="auto"/>
              <w:ind w:firstLine="480"/>
              <w:rPr>
                <w:sz w:val="24"/>
                <w:szCs w:val="24"/>
                <w:highlight w:val="none"/>
              </w:rPr>
            </w:pPr>
            <w:r>
              <w:rPr>
                <w:sz w:val="24"/>
                <w:szCs w:val="24"/>
                <w:highlight w:val="none"/>
              </w:rPr>
              <w:t>占地面积：</w:t>
            </w:r>
            <w:r>
              <w:rPr>
                <w:rFonts w:hint="eastAsia"/>
                <w:sz w:val="24"/>
                <w:szCs w:val="24"/>
                <w:highlight w:val="none"/>
                <w:lang w:val="en-US" w:eastAsia="zh-CN"/>
              </w:rPr>
              <w:t>196.35h</w:t>
            </w:r>
            <w:r>
              <w:rPr>
                <w:sz w:val="24"/>
                <w:szCs w:val="24"/>
                <w:highlight w:val="none"/>
              </w:rPr>
              <w:t>m</w:t>
            </w:r>
            <w:r>
              <w:rPr>
                <w:sz w:val="24"/>
                <w:szCs w:val="24"/>
                <w:highlight w:val="none"/>
                <w:vertAlign w:val="superscript"/>
              </w:rPr>
              <w:t>2</w:t>
            </w:r>
            <w:r>
              <w:rPr>
                <w:sz w:val="24"/>
                <w:szCs w:val="24"/>
                <w:highlight w:val="none"/>
              </w:rPr>
              <w:t>。</w:t>
            </w:r>
          </w:p>
          <w:p w14:paraId="5D658B57">
            <w:pPr>
              <w:spacing w:line="360" w:lineRule="auto"/>
              <w:ind w:firstLine="480"/>
              <w:rPr>
                <w:sz w:val="24"/>
                <w:szCs w:val="24"/>
                <w:highlight w:val="none"/>
              </w:rPr>
            </w:pPr>
            <w:r>
              <w:rPr>
                <w:sz w:val="24"/>
                <w:szCs w:val="24"/>
                <w:highlight w:val="none"/>
              </w:rPr>
              <w:t>2</w:t>
            </w:r>
            <w:r>
              <w:rPr>
                <w:rFonts w:hint="eastAsia"/>
                <w:sz w:val="24"/>
                <w:szCs w:val="24"/>
                <w:highlight w:val="none"/>
                <w:lang w:val="en-US" w:eastAsia="zh-CN"/>
              </w:rPr>
              <w:t>.</w:t>
            </w:r>
            <w:r>
              <w:rPr>
                <w:sz w:val="24"/>
                <w:szCs w:val="24"/>
                <w:highlight w:val="none"/>
              </w:rPr>
              <w:t>生产规模及产品方案</w:t>
            </w:r>
          </w:p>
          <w:p w14:paraId="04F2D278">
            <w:pPr>
              <w:spacing w:line="360" w:lineRule="auto"/>
              <w:ind w:firstLine="480"/>
              <w:rPr>
                <w:sz w:val="24"/>
                <w:szCs w:val="24"/>
                <w:highlight w:val="none"/>
              </w:rPr>
            </w:pPr>
            <w:r>
              <w:rPr>
                <w:snapToGrid w:val="0"/>
                <w:sz w:val="24"/>
                <w:szCs w:val="24"/>
                <w:highlight w:val="none"/>
              </w:rPr>
              <w:t>（1）</w:t>
            </w:r>
            <w:r>
              <w:rPr>
                <w:sz w:val="24"/>
                <w:szCs w:val="24"/>
                <w:highlight w:val="none"/>
              </w:rPr>
              <w:t>生产规模</w:t>
            </w:r>
          </w:p>
          <w:p w14:paraId="554BD41C">
            <w:pPr>
              <w:spacing w:line="360" w:lineRule="auto"/>
              <w:ind w:firstLine="480"/>
              <w:rPr>
                <w:sz w:val="24"/>
                <w:szCs w:val="24"/>
                <w:highlight w:val="none"/>
              </w:rPr>
            </w:pPr>
            <w:r>
              <w:rPr>
                <w:rFonts w:hint="eastAsia"/>
                <w:sz w:val="24"/>
                <w:szCs w:val="24"/>
                <w:highlight w:val="none"/>
                <w:lang w:val="en-US" w:eastAsia="zh-CN"/>
              </w:rPr>
              <w:t>项目选择HT-L粉煤加压气化技术、水煤浆气化技术和具有国内自主知识产权的中科合成技术有限公司的高温浆态床F-T合成成套技术（HTSFTP</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工艺），产品设计产能为120万t/a精细化学品。</w:t>
            </w:r>
          </w:p>
          <w:p w14:paraId="2D0CDD5A">
            <w:pPr>
              <w:spacing w:line="360" w:lineRule="auto"/>
              <w:ind w:firstLine="480"/>
              <w:rPr>
                <w:snapToGrid w:val="0"/>
                <w:sz w:val="24"/>
                <w:szCs w:val="24"/>
                <w:highlight w:val="none"/>
              </w:rPr>
            </w:pPr>
            <w:r>
              <w:rPr>
                <w:snapToGrid w:val="0"/>
                <w:sz w:val="24"/>
                <w:szCs w:val="24"/>
                <w:highlight w:val="none"/>
              </w:rPr>
              <w:t>（2）产品方案</w:t>
            </w:r>
          </w:p>
          <w:p w14:paraId="069C127F">
            <w:pPr>
              <w:ind w:firstLine="1928" w:firstLineChars="800"/>
              <w:rPr>
                <w:rFonts w:ascii="Times New Roman" w:hAnsi="Times New Roman" w:eastAsia="宋体" w:cs="Times New Roman"/>
                <w:b/>
                <w:color w:val="000000"/>
                <w:sz w:val="24"/>
              </w:rPr>
            </w:pPr>
            <w:r>
              <w:rPr>
                <w:rFonts w:ascii="Times New Roman" w:hAnsi="Times New Roman" w:eastAsia="宋体" w:cs="Times New Roman"/>
                <w:b/>
                <w:color w:val="000000"/>
                <w:sz w:val="24"/>
              </w:rPr>
              <w:t>表2-</w:t>
            </w:r>
            <w:r>
              <w:rPr>
                <w:rFonts w:hint="eastAsia" w:cs="Times New Roman"/>
                <w:b/>
                <w:color w:val="000000"/>
                <w:sz w:val="24"/>
                <w:lang w:val="en-US" w:eastAsia="zh-CN"/>
              </w:rPr>
              <w:t>1：</w:t>
            </w:r>
            <w:r>
              <w:rPr>
                <w:rFonts w:ascii="Times New Roman" w:hAnsi="Times New Roman" w:eastAsia="宋体" w:cs="Times New Roman"/>
                <w:b/>
                <w:color w:val="000000"/>
                <w:sz w:val="24"/>
              </w:rPr>
              <w:t>现有项目</w:t>
            </w:r>
            <w:r>
              <w:rPr>
                <w:rFonts w:hint="eastAsia" w:ascii="Times New Roman" w:hAnsi="Times New Roman" w:eastAsia="宋体" w:cs="Times New Roman"/>
                <w:b/>
                <w:color w:val="000000"/>
                <w:sz w:val="24"/>
                <w:lang w:val="en-US" w:eastAsia="zh-CN"/>
              </w:rPr>
              <w:t>主要</w:t>
            </w:r>
            <w:r>
              <w:rPr>
                <w:rFonts w:ascii="Times New Roman" w:hAnsi="Times New Roman" w:eastAsia="宋体" w:cs="Times New Roman"/>
                <w:b/>
                <w:color w:val="000000"/>
                <w:sz w:val="24"/>
              </w:rPr>
              <w:t>产品方案一览表</w:t>
            </w:r>
          </w:p>
          <w:tbl>
            <w:tblPr>
              <w:tblStyle w:val="41"/>
              <w:tblW w:w="807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612"/>
              <w:gridCol w:w="2240"/>
              <w:gridCol w:w="2066"/>
            </w:tblGrid>
            <w:tr w14:paraId="07F5EE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top w:val="single" w:color="auto" w:sz="4" w:space="0"/>
                    <w:left w:val="single" w:color="auto" w:sz="0" w:space="0"/>
                    <w:tl2br w:val="nil"/>
                    <w:tr2bl w:val="nil"/>
                  </w:tcBorders>
                  <w:noWrap w:val="0"/>
                  <w:vAlign w:val="center"/>
                </w:tcPr>
                <w:p w14:paraId="45F35278">
                  <w:pPr>
                    <w:jc w:val="center"/>
                    <w:rPr>
                      <w:snapToGrid w:val="0"/>
                      <w:szCs w:val="21"/>
                      <w:highlight w:val="none"/>
                    </w:rPr>
                  </w:pPr>
                  <w:r>
                    <w:rPr>
                      <w:snapToGrid w:val="0"/>
                      <w:szCs w:val="21"/>
                      <w:highlight w:val="none"/>
                    </w:rPr>
                    <w:t>序号</w:t>
                  </w:r>
                </w:p>
              </w:tc>
              <w:tc>
                <w:tcPr>
                  <w:tcW w:w="2612" w:type="dxa"/>
                  <w:tcBorders>
                    <w:top w:val="single" w:color="auto" w:sz="4" w:space="0"/>
                    <w:tl2br w:val="nil"/>
                    <w:tr2bl w:val="nil"/>
                  </w:tcBorders>
                  <w:noWrap w:val="0"/>
                  <w:vAlign w:val="center"/>
                </w:tcPr>
                <w:p w14:paraId="114C86E4">
                  <w:pPr>
                    <w:jc w:val="center"/>
                    <w:rPr>
                      <w:snapToGrid w:val="0"/>
                      <w:szCs w:val="21"/>
                      <w:highlight w:val="none"/>
                    </w:rPr>
                  </w:pPr>
                  <w:r>
                    <w:rPr>
                      <w:snapToGrid w:val="0"/>
                      <w:szCs w:val="21"/>
                      <w:highlight w:val="none"/>
                    </w:rPr>
                    <w:t>产品</w:t>
                  </w:r>
                </w:p>
              </w:tc>
              <w:tc>
                <w:tcPr>
                  <w:tcW w:w="2240" w:type="dxa"/>
                  <w:tcBorders>
                    <w:top w:val="single" w:color="auto" w:sz="4" w:space="0"/>
                    <w:tl2br w:val="nil"/>
                    <w:tr2bl w:val="nil"/>
                  </w:tcBorders>
                  <w:noWrap w:val="0"/>
                  <w:vAlign w:val="center"/>
                </w:tcPr>
                <w:p w14:paraId="768481DF">
                  <w:pPr>
                    <w:jc w:val="center"/>
                    <w:rPr>
                      <w:snapToGrid w:val="0"/>
                      <w:szCs w:val="21"/>
                      <w:highlight w:val="none"/>
                    </w:rPr>
                  </w:pPr>
                  <w:r>
                    <w:rPr>
                      <w:snapToGrid w:val="0"/>
                      <w:szCs w:val="21"/>
                      <w:highlight w:val="none"/>
                    </w:rPr>
                    <w:t>产量（万t/a）</w:t>
                  </w:r>
                </w:p>
              </w:tc>
              <w:tc>
                <w:tcPr>
                  <w:tcW w:w="2066" w:type="dxa"/>
                  <w:tcBorders>
                    <w:top w:val="single" w:color="auto" w:sz="4" w:space="0"/>
                    <w:right w:val="single" w:color="auto" w:sz="4" w:space="0"/>
                    <w:tl2br w:val="nil"/>
                    <w:tr2bl w:val="nil"/>
                  </w:tcBorders>
                  <w:noWrap w:val="0"/>
                  <w:vAlign w:val="center"/>
                </w:tcPr>
                <w:p w14:paraId="1474051E">
                  <w:pPr>
                    <w:jc w:val="center"/>
                    <w:rPr>
                      <w:snapToGrid w:val="0"/>
                      <w:szCs w:val="21"/>
                      <w:highlight w:val="none"/>
                    </w:rPr>
                  </w:pPr>
                  <w:r>
                    <w:rPr>
                      <w:snapToGrid w:val="0"/>
                      <w:szCs w:val="21"/>
                      <w:highlight w:val="none"/>
                    </w:rPr>
                    <w:t>备注</w:t>
                  </w:r>
                </w:p>
              </w:tc>
            </w:tr>
            <w:tr w14:paraId="5B8695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736A3E01">
                  <w:pPr>
                    <w:jc w:val="center"/>
                    <w:rPr>
                      <w:snapToGrid w:val="0"/>
                      <w:szCs w:val="21"/>
                      <w:highlight w:val="none"/>
                    </w:rPr>
                  </w:pPr>
                  <w:r>
                    <w:rPr>
                      <w:snapToGrid w:val="0"/>
                      <w:szCs w:val="21"/>
                      <w:highlight w:val="none"/>
                    </w:rPr>
                    <w:t>1</w:t>
                  </w:r>
                </w:p>
              </w:tc>
              <w:tc>
                <w:tcPr>
                  <w:tcW w:w="2612" w:type="dxa"/>
                  <w:tcBorders>
                    <w:tl2br w:val="nil"/>
                    <w:tr2bl w:val="nil"/>
                  </w:tcBorders>
                  <w:noWrap w:val="0"/>
                  <w:vAlign w:val="center"/>
                </w:tcPr>
                <w:p w14:paraId="3C23DA8D">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石脑油</w:t>
                  </w:r>
                </w:p>
              </w:tc>
              <w:tc>
                <w:tcPr>
                  <w:tcW w:w="2240" w:type="dxa"/>
                  <w:tcBorders>
                    <w:tl2br w:val="nil"/>
                    <w:tr2bl w:val="nil"/>
                  </w:tcBorders>
                  <w:noWrap w:val="0"/>
                  <w:vAlign w:val="center"/>
                </w:tcPr>
                <w:p w14:paraId="08E6DCC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3.42</w:t>
                  </w:r>
                </w:p>
              </w:tc>
              <w:tc>
                <w:tcPr>
                  <w:tcW w:w="2066" w:type="dxa"/>
                  <w:tcBorders>
                    <w:right w:val="single" w:color="auto" w:sz="4" w:space="0"/>
                    <w:tl2br w:val="nil"/>
                    <w:tr2bl w:val="nil"/>
                  </w:tcBorders>
                  <w:noWrap w:val="0"/>
                  <w:vAlign w:val="center"/>
                </w:tcPr>
                <w:p w14:paraId="448265BE">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04B11C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618567D5">
                  <w:pPr>
                    <w:jc w:val="center"/>
                    <w:rPr>
                      <w:snapToGrid w:val="0"/>
                      <w:szCs w:val="21"/>
                      <w:highlight w:val="none"/>
                    </w:rPr>
                  </w:pPr>
                  <w:r>
                    <w:rPr>
                      <w:snapToGrid w:val="0"/>
                      <w:szCs w:val="21"/>
                      <w:highlight w:val="none"/>
                    </w:rPr>
                    <w:t>2</w:t>
                  </w:r>
                </w:p>
              </w:tc>
              <w:tc>
                <w:tcPr>
                  <w:tcW w:w="2612" w:type="dxa"/>
                  <w:tcBorders>
                    <w:tl2br w:val="nil"/>
                    <w:tr2bl w:val="nil"/>
                  </w:tcBorders>
                  <w:noWrap w:val="0"/>
                  <w:vAlign w:val="center"/>
                </w:tcPr>
                <w:p w14:paraId="6428832A">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轻质石脑油</w:t>
                  </w:r>
                </w:p>
              </w:tc>
              <w:tc>
                <w:tcPr>
                  <w:tcW w:w="2240" w:type="dxa"/>
                  <w:tcBorders>
                    <w:tl2br w:val="nil"/>
                    <w:tr2bl w:val="nil"/>
                  </w:tcBorders>
                  <w:noWrap w:val="0"/>
                  <w:vAlign w:val="center"/>
                </w:tcPr>
                <w:p w14:paraId="7F362B45">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7.04</w:t>
                  </w:r>
                </w:p>
              </w:tc>
              <w:tc>
                <w:tcPr>
                  <w:tcW w:w="2066" w:type="dxa"/>
                  <w:tcBorders>
                    <w:right w:val="single" w:color="auto" w:sz="4" w:space="0"/>
                    <w:tl2br w:val="nil"/>
                    <w:tr2bl w:val="nil"/>
                  </w:tcBorders>
                  <w:noWrap w:val="0"/>
                  <w:vAlign w:val="center"/>
                </w:tcPr>
                <w:p w14:paraId="14D23363">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7027AA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CE61370">
                  <w:pPr>
                    <w:jc w:val="center"/>
                    <w:rPr>
                      <w:snapToGrid w:val="0"/>
                      <w:szCs w:val="21"/>
                      <w:highlight w:val="none"/>
                    </w:rPr>
                  </w:pPr>
                  <w:r>
                    <w:rPr>
                      <w:snapToGrid w:val="0"/>
                      <w:szCs w:val="21"/>
                      <w:highlight w:val="none"/>
                    </w:rPr>
                    <w:t>3</w:t>
                  </w:r>
                </w:p>
              </w:tc>
              <w:tc>
                <w:tcPr>
                  <w:tcW w:w="2612" w:type="dxa"/>
                  <w:tcBorders>
                    <w:tl2br w:val="nil"/>
                    <w:tr2bl w:val="nil"/>
                  </w:tcBorders>
                  <w:noWrap w:val="0"/>
                  <w:vAlign w:val="center"/>
                </w:tcPr>
                <w:p w14:paraId="3805496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1#低</w:t>
                  </w:r>
                  <w:r>
                    <w:rPr>
                      <w:rFonts w:hint="eastAsia" w:cs="Times New Roman"/>
                      <w:snapToGrid w:val="0"/>
                      <w:szCs w:val="21"/>
                      <w:highlight w:val="none"/>
                      <w:lang w:val="en-US" w:eastAsia="zh-CN"/>
                    </w:rPr>
                    <w:t>芳烃</w:t>
                  </w:r>
                  <w:r>
                    <w:rPr>
                      <w:rFonts w:hint="eastAsia" w:ascii="Times New Roman" w:hAnsi="Times New Roman" w:eastAsia="宋体" w:cs="Times New Roman"/>
                      <w:snapToGrid w:val="0"/>
                      <w:szCs w:val="21"/>
                      <w:highlight w:val="none"/>
                      <w:lang w:val="en-US" w:eastAsia="zh-CN"/>
                    </w:rPr>
                    <w:t>溶剂</w:t>
                  </w:r>
                </w:p>
              </w:tc>
              <w:tc>
                <w:tcPr>
                  <w:tcW w:w="2240" w:type="dxa"/>
                  <w:tcBorders>
                    <w:tl2br w:val="nil"/>
                    <w:tr2bl w:val="nil"/>
                  </w:tcBorders>
                  <w:noWrap w:val="0"/>
                  <w:vAlign w:val="center"/>
                </w:tcPr>
                <w:p w14:paraId="655A85D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25.46</w:t>
                  </w:r>
                </w:p>
              </w:tc>
              <w:tc>
                <w:tcPr>
                  <w:tcW w:w="2066" w:type="dxa"/>
                  <w:tcBorders>
                    <w:right w:val="single" w:color="auto" w:sz="4" w:space="0"/>
                    <w:tl2br w:val="nil"/>
                    <w:tr2bl w:val="nil"/>
                  </w:tcBorders>
                  <w:noWrap w:val="0"/>
                  <w:vAlign w:val="center"/>
                </w:tcPr>
                <w:p w14:paraId="4E8F6EBA">
                  <w:pPr>
                    <w:jc w:val="center"/>
                    <w:rPr>
                      <w:rFonts w:hint="default" w:eastAsia="宋体"/>
                      <w:snapToGrid w:val="0"/>
                      <w:szCs w:val="21"/>
                      <w:highlight w:val="none"/>
                      <w:lang w:val="en-US" w:eastAsia="zh-CN"/>
                    </w:rPr>
                  </w:pPr>
                  <w:r>
                    <w:rPr>
                      <w:rFonts w:hint="eastAsia"/>
                      <w:snapToGrid w:val="0"/>
                      <w:szCs w:val="21"/>
                      <w:highlight w:val="none"/>
                      <w:lang w:val="en-US" w:eastAsia="zh-CN"/>
                    </w:rPr>
                    <w:t>/</w:t>
                  </w:r>
                </w:p>
              </w:tc>
            </w:tr>
            <w:tr w14:paraId="5FB908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125818B">
                  <w:pPr>
                    <w:jc w:val="center"/>
                    <w:rPr>
                      <w:snapToGrid w:val="0"/>
                      <w:szCs w:val="21"/>
                      <w:highlight w:val="none"/>
                    </w:rPr>
                  </w:pPr>
                  <w:r>
                    <w:rPr>
                      <w:snapToGrid w:val="0"/>
                      <w:szCs w:val="21"/>
                      <w:highlight w:val="none"/>
                    </w:rPr>
                    <w:t>4</w:t>
                  </w:r>
                </w:p>
              </w:tc>
              <w:tc>
                <w:tcPr>
                  <w:tcW w:w="2612" w:type="dxa"/>
                  <w:tcBorders>
                    <w:tl2br w:val="nil"/>
                    <w:tr2bl w:val="nil"/>
                  </w:tcBorders>
                  <w:noWrap w:val="0"/>
                  <w:vAlign w:val="center"/>
                </w:tcPr>
                <w:p w14:paraId="45F6E91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3#低</w:t>
                  </w:r>
                  <w:r>
                    <w:rPr>
                      <w:rFonts w:hint="eastAsia" w:cs="Times New Roman"/>
                      <w:snapToGrid w:val="0"/>
                      <w:szCs w:val="21"/>
                      <w:highlight w:val="none"/>
                      <w:lang w:val="en-US" w:eastAsia="zh-CN"/>
                    </w:rPr>
                    <w:t>芳烃</w:t>
                  </w:r>
                  <w:r>
                    <w:rPr>
                      <w:rFonts w:hint="eastAsia" w:ascii="Times New Roman" w:hAnsi="Times New Roman" w:eastAsia="宋体" w:cs="Times New Roman"/>
                      <w:snapToGrid w:val="0"/>
                      <w:szCs w:val="21"/>
                      <w:highlight w:val="none"/>
                      <w:lang w:val="en-US" w:eastAsia="zh-CN"/>
                    </w:rPr>
                    <w:t>溶剂</w:t>
                  </w:r>
                </w:p>
              </w:tc>
              <w:tc>
                <w:tcPr>
                  <w:tcW w:w="2240" w:type="dxa"/>
                  <w:tcBorders>
                    <w:tl2br w:val="nil"/>
                    <w:tr2bl w:val="nil"/>
                  </w:tcBorders>
                  <w:noWrap w:val="0"/>
                  <w:vAlign w:val="center"/>
                </w:tcPr>
                <w:p w14:paraId="0E76D18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17.29</w:t>
                  </w:r>
                </w:p>
              </w:tc>
              <w:tc>
                <w:tcPr>
                  <w:tcW w:w="2066" w:type="dxa"/>
                  <w:tcBorders>
                    <w:right w:val="single" w:color="auto" w:sz="4" w:space="0"/>
                    <w:tl2br w:val="nil"/>
                    <w:tr2bl w:val="nil"/>
                  </w:tcBorders>
                  <w:noWrap w:val="0"/>
                  <w:vAlign w:val="center"/>
                </w:tcPr>
                <w:p w14:paraId="4F9628A7">
                  <w:pPr>
                    <w:jc w:val="center"/>
                    <w:rPr>
                      <w:snapToGrid w:val="0"/>
                      <w:szCs w:val="21"/>
                      <w:highlight w:val="none"/>
                    </w:rPr>
                  </w:pPr>
                  <w:r>
                    <w:rPr>
                      <w:rFonts w:hint="eastAsia"/>
                      <w:snapToGrid w:val="0"/>
                      <w:szCs w:val="21"/>
                      <w:highlight w:val="none"/>
                      <w:lang w:val="en-US" w:eastAsia="zh-CN"/>
                    </w:rPr>
                    <w:t>/</w:t>
                  </w:r>
                </w:p>
              </w:tc>
            </w:tr>
            <w:tr w14:paraId="27C2D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141DD7EB">
                  <w:pPr>
                    <w:jc w:val="center"/>
                    <w:rPr>
                      <w:rFonts w:hint="eastAsia" w:eastAsia="宋体"/>
                      <w:snapToGrid w:val="0"/>
                      <w:szCs w:val="21"/>
                      <w:highlight w:val="none"/>
                      <w:lang w:val="en-US" w:eastAsia="zh-CN"/>
                    </w:rPr>
                  </w:pPr>
                  <w:r>
                    <w:rPr>
                      <w:rFonts w:hint="eastAsia"/>
                      <w:snapToGrid w:val="0"/>
                      <w:szCs w:val="21"/>
                      <w:highlight w:val="none"/>
                      <w:lang w:val="en-US" w:eastAsia="zh-CN"/>
                    </w:rPr>
                    <w:t>5</w:t>
                  </w:r>
                </w:p>
              </w:tc>
              <w:tc>
                <w:tcPr>
                  <w:tcW w:w="2612" w:type="dxa"/>
                  <w:tcBorders>
                    <w:tl2br w:val="nil"/>
                    <w:tr2bl w:val="nil"/>
                  </w:tcBorders>
                  <w:noWrap w:val="0"/>
                  <w:vAlign w:val="center"/>
                </w:tcPr>
                <w:p w14:paraId="1E7C1AD7">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轻液体石蜡</w:t>
                  </w:r>
                </w:p>
              </w:tc>
              <w:tc>
                <w:tcPr>
                  <w:tcW w:w="2240" w:type="dxa"/>
                  <w:tcBorders>
                    <w:tl2br w:val="nil"/>
                    <w:tr2bl w:val="nil"/>
                  </w:tcBorders>
                  <w:noWrap w:val="0"/>
                  <w:vAlign w:val="center"/>
                </w:tcPr>
                <w:p w14:paraId="1510E7B7">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10.24</w:t>
                  </w:r>
                </w:p>
              </w:tc>
              <w:tc>
                <w:tcPr>
                  <w:tcW w:w="2066" w:type="dxa"/>
                  <w:tcBorders>
                    <w:right w:val="single" w:color="auto" w:sz="4" w:space="0"/>
                    <w:tl2br w:val="nil"/>
                    <w:tr2bl w:val="nil"/>
                  </w:tcBorders>
                  <w:noWrap w:val="0"/>
                  <w:vAlign w:val="center"/>
                </w:tcPr>
                <w:p w14:paraId="01948A37">
                  <w:pPr>
                    <w:jc w:val="center"/>
                    <w:rPr>
                      <w:rFonts w:hint="eastAsia" w:eastAsia="宋体" w:cs="宋体"/>
                      <w:lang w:val="en-US" w:eastAsia="zh-CN"/>
                    </w:rPr>
                  </w:pPr>
                  <w:r>
                    <w:rPr>
                      <w:rFonts w:hint="eastAsia"/>
                      <w:snapToGrid w:val="0"/>
                      <w:szCs w:val="21"/>
                      <w:highlight w:val="none"/>
                      <w:lang w:val="en-US" w:eastAsia="zh-CN"/>
                    </w:rPr>
                    <w:t>/</w:t>
                  </w:r>
                </w:p>
              </w:tc>
            </w:tr>
            <w:tr w14:paraId="34CE49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11DBE0CC">
                  <w:pPr>
                    <w:jc w:val="center"/>
                    <w:rPr>
                      <w:rFonts w:hint="eastAsia" w:eastAsia="宋体"/>
                      <w:snapToGrid w:val="0"/>
                      <w:szCs w:val="21"/>
                      <w:highlight w:val="none"/>
                      <w:lang w:val="en-US" w:eastAsia="zh-CN"/>
                    </w:rPr>
                  </w:pPr>
                  <w:r>
                    <w:rPr>
                      <w:rFonts w:hint="eastAsia"/>
                      <w:snapToGrid w:val="0"/>
                      <w:szCs w:val="21"/>
                      <w:highlight w:val="none"/>
                      <w:lang w:val="en-US" w:eastAsia="zh-CN"/>
                    </w:rPr>
                    <w:t>6</w:t>
                  </w:r>
                </w:p>
              </w:tc>
              <w:tc>
                <w:tcPr>
                  <w:tcW w:w="2612" w:type="dxa"/>
                  <w:tcBorders>
                    <w:tl2br w:val="nil"/>
                    <w:tr2bl w:val="nil"/>
                  </w:tcBorders>
                  <w:noWrap w:val="0"/>
                  <w:vAlign w:val="center"/>
                </w:tcPr>
                <w:p w14:paraId="4B88D24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重液体石蜡</w:t>
                  </w:r>
                </w:p>
              </w:tc>
              <w:tc>
                <w:tcPr>
                  <w:tcW w:w="2240" w:type="dxa"/>
                  <w:tcBorders>
                    <w:tl2br w:val="nil"/>
                    <w:tr2bl w:val="nil"/>
                  </w:tcBorders>
                  <w:noWrap w:val="0"/>
                  <w:vAlign w:val="center"/>
                </w:tcPr>
                <w:p w14:paraId="793E0965">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24.67</w:t>
                  </w:r>
                </w:p>
              </w:tc>
              <w:tc>
                <w:tcPr>
                  <w:tcW w:w="2066" w:type="dxa"/>
                  <w:tcBorders>
                    <w:right w:val="single" w:color="auto" w:sz="4" w:space="0"/>
                    <w:tl2br w:val="nil"/>
                    <w:tr2bl w:val="nil"/>
                  </w:tcBorders>
                  <w:noWrap w:val="0"/>
                  <w:vAlign w:val="center"/>
                </w:tcPr>
                <w:p w14:paraId="1E276538">
                  <w:pPr>
                    <w:jc w:val="center"/>
                    <w:rPr>
                      <w:rFonts w:hint="eastAsia" w:eastAsia="宋体" w:cs="宋体"/>
                      <w:lang w:val="en-US" w:eastAsia="zh-CN"/>
                    </w:rPr>
                  </w:pPr>
                  <w:r>
                    <w:rPr>
                      <w:rFonts w:hint="eastAsia"/>
                      <w:snapToGrid w:val="0"/>
                      <w:szCs w:val="21"/>
                      <w:highlight w:val="none"/>
                      <w:lang w:val="en-US" w:eastAsia="zh-CN"/>
                    </w:rPr>
                    <w:t>/</w:t>
                  </w:r>
                </w:p>
              </w:tc>
            </w:tr>
            <w:tr w14:paraId="463FC7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4542B17">
                  <w:pPr>
                    <w:jc w:val="center"/>
                    <w:rPr>
                      <w:rFonts w:hint="eastAsia" w:eastAsia="宋体"/>
                      <w:snapToGrid w:val="0"/>
                      <w:szCs w:val="21"/>
                      <w:highlight w:val="none"/>
                      <w:lang w:val="en-US" w:eastAsia="zh-CN"/>
                    </w:rPr>
                  </w:pPr>
                  <w:r>
                    <w:rPr>
                      <w:rFonts w:hint="eastAsia"/>
                      <w:snapToGrid w:val="0"/>
                      <w:szCs w:val="21"/>
                      <w:highlight w:val="none"/>
                      <w:lang w:val="en-US" w:eastAsia="zh-CN"/>
                    </w:rPr>
                    <w:t>7</w:t>
                  </w:r>
                </w:p>
              </w:tc>
              <w:tc>
                <w:tcPr>
                  <w:tcW w:w="2612" w:type="dxa"/>
                  <w:tcBorders>
                    <w:tl2br w:val="nil"/>
                    <w:tr2bl w:val="nil"/>
                  </w:tcBorders>
                  <w:noWrap w:val="0"/>
                  <w:vAlign w:val="center"/>
                </w:tcPr>
                <w:p w14:paraId="28317072">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十六烷值改性剂</w:t>
                  </w:r>
                </w:p>
              </w:tc>
              <w:tc>
                <w:tcPr>
                  <w:tcW w:w="2240" w:type="dxa"/>
                  <w:tcBorders>
                    <w:tl2br w:val="nil"/>
                    <w:tr2bl w:val="nil"/>
                  </w:tcBorders>
                  <w:noWrap w:val="0"/>
                  <w:vAlign w:val="center"/>
                </w:tcPr>
                <w:p w14:paraId="2DCB6CA5">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19.27</w:t>
                  </w:r>
                </w:p>
              </w:tc>
              <w:tc>
                <w:tcPr>
                  <w:tcW w:w="2066" w:type="dxa"/>
                  <w:tcBorders>
                    <w:right w:val="single" w:color="auto" w:sz="4" w:space="0"/>
                    <w:tl2br w:val="nil"/>
                    <w:tr2bl w:val="nil"/>
                  </w:tcBorders>
                  <w:noWrap w:val="0"/>
                  <w:vAlign w:val="center"/>
                </w:tcPr>
                <w:p w14:paraId="0FAABAEE">
                  <w:pPr>
                    <w:jc w:val="center"/>
                    <w:rPr>
                      <w:rFonts w:hint="eastAsia" w:eastAsia="宋体" w:cs="宋体"/>
                      <w:lang w:val="en-US" w:eastAsia="zh-CN"/>
                    </w:rPr>
                  </w:pPr>
                  <w:r>
                    <w:rPr>
                      <w:rFonts w:hint="eastAsia"/>
                      <w:snapToGrid w:val="0"/>
                      <w:szCs w:val="21"/>
                      <w:highlight w:val="none"/>
                      <w:lang w:val="en-US" w:eastAsia="zh-CN"/>
                    </w:rPr>
                    <w:t>/</w:t>
                  </w:r>
                </w:p>
              </w:tc>
            </w:tr>
            <w:tr w14:paraId="72A93F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02350787">
                  <w:pPr>
                    <w:jc w:val="center"/>
                    <w:rPr>
                      <w:rFonts w:hint="eastAsia" w:eastAsia="宋体"/>
                      <w:snapToGrid w:val="0"/>
                      <w:szCs w:val="21"/>
                      <w:highlight w:val="none"/>
                      <w:lang w:val="en-US" w:eastAsia="zh-CN"/>
                    </w:rPr>
                  </w:pPr>
                  <w:r>
                    <w:rPr>
                      <w:rFonts w:hint="eastAsia"/>
                      <w:snapToGrid w:val="0"/>
                      <w:szCs w:val="21"/>
                      <w:highlight w:val="none"/>
                      <w:lang w:val="en-US" w:eastAsia="zh-CN"/>
                    </w:rPr>
                    <w:t>8</w:t>
                  </w:r>
                </w:p>
              </w:tc>
              <w:tc>
                <w:tcPr>
                  <w:tcW w:w="2612" w:type="dxa"/>
                  <w:tcBorders>
                    <w:tl2br w:val="nil"/>
                    <w:tr2bl w:val="nil"/>
                  </w:tcBorders>
                  <w:noWrap w:val="0"/>
                  <w:vAlign w:val="center"/>
                </w:tcPr>
                <w:p w14:paraId="0655A08F">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85#蜡</w:t>
                  </w:r>
                </w:p>
              </w:tc>
              <w:tc>
                <w:tcPr>
                  <w:tcW w:w="2240" w:type="dxa"/>
                  <w:tcBorders>
                    <w:tl2br w:val="nil"/>
                    <w:tr2bl w:val="nil"/>
                  </w:tcBorders>
                  <w:noWrap w:val="0"/>
                  <w:vAlign w:val="center"/>
                </w:tcPr>
                <w:p w14:paraId="66B09025">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6.36</w:t>
                  </w:r>
                </w:p>
              </w:tc>
              <w:tc>
                <w:tcPr>
                  <w:tcW w:w="2066" w:type="dxa"/>
                  <w:tcBorders>
                    <w:right w:val="single" w:color="auto" w:sz="4" w:space="0"/>
                    <w:tl2br w:val="nil"/>
                    <w:tr2bl w:val="nil"/>
                  </w:tcBorders>
                  <w:noWrap w:val="0"/>
                  <w:vAlign w:val="center"/>
                </w:tcPr>
                <w:p w14:paraId="67E5922F">
                  <w:pPr>
                    <w:jc w:val="center"/>
                    <w:rPr>
                      <w:rFonts w:hint="eastAsia" w:eastAsia="宋体" w:cs="宋体"/>
                      <w:lang w:val="en-US" w:eastAsia="zh-CN"/>
                    </w:rPr>
                  </w:pPr>
                  <w:r>
                    <w:rPr>
                      <w:rFonts w:hint="eastAsia"/>
                      <w:snapToGrid w:val="0"/>
                      <w:szCs w:val="21"/>
                      <w:highlight w:val="none"/>
                      <w:lang w:val="en-US" w:eastAsia="zh-CN"/>
                    </w:rPr>
                    <w:t>/</w:t>
                  </w:r>
                </w:p>
              </w:tc>
            </w:tr>
            <w:tr w14:paraId="1E308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83EBF23">
                  <w:pPr>
                    <w:jc w:val="center"/>
                    <w:rPr>
                      <w:rFonts w:hint="eastAsia" w:eastAsia="宋体"/>
                      <w:snapToGrid w:val="0"/>
                      <w:szCs w:val="21"/>
                      <w:highlight w:val="none"/>
                      <w:lang w:val="en-US" w:eastAsia="zh-CN"/>
                    </w:rPr>
                  </w:pPr>
                  <w:r>
                    <w:rPr>
                      <w:rFonts w:hint="eastAsia"/>
                      <w:snapToGrid w:val="0"/>
                      <w:szCs w:val="21"/>
                      <w:highlight w:val="none"/>
                      <w:lang w:val="en-US" w:eastAsia="zh-CN"/>
                    </w:rPr>
                    <w:t>9</w:t>
                  </w:r>
                </w:p>
              </w:tc>
              <w:tc>
                <w:tcPr>
                  <w:tcW w:w="2612" w:type="dxa"/>
                  <w:tcBorders>
                    <w:tl2br w:val="nil"/>
                    <w:tr2bl w:val="nil"/>
                  </w:tcBorders>
                  <w:noWrap w:val="0"/>
                  <w:vAlign w:val="center"/>
                </w:tcPr>
                <w:p w14:paraId="0E0C298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90#蜡</w:t>
                  </w:r>
                </w:p>
              </w:tc>
              <w:tc>
                <w:tcPr>
                  <w:tcW w:w="2240" w:type="dxa"/>
                  <w:tcBorders>
                    <w:tl2br w:val="nil"/>
                    <w:tr2bl w:val="nil"/>
                  </w:tcBorders>
                  <w:noWrap w:val="0"/>
                  <w:vAlign w:val="center"/>
                </w:tcPr>
                <w:p w14:paraId="51216DD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5.09</w:t>
                  </w:r>
                </w:p>
              </w:tc>
              <w:tc>
                <w:tcPr>
                  <w:tcW w:w="2066" w:type="dxa"/>
                  <w:tcBorders>
                    <w:right w:val="single" w:color="auto" w:sz="4" w:space="0"/>
                    <w:tl2br w:val="nil"/>
                    <w:tr2bl w:val="nil"/>
                  </w:tcBorders>
                  <w:noWrap w:val="0"/>
                  <w:vAlign w:val="center"/>
                </w:tcPr>
                <w:p w14:paraId="116079DC">
                  <w:pPr>
                    <w:jc w:val="center"/>
                    <w:rPr>
                      <w:rFonts w:hint="eastAsia" w:eastAsia="宋体" w:cs="宋体"/>
                      <w:lang w:val="en-US" w:eastAsia="zh-CN"/>
                    </w:rPr>
                  </w:pPr>
                  <w:r>
                    <w:rPr>
                      <w:rFonts w:hint="eastAsia"/>
                      <w:snapToGrid w:val="0"/>
                      <w:szCs w:val="21"/>
                      <w:highlight w:val="none"/>
                      <w:lang w:val="en-US" w:eastAsia="zh-CN"/>
                    </w:rPr>
                    <w:t>/</w:t>
                  </w:r>
                </w:p>
              </w:tc>
            </w:tr>
            <w:tr w14:paraId="015323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0AD602DD">
                  <w:pPr>
                    <w:jc w:val="center"/>
                    <w:rPr>
                      <w:rFonts w:hint="default" w:eastAsia="宋体"/>
                      <w:snapToGrid w:val="0"/>
                      <w:szCs w:val="21"/>
                      <w:highlight w:val="none"/>
                      <w:lang w:val="en-US" w:eastAsia="zh-CN"/>
                    </w:rPr>
                  </w:pPr>
                  <w:r>
                    <w:rPr>
                      <w:rFonts w:hint="eastAsia"/>
                      <w:snapToGrid w:val="0"/>
                      <w:szCs w:val="21"/>
                      <w:highlight w:val="none"/>
                      <w:lang w:val="en-US" w:eastAsia="zh-CN"/>
                    </w:rPr>
                    <w:t>10</w:t>
                  </w:r>
                </w:p>
              </w:tc>
              <w:tc>
                <w:tcPr>
                  <w:tcW w:w="2612" w:type="dxa"/>
                  <w:tcBorders>
                    <w:tl2br w:val="nil"/>
                    <w:tr2bl w:val="nil"/>
                  </w:tcBorders>
                  <w:noWrap w:val="0"/>
                  <w:vAlign w:val="center"/>
                </w:tcPr>
                <w:p w14:paraId="438870AD">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110#蜡</w:t>
                  </w:r>
                </w:p>
              </w:tc>
              <w:tc>
                <w:tcPr>
                  <w:tcW w:w="2240" w:type="dxa"/>
                  <w:tcBorders>
                    <w:tl2br w:val="nil"/>
                    <w:tr2bl w:val="nil"/>
                  </w:tcBorders>
                  <w:noWrap w:val="0"/>
                  <w:vAlign w:val="center"/>
                </w:tcPr>
                <w:p w14:paraId="55EBD8B1">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2.55</w:t>
                  </w:r>
                </w:p>
              </w:tc>
              <w:tc>
                <w:tcPr>
                  <w:tcW w:w="2066" w:type="dxa"/>
                  <w:tcBorders>
                    <w:right w:val="single" w:color="auto" w:sz="4" w:space="0"/>
                    <w:tl2br w:val="nil"/>
                    <w:tr2bl w:val="nil"/>
                  </w:tcBorders>
                  <w:noWrap w:val="0"/>
                  <w:vAlign w:val="center"/>
                </w:tcPr>
                <w:p w14:paraId="6CC1441A">
                  <w:pPr>
                    <w:jc w:val="center"/>
                    <w:rPr>
                      <w:rFonts w:hint="eastAsia" w:eastAsia="宋体" w:cs="宋体"/>
                      <w:lang w:val="en-US" w:eastAsia="zh-CN"/>
                    </w:rPr>
                  </w:pPr>
                  <w:r>
                    <w:rPr>
                      <w:rFonts w:hint="eastAsia"/>
                      <w:snapToGrid w:val="0"/>
                      <w:szCs w:val="21"/>
                      <w:highlight w:val="none"/>
                      <w:lang w:val="en-US" w:eastAsia="zh-CN"/>
                    </w:rPr>
                    <w:t>/</w:t>
                  </w:r>
                </w:p>
              </w:tc>
            </w:tr>
            <w:tr w14:paraId="02B6B8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7276361D">
                  <w:pPr>
                    <w:jc w:val="center"/>
                    <w:rPr>
                      <w:rFonts w:hint="default" w:eastAsia="宋体"/>
                      <w:snapToGrid w:val="0"/>
                      <w:szCs w:val="21"/>
                      <w:highlight w:val="none"/>
                      <w:lang w:val="en-US" w:eastAsia="zh-CN"/>
                    </w:rPr>
                  </w:pPr>
                  <w:r>
                    <w:rPr>
                      <w:rFonts w:hint="eastAsia"/>
                      <w:snapToGrid w:val="0"/>
                      <w:szCs w:val="21"/>
                      <w:highlight w:val="none"/>
                      <w:lang w:val="en-US" w:eastAsia="zh-CN"/>
                    </w:rPr>
                    <w:t>11</w:t>
                  </w:r>
                </w:p>
              </w:tc>
              <w:tc>
                <w:tcPr>
                  <w:tcW w:w="2612" w:type="dxa"/>
                  <w:tcBorders>
                    <w:tl2br w:val="nil"/>
                    <w:tr2bl w:val="nil"/>
                  </w:tcBorders>
                  <w:noWrap w:val="0"/>
                  <w:vAlign w:val="center"/>
                </w:tcPr>
                <w:p w14:paraId="2952EB01">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轻润滑油基础油</w:t>
                  </w:r>
                </w:p>
              </w:tc>
              <w:tc>
                <w:tcPr>
                  <w:tcW w:w="2240" w:type="dxa"/>
                  <w:tcBorders>
                    <w:tl2br w:val="nil"/>
                    <w:tr2bl w:val="nil"/>
                  </w:tcBorders>
                  <w:noWrap w:val="0"/>
                  <w:vAlign w:val="center"/>
                </w:tcPr>
                <w:p w14:paraId="35423E12">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16.82</w:t>
                  </w:r>
                </w:p>
              </w:tc>
              <w:tc>
                <w:tcPr>
                  <w:tcW w:w="2066" w:type="dxa"/>
                  <w:tcBorders>
                    <w:right w:val="single" w:color="auto" w:sz="4" w:space="0"/>
                    <w:tl2br w:val="nil"/>
                    <w:tr2bl w:val="nil"/>
                  </w:tcBorders>
                  <w:noWrap w:val="0"/>
                  <w:vAlign w:val="center"/>
                </w:tcPr>
                <w:p w14:paraId="665CFF3C">
                  <w:pPr>
                    <w:jc w:val="center"/>
                    <w:rPr>
                      <w:rFonts w:hint="eastAsia" w:eastAsia="宋体" w:cs="宋体"/>
                      <w:lang w:val="en-US" w:eastAsia="zh-CN"/>
                    </w:rPr>
                  </w:pPr>
                  <w:r>
                    <w:rPr>
                      <w:rFonts w:hint="eastAsia"/>
                      <w:snapToGrid w:val="0"/>
                      <w:szCs w:val="21"/>
                      <w:highlight w:val="none"/>
                      <w:lang w:val="en-US" w:eastAsia="zh-CN"/>
                    </w:rPr>
                    <w:t>/</w:t>
                  </w:r>
                </w:p>
              </w:tc>
            </w:tr>
            <w:tr w14:paraId="65D84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407BA10">
                  <w:pPr>
                    <w:jc w:val="center"/>
                    <w:rPr>
                      <w:rFonts w:hint="default" w:eastAsia="宋体"/>
                      <w:snapToGrid w:val="0"/>
                      <w:szCs w:val="21"/>
                      <w:highlight w:val="none"/>
                      <w:lang w:val="en-US" w:eastAsia="zh-CN"/>
                    </w:rPr>
                  </w:pPr>
                  <w:r>
                    <w:rPr>
                      <w:rFonts w:hint="eastAsia"/>
                      <w:snapToGrid w:val="0"/>
                      <w:szCs w:val="21"/>
                      <w:highlight w:val="none"/>
                      <w:lang w:val="en-US" w:eastAsia="zh-CN"/>
                    </w:rPr>
                    <w:t>12</w:t>
                  </w:r>
                </w:p>
              </w:tc>
              <w:tc>
                <w:tcPr>
                  <w:tcW w:w="2612" w:type="dxa"/>
                  <w:tcBorders>
                    <w:tl2br w:val="nil"/>
                    <w:tr2bl w:val="nil"/>
                  </w:tcBorders>
                  <w:noWrap w:val="0"/>
                  <w:vAlign w:val="center"/>
                </w:tcPr>
                <w:p w14:paraId="16496C72">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中润滑油基础油</w:t>
                  </w:r>
                </w:p>
              </w:tc>
              <w:tc>
                <w:tcPr>
                  <w:tcW w:w="2240" w:type="dxa"/>
                  <w:tcBorders>
                    <w:tl2br w:val="nil"/>
                    <w:tr2bl w:val="nil"/>
                  </w:tcBorders>
                  <w:noWrap w:val="0"/>
                  <w:vAlign w:val="center"/>
                </w:tcPr>
                <w:p w14:paraId="0DFCE88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14.09</w:t>
                  </w:r>
                </w:p>
              </w:tc>
              <w:tc>
                <w:tcPr>
                  <w:tcW w:w="2066" w:type="dxa"/>
                  <w:tcBorders>
                    <w:right w:val="single" w:color="auto" w:sz="4" w:space="0"/>
                    <w:tl2br w:val="nil"/>
                    <w:tr2bl w:val="nil"/>
                  </w:tcBorders>
                  <w:noWrap w:val="0"/>
                  <w:vAlign w:val="center"/>
                </w:tcPr>
                <w:p w14:paraId="1E18D8FF">
                  <w:pPr>
                    <w:jc w:val="center"/>
                    <w:rPr>
                      <w:rFonts w:hint="eastAsia" w:eastAsia="宋体" w:cs="宋体"/>
                      <w:lang w:val="en-US" w:eastAsia="zh-CN"/>
                    </w:rPr>
                  </w:pPr>
                  <w:r>
                    <w:rPr>
                      <w:rFonts w:hint="eastAsia"/>
                      <w:snapToGrid w:val="0"/>
                      <w:szCs w:val="21"/>
                      <w:highlight w:val="none"/>
                      <w:lang w:val="en-US" w:eastAsia="zh-CN"/>
                    </w:rPr>
                    <w:t>/</w:t>
                  </w:r>
                </w:p>
              </w:tc>
            </w:tr>
            <w:tr w14:paraId="27E167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6C1E738">
                  <w:pPr>
                    <w:jc w:val="center"/>
                    <w:rPr>
                      <w:rFonts w:hint="default" w:eastAsia="宋体"/>
                      <w:snapToGrid w:val="0"/>
                      <w:szCs w:val="21"/>
                      <w:highlight w:val="none"/>
                      <w:lang w:val="en-US" w:eastAsia="zh-CN"/>
                    </w:rPr>
                  </w:pPr>
                  <w:r>
                    <w:rPr>
                      <w:rFonts w:hint="eastAsia"/>
                      <w:snapToGrid w:val="0"/>
                      <w:szCs w:val="21"/>
                      <w:highlight w:val="none"/>
                      <w:lang w:val="en-US" w:eastAsia="zh-CN"/>
                    </w:rPr>
                    <w:t>13</w:t>
                  </w:r>
                </w:p>
              </w:tc>
              <w:tc>
                <w:tcPr>
                  <w:tcW w:w="2612" w:type="dxa"/>
                  <w:tcBorders>
                    <w:tl2br w:val="nil"/>
                    <w:tr2bl w:val="nil"/>
                  </w:tcBorders>
                  <w:noWrap w:val="0"/>
                  <w:vAlign w:val="center"/>
                </w:tcPr>
                <w:p w14:paraId="32410BBE">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重润滑油基础油</w:t>
                  </w:r>
                </w:p>
              </w:tc>
              <w:tc>
                <w:tcPr>
                  <w:tcW w:w="2240" w:type="dxa"/>
                  <w:tcBorders>
                    <w:tl2br w:val="nil"/>
                    <w:tr2bl w:val="nil"/>
                  </w:tcBorders>
                  <w:noWrap w:val="0"/>
                  <w:vAlign w:val="center"/>
                </w:tcPr>
                <w:p w14:paraId="0E05CFD9">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19.90</w:t>
                  </w:r>
                </w:p>
              </w:tc>
              <w:tc>
                <w:tcPr>
                  <w:tcW w:w="2066" w:type="dxa"/>
                  <w:tcBorders>
                    <w:right w:val="single" w:color="auto" w:sz="4" w:space="0"/>
                    <w:tl2br w:val="nil"/>
                    <w:tr2bl w:val="nil"/>
                  </w:tcBorders>
                  <w:noWrap w:val="0"/>
                  <w:vAlign w:val="center"/>
                </w:tcPr>
                <w:p w14:paraId="362FC2EB">
                  <w:pPr>
                    <w:jc w:val="center"/>
                    <w:rPr>
                      <w:rFonts w:hint="eastAsia" w:eastAsia="宋体" w:cs="宋体"/>
                      <w:lang w:val="en-US" w:eastAsia="zh-CN"/>
                    </w:rPr>
                  </w:pPr>
                  <w:r>
                    <w:rPr>
                      <w:rFonts w:hint="eastAsia"/>
                      <w:snapToGrid w:val="0"/>
                      <w:szCs w:val="21"/>
                      <w:highlight w:val="none"/>
                      <w:lang w:val="en-US" w:eastAsia="zh-CN"/>
                    </w:rPr>
                    <w:t>/</w:t>
                  </w:r>
                </w:p>
              </w:tc>
            </w:tr>
            <w:tr w14:paraId="18C926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1C916499">
                  <w:pPr>
                    <w:jc w:val="center"/>
                    <w:rPr>
                      <w:rFonts w:hint="default" w:eastAsia="宋体"/>
                      <w:snapToGrid w:val="0"/>
                      <w:szCs w:val="21"/>
                      <w:highlight w:val="none"/>
                      <w:lang w:val="en-US" w:eastAsia="zh-CN"/>
                    </w:rPr>
                  </w:pPr>
                  <w:r>
                    <w:rPr>
                      <w:rFonts w:hint="eastAsia"/>
                      <w:snapToGrid w:val="0"/>
                      <w:szCs w:val="21"/>
                      <w:highlight w:val="none"/>
                      <w:lang w:val="en-US" w:eastAsia="zh-CN"/>
                    </w:rPr>
                    <w:t>14</w:t>
                  </w:r>
                </w:p>
              </w:tc>
              <w:tc>
                <w:tcPr>
                  <w:tcW w:w="2612" w:type="dxa"/>
                  <w:tcBorders>
                    <w:tl2br w:val="nil"/>
                    <w:tr2bl w:val="nil"/>
                  </w:tcBorders>
                  <w:noWrap w:val="0"/>
                  <w:vAlign w:val="center"/>
                </w:tcPr>
                <w:p w14:paraId="61B8DB2E">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异丙醇</w:t>
                  </w:r>
                </w:p>
              </w:tc>
              <w:tc>
                <w:tcPr>
                  <w:tcW w:w="2240" w:type="dxa"/>
                  <w:tcBorders>
                    <w:tl2br w:val="nil"/>
                    <w:tr2bl w:val="nil"/>
                  </w:tcBorders>
                  <w:noWrap w:val="0"/>
                  <w:vAlign w:val="center"/>
                </w:tcPr>
                <w:p w14:paraId="623F2649">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2.42</w:t>
                  </w:r>
                </w:p>
              </w:tc>
              <w:tc>
                <w:tcPr>
                  <w:tcW w:w="2066" w:type="dxa"/>
                  <w:tcBorders>
                    <w:right w:val="single" w:color="auto" w:sz="4" w:space="0"/>
                    <w:tl2br w:val="nil"/>
                    <w:tr2bl w:val="nil"/>
                  </w:tcBorders>
                  <w:noWrap w:val="0"/>
                  <w:vAlign w:val="center"/>
                </w:tcPr>
                <w:p w14:paraId="2EF58DBA">
                  <w:pPr>
                    <w:jc w:val="center"/>
                    <w:rPr>
                      <w:rFonts w:hint="eastAsia" w:eastAsia="宋体" w:cs="宋体"/>
                      <w:lang w:val="en-US" w:eastAsia="zh-CN"/>
                    </w:rPr>
                  </w:pPr>
                  <w:r>
                    <w:rPr>
                      <w:rFonts w:hint="eastAsia"/>
                      <w:snapToGrid w:val="0"/>
                      <w:szCs w:val="21"/>
                      <w:highlight w:val="none"/>
                      <w:lang w:val="en-US" w:eastAsia="zh-CN"/>
                    </w:rPr>
                    <w:t>/</w:t>
                  </w:r>
                </w:p>
              </w:tc>
            </w:tr>
            <w:tr w14:paraId="23762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99EA99E">
                  <w:pPr>
                    <w:jc w:val="center"/>
                    <w:rPr>
                      <w:rFonts w:hint="default" w:eastAsia="宋体"/>
                      <w:snapToGrid w:val="0"/>
                      <w:szCs w:val="21"/>
                      <w:highlight w:val="none"/>
                      <w:lang w:val="en-US" w:eastAsia="zh-CN"/>
                    </w:rPr>
                  </w:pPr>
                  <w:r>
                    <w:rPr>
                      <w:rFonts w:hint="eastAsia"/>
                      <w:snapToGrid w:val="0"/>
                      <w:szCs w:val="21"/>
                      <w:highlight w:val="none"/>
                      <w:lang w:val="en-US" w:eastAsia="zh-CN"/>
                    </w:rPr>
                    <w:t>15</w:t>
                  </w:r>
                </w:p>
              </w:tc>
              <w:tc>
                <w:tcPr>
                  <w:tcW w:w="2612" w:type="dxa"/>
                  <w:tcBorders>
                    <w:tl2br w:val="nil"/>
                    <w:tr2bl w:val="nil"/>
                  </w:tcBorders>
                  <w:noWrap w:val="0"/>
                  <w:vAlign w:val="center"/>
                </w:tcPr>
                <w:p w14:paraId="3B1D7F0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丙烷</w:t>
                  </w:r>
                </w:p>
              </w:tc>
              <w:tc>
                <w:tcPr>
                  <w:tcW w:w="2240" w:type="dxa"/>
                  <w:tcBorders>
                    <w:tl2br w:val="nil"/>
                    <w:tr2bl w:val="nil"/>
                  </w:tcBorders>
                  <w:noWrap w:val="0"/>
                  <w:vAlign w:val="center"/>
                </w:tcPr>
                <w:p w14:paraId="67AC8F32">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0.49</w:t>
                  </w:r>
                </w:p>
              </w:tc>
              <w:tc>
                <w:tcPr>
                  <w:tcW w:w="2066" w:type="dxa"/>
                  <w:tcBorders>
                    <w:right w:val="single" w:color="auto" w:sz="4" w:space="0"/>
                    <w:tl2br w:val="nil"/>
                    <w:tr2bl w:val="nil"/>
                  </w:tcBorders>
                  <w:noWrap w:val="0"/>
                  <w:vAlign w:val="center"/>
                </w:tcPr>
                <w:p w14:paraId="778FFFBA">
                  <w:pPr>
                    <w:jc w:val="center"/>
                    <w:rPr>
                      <w:rFonts w:hint="eastAsia" w:eastAsia="宋体" w:cs="宋体"/>
                      <w:lang w:val="en-US" w:eastAsia="zh-CN"/>
                    </w:rPr>
                  </w:pPr>
                  <w:r>
                    <w:rPr>
                      <w:rFonts w:hint="eastAsia"/>
                      <w:snapToGrid w:val="0"/>
                      <w:szCs w:val="21"/>
                      <w:highlight w:val="none"/>
                      <w:lang w:val="en-US" w:eastAsia="zh-CN"/>
                    </w:rPr>
                    <w:t>/</w:t>
                  </w:r>
                </w:p>
              </w:tc>
            </w:tr>
            <w:tr w14:paraId="1CF57C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A2CD079">
                  <w:pPr>
                    <w:jc w:val="center"/>
                    <w:rPr>
                      <w:rFonts w:hint="default" w:eastAsia="宋体"/>
                      <w:snapToGrid w:val="0"/>
                      <w:szCs w:val="21"/>
                      <w:highlight w:val="none"/>
                      <w:lang w:val="en-US" w:eastAsia="zh-CN"/>
                    </w:rPr>
                  </w:pPr>
                  <w:r>
                    <w:rPr>
                      <w:rFonts w:hint="eastAsia"/>
                      <w:snapToGrid w:val="0"/>
                      <w:szCs w:val="21"/>
                      <w:highlight w:val="none"/>
                      <w:lang w:val="en-US" w:eastAsia="zh-CN"/>
                    </w:rPr>
                    <w:t>16</w:t>
                  </w:r>
                </w:p>
              </w:tc>
              <w:tc>
                <w:tcPr>
                  <w:tcW w:w="2612" w:type="dxa"/>
                  <w:tcBorders>
                    <w:tl2br w:val="nil"/>
                    <w:tr2bl w:val="nil"/>
                  </w:tcBorders>
                  <w:noWrap w:val="0"/>
                  <w:vAlign w:val="center"/>
                </w:tcPr>
                <w:p w14:paraId="6CBAA22E">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LPG</w:t>
                  </w:r>
                </w:p>
              </w:tc>
              <w:tc>
                <w:tcPr>
                  <w:tcW w:w="2240" w:type="dxa"/>
                  <w:tcBorders>
                    <w:tl2br w:val="nil"/>
                    <w:tr2bl w:val="nil"/>
                  </w:tcBorders>
                  <w:noWrap w:val="0"/>
                  <w:vAlign w:val="center"/>
                </w:tcPr>
                <w:p w14:paraId="020CCEE5">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8.23</w:t>
                  </w:r>
                </w:p>
              </w:tc>
              <w:tc>
                <w:tcPr>
                  <w:tcW w:w="2066" w:type="dxa"/>
                  <w:tcBorders>
                    <w:right w:val="single" w:color="auto" w:sz="4" w:space="0"/>
                    <w:tl2br w:val="nil"/>
                    <w:tr2bl w:val="nil"/>
                  </w:tcBorders>
                  <w:noWrap w:val="0"/>
                  <w:vAlign w:val="center"/>
                </w:tcPr>
                <w:p w14:paraId="7159BA29">
                  <w:pPr>
                    <w:jc w:val="center"/>
                    <w:rPr>
                      <w:rFonts w:hint="eastAsia" w:eastAsia="宋体" w:cs="宋体"/>
                      <w:lang w:val="en-US" w:eastAsia="zh-CN"/>
                    </w:rPr>
                  </w:pPr>
                  <w:r>
                    <w:rPr>
                      <w:rFonts w:hint="eastAsia"/>
                      <w:snapToGrid w:val="0"/>
                      <w:szCs w:val="21"/>
                      <w:highlight w:val="none"/>
                      <w:lang w:val="en-US" w:eastAsia="zh-CN"/>
                    </w:rPr>
                    <w:t>/</w:t>
                  </w:r>
                </w:p>
              </w:tc>
            </w:tr>
            <w:tr w14:paraId="5731F7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2FC611A5">
                  <w:pPr>
                    <w:jc w:val="center"/>
                    <w:rPr>
                      <w:rFonts w:hint="default" w:eastAsia="宋体"/>
                      <w:snapToGrid w:val="0"/>
                      <w:szCs w:val="21"/>
                      <w:highlight w:val="none"/>
                      <w:lang w:val="en-US" w:eastAsia="zh-CN"/>
                    </w:rPr>
                  </w:pPr>
                  <w:r>
                    <w:rPr>
                      <w:rFonts w:hint="eastAsia"/>
                      <w:snapToGrid w:val="0"/>
                      <w:szCs w:val="21"/>
                      <w:highlight w:val="none"/>
                      <w:lang w:val="en-US" w:eastAsia="zh-CN"/>
                    </w:rPr>
                    <w:t>17</w:t>
                  </w:r>
                </w:p>
              </w:tc>
              <w:tc>
                <w:tcPr>
                  <w:tcW w:w="2612" w:type="dxa"/>
                  <w:tcBorders>
                    <w:tl2br w:val="nil"/>
                    <w:tr2bl w:val="nil"/>
                  </w:tcBorders>
                  <w:noWrap w:val="0"/>
                  <w:vAlign w:val="center"/>
                </w:tcPr>
                <w:p w14:paraId="28ECF8AE">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硫磺</w:t>
                  </w:r>
                </w:p>
              </w:tc>
              <w:tc>
                <w:tcPr>
                  <w:tcW w:w="2240" w:type="dxa"/>
                  <w:tcBorders>
                    <w:tl2br w:val="nil"/>
                    <w:tr2bl w:val="nil"/>
                  </w:tcBorders>
                  <w:noWrap w:val="0"/>
                  <w:vAlign w:val="center"/>
                </w:tcPr>
                <w:p w14:paraId="0FE68D9D">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3.70</w:t>
                  </w:r>
                </w:p>
              </w:tc>
              <w:tc>
                <w:tcPr>
                  <w:tcW w:w="2066" w:type="dxa"/>
                  <w:tcBorders>
                    <w:right w:val="single" w:color="auto" w:sz="4" w:space="0"/>
                    <w:tl2br w:val="nil"/>
                    <w:tr2bl w:val="nil"/>
                  </w:tcBorders>
                  <w:noWrap w:val="0"/>
                  <w:vAlign w:val="center"/>
                </w:tcPr>
                <w:p w14:paraId="2D0B88D8">
                  <w:pPr>
                    <w:jc w:val="center"/>
                    <w:rPr>
                      <w:rFonts w:hint="eastAsia" w:eastAsia="宋体" w:cs="宋体"/>
                      <w:lang w:val="en-US" w:eastAsia="zh-CN"/>
                    </w:rPr>
                  </w:pPr>
                  <w:r>
                    <w:rPr>
                      <w:rFonts w:hint="eastAsia"/>
                      <w:snapToGrid w:val="0"/>
                      <w:szCs w:val="21"/>
                      <w:highlight w:val="none"/>
                      <w:lang w:val="en-US" w:eastAsia="zh-CN"/>
                    </w:rPr>
                    <w:t>/</w:t>
                  </w:r>
                </w:p>
              </w:tc>
            </w:tr>
            <w:tr w14:paraId="4DA64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66A68C0">
                  <w:pPr>
                    <w:jc w:val="center"/>
                    <w:rPr>
                      <w:rFonts w:hint="default" w:eastAsia="宋体"/>
                      <w:snapToGrid w:val="0"/>
                      <w:szCs w:val="21"/>
                      <w:highlight w:val="none"/>
                      <w:lang w:val="en-US" w:eastAsia="zh-CN"/>
                    </w:rPr>
                  </w:pPr>
                  <w:r>
                    <w:rPr>
                      <w:rFonts w:hint="eastAsia"/>
                      <w:snapToGrid w:val="0"/>
                      <w:szCs w:val="21"/>
                      <w:highlight w:val="none"/>
                      <w:lang w:val="en-US" w:eastAsia="zh-CN"/>
                    </w:rPr>
                    <w:t>18</w:t>
                  </w:r>
                </w:p>
              </w:tc>
              <w:tc>
                <w:tcPr>
                  <w:tcW w:w="2612" w:type="dxa"/>
                  <w:tcBorders>
                    <w:tl2br w:val="nil"/>
                    <w:tr2bl w:val="nil"/>
                  </w:tcBorders>
                  <w:noWrap w:val="0"/>
                  <w:vAlign w:val="center"/>
                </w:tcPr>
                <w:p w14:paraId="67FC9E9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硫酸铵</w:t>
                  </w:r>
                </w:p>
              </w:tc>
              <w:tc>
                <w:tcPr>
                  <w:tcW w:w="2240" w:type="dxa"/>
                  <w:tcBorders>
                    <w:tl2br w:val="nil"/>
                    <w:tr2bl w:val="nil"/>
                  </w:tcBorders>
                  <w:noWrap w:val="0"/>
                  <w:vAlign w:val="center"/>
                </w:tcPr>
                <w:p w14:paraId="6ED80EFB">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5.11</w:t>
                  </w:r>
                </w:p>
              </w:tc>
              <w:tc>
                <w:tcPr>
                  <w:tcW w:w="2066" w:type="dxa"/>
                  <w:tcBorders>
                    <w:right w:val="single" w:color="auto" w:sz="4" w:space="0"/>
                    <w:tl2br w:val="nil"/>
                    <w:tr2bl w:val="nil"/>
                  </w:tcBorders>
                  <w:noWrap w:val="0"/>
                  <w:vAlign w:val="center"/>
                </w:tcPr>
                <w:p w14:paraId="603530B3">
                  <w:pPr>
                    <w:jc w:val="center"/>
                    <w:rPr>
                      <w:rFonts w:hint="eastAsia" w:eastAsia="宋体" w:cs="宋体"/>
                      <w:lang w:val="en-US" w:eastAsia="zh-CN"/>
                    </w:rPr>
                  </w:pPr>
                  <w:r>
                    <w:rPr>
                      <w:rFonts w:hint="eastAsia"/>
                      <w:snapToGrid w:val="0"/>
                      <w:szCs w:val="21"/>
                      <w:highlight w:val="none"/>
                      <w:lang w:val="en-US" w:eastAsia="zh-CN"/>
                    </w:rPr>
                    <w:t>/</w:t>
                  </w:r>
                </w:p>
              </w:tc>
            </w:tr>
            <w:tr w14:paraId="609AD7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01D988F8">
                  <w:pPr>
                    <w:jc w:val="center"/>
                    <w:rPr>
                      <w:rFonts w:hint="default" w:eastAsia="宋体"/>
                      <w:snapToGrid w:val="0"/>
                      <w:szCs w:val="21"/>
                      <w:highlight w:val="none"/>
                      <w:lang w:val="en-US" w:eastAsia="zh-CN"/>
                    </w:rPr>
                  </w:pPr>
                  <w:r>
                    <w:rPr>
                      <w:rFonts w:hint="eastAsia"/>
                      <w:snapToGrid w:val="0"/>
                      <w:szCs w:val="21"/>
                      <w:highlight w:val="none"/>
                      <w:lang w:val="en-US" w:eastAsia="zh-CN"/>
                    </w:rPr>
                    <w:t>19</w:t>
                  </w:r>
                </w:p>
              </w:tc>
              <w:tc>
                <w:tcPr>
                  <w:tcW w:w="2612" w:type="dxa"/>
                  <w:tcBorders>
                    <w:tl2br w:val="nil"/>
                    <w:tr2bl w:val="nil"/>
                  </w:tcBorders>
                  <w:noWrap w:val="0"/>
                  <w:vAlign w:val="center"/>
                </w:tcPr>
                <w:p w14:paraId="7479AAF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混醇</w:t>
                  </w:r>
                </w:p>
              </w:tc>
              <w:tc>
                <w:tcPr>
                  <w:tcW w:w="2240" w:type="dxa"/>
                  <w:tcBorders>
                    <w:tl2br w:val="nil"/>
                    <w:tr2bl w:val="nil"/>
                  </w:tcBorders>
                  <w:noWrap w:val="0"/>
                  <w:vAlign w:val="center"/>
                </w:tcPr>
                <w:p w14:paraId="092CBF3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2.30</w:t>
                  </w:r>
                </w:p>
              </w:tc>
              <w:tc>
                <w:tcPr>
                  <w:tcW w:w="2066" w:type="dxa"/>
                  <w:tcBorders>
                    <w:right w:val="single" w:color="auto" w:sz="4" w:space="0"/>
                    <w:tl2br w:val="nil"/>
                    <w:tr2bl w:val="nil"/>
                  </w:tcBorders>
                  <w:noWrap w:val="0"/>
                  <w:vAlign w:val="center"/>
                </w:tcPr>
                <w:p w14:paraId="680EA1F6">
                  <w:pPr>
                    <w:jc w:val="center"/>
                    <w:rPr>
                      <w:rFonts w:hint="eastAsia" w:eastAsia="宋体" w:cs="宋体"/>
                      <w:lang w:val="en-US" w:eastAsia="zh-CN"/>
                    </w:rPr>
                  </w:pPr>
                  <w:r>
                    <w:rPr>
                      <w:rFonts w:hint="eastAsia"/>
                      <w:snapToGrid w:val="0"/>
                      <w:szCs w:val="21"/>
                      <w:highlight w:val="none"/>
                      <w:lang w:val="en-US" w:eastAsia="zh-CN"/>
                    </w:rPr>
                    <w:t>/</w:t>
                  </w:r>
                </w:p>
              </w:tc>
            </w:tr>
            <w:tr w14:paraId="424C60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bottom w:val="single" w:color="auto" w:sz="4" w:space="0"/>
                    <w:tl2br w:val="nil"/>
                    <w:tr2bl w:val="nil"/>
                  </w:tcBorders>
                  <w:noWrap w:val="0"/>
                  <w:vAlign w:val="center"/>
                </w:tcPr>
                <w:p w14:paraId="123B1D0B">
                  <w:pPr>
                    <w:jc w:val="center"/>
                    <w:rPr>
                      <w:rFonts w:hint="default" w:eastAsia="宋体"/>
                      <w:snapToGrid w:val="0"/>
                      <w:szCs w:val="21"/>
                      <w:highlight w:val="none"/>
                      <w:lang w:val="en-US" w:eastAsia="zh-CN"/>
                    </w:rPr>
                  </w:pPr>
                  <w:r>
                    <w:rPr>
                      <w:rFonts w:hint="eastAsia"/>
                      <w:snapToGrid w:val="0"/>
                      <w:szCs w:val="21"/>
                      <w:highlight w:val="none"/>
                      <w:lang w:val="en-US" w:eastAsia="zh-CN"/>
                    </w:rPr>
                    <w:t>20</w:t>
                  </w:r>
                </w:p>
              </w:tc>
              <w:tc>
                <w:tcPr>
                  <w:tcW w:w="2612" w:type="dxa"/>
                  <w:tcBorders>
                    <w:bottom w:val="single" w:color="auto" w:sz="4" w:space="0"/>
                    <w:tl2br w:val="nil"/>
                    <w:tr2bl w:val="nil"/>
                  </w:tcBorders>
                  <w:noWrap w:val="0"/>
                  <w:vAlign w:val="center"/>
                </w:tcPr>
                <w:p w14:paraId="287C914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合计</w:t>
                  </w:r>
                </w:p>
              </w:tc>
              <w:tc>
                <w:tcPr>
                  <w:tcW w:w="2240" w:type="dxa"/>
                  <w:tcBorders>
                    <w:bottom w:val="single" w:color="auto" w:sz="4" w:space="0"/>
                    <w:tl2br w:val="nil"/>
                    <w:tr2bl w:val="nil"/>
                  </w:tcBorders>
                  <w:noWrap w:val="0"/>
                  <w:vAlign w:val="center"/>
                </w:tcPr>
                <w:p w14:paraId="6385357B">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fldChar w:fldCharType="begin"/>
                  </w:r>
                  <w:r>
                    <w:rPr>
                      <w:rFonts w:hint="eastAsia" w:ascii="Times New Roman" w:hAnsi="Times New Roman" w:eastAsia="宋体" w:cs="Times New Roman"/>
                      <w:snapToGrid w:val="0"/>
                      <w:szCs w:val="21"/>
                      <w:highlight w:val="none"/>
                      <w:lang w:val="en-US" w:eastAsia="zh-CN"/>
                    </w:rPr>
                    <w:instrText xml:space="preserve"> = sum(C2:C20) \* MERGEFORMAT </w:instrText>
                  </w:r>
                  <w:r>
                    <w:rPr>
                      <w:rFonts w:hint="eastAsia" w:ascii="Times New Roman" w:hAnsi="Times New Roman" w:eastAsia="宋体" w:cs="Times New Roman"/>
                      <w:snapToGrid w:val="0"/>
                      <w:szCs w:val="21"/>
                      <w:highlight w:val="none"/>
                      <w:lang w:val="en-US" w:eastAsia="zh-CN"/>
                    </w:rPr>
                    <w:fldChar w:fldCharType="separate"/>
                  </w:r>
                  <w:r>
                    <w:rPr>
                      <w:rFonts w:hint="eastAsia" w:ascii="Times New Roman" w:hAnsi="Times New Roman" w:eastAsia="宋体" w:cs="Times New Roman"/>
                      <w:snapToGrid w:val="0"/>
                      <w:szCs w:val="21"/>
                      <w:highlight w:val="none"/>
                      <w:lang w:val="en-US" w:eastAsia="zh-CN"/>
                    </w:rPr>
                    <w:t>194.45</w:t>
                  </w:r>
                  <w:r>
                    <w:rPr>
                      <w:rFonts w:hint="eastAsia" w:ascii="Times New Roman" w:hAnsi="Times New Roman" w:eastAsia="宋体" w:cs="Times New Roman"/>
                      <w:snapToGrid w:val="0"/>
                      <w:szCs w:val="21"/>
                      <w:highlight w:val="none"/>
                      <w:lang w:val="en-US" w:eastAsia="zh-CN"/>
                    </w:rPr>
                    <w:fldChar w:fldCharType="end"/>
                  </w:r>
                </w:p>
              </w:tc>
              <w:tc>
                <w:tcPr>
                  <w:tcW w:w="2066" w:type="dxa"/>
                  <w:tcBorders>
                    <w:bottom w:val="single" w:color="auto" w:sz="4" w:space="0"/>
                    <w:right w:val="single" w:color="auto" w:sz="4" w:space="0"/>
                    <w:tl2br w:val="nil"/>
                    <w:tr2bl w:val="nil"/>
                  </w:tcBorders>
                  <w:noWrap w:val="0"/>
                  <w:vAlign w:val="center"/>
                </w:tcPr>
                <w:p w14:paraId="0E9F5397">
                  <w:pPr>
                    <w:jc w:val="center"/>
                    <w:rPr>
                      <w:rFonts w:hint="eastAsia" w:eastAsia="宋体" w:cs="宋体"/>
                      <w:lang w:val="en-US" w:eastAsia="zh-CN"/>
                    </w:rPr>
                  </w:pPr>
                  <w:r>
                    <w:rPr>
                      <w:rFonts w:hint="eastAsia"/>
                      <w:snapToGrid w:val="0"/>
                      <w:szCs w:val="21"/>
                      <w:highlight w:val="none"/>
                      <w:lang w:val="en-US" w:eastAsia="zh-CN"/>
                    </w:rPr>
                    <w:t>/</w:t>
                  </w:r>
                </w:p>
              </w:tc>
            </w:tr>
          </w:tbl>
          <w:p w14:paraId="006C447E">
            <w:pPr>
              <w:adjustRightInd w:val="0"/>
              <w:snapToGrid w:val="0"/>
              <w:spacing w:line="360" w:lineRule="auto"/>
              <w:ind w:firstLine="482" w:firstLineChars="200"/>
              <w:rPr>
                <w:b/>
                <w:bCs/>
                <w:color w:val="000000"/>
                <w:sz w:val="24"/>
              </w:rPr>
            </w:pPr>
            <w:r>
              <w:rPr>
                <w:b/>
                <w:bCs/>
                <w:color w:val="000000"/>
                <w:sz w:val="24"/>
              </w:rPr>
              <w:t>3.1</w:t>
            </w:r>
            <w:r>
              <w:rPr>
                <w:rFonts w:hint="eastAsia"/>
                <w:b/>
                <w:bCs/>
                <w:color w:val="000000"/>
                <w:sz w:val="24"/>
                <w:lang w:val="en-US" w:eastAsia="zh-CN"/>
              </w:rPr>
              <w:t>.2</w:t>
            </w:r>
            <w:r>
              <w:rPr>
                <w:b/>
                <w:bCs/>
                <w:color w:val="000000"/>
                <w:sz w:val="24"/>
              </w:rPr>
              <w:t>建设内容</w:t>
            </w:r>
          </w:p>
          <w:p w14:paraId="5B7F5E02">
            <w:pPr>
              <w:adjustRightInd w:val="0"/>
              <w:snapToGrid w:val="0"/>
              <w:spacing w:line="360" w:lineRule="auto"/>
              <w:ind w:firstLine="480" w:firstLineChars="200"/>
              <w:jc w:val="left"/>
              <w:rPr>
                <w:rFonts w:hint="eastAsia"/>
                <w:bCs/>
                <w:sz w:val="24"/>
              </w:rPr>
            </w:pPr>
            <w:r>
              <w:rPr>
                <w:rFonts w:hint="eastAsia"/>
                <w:bCs/>
                <w:sz w:val="24"/>
              </w:rPr>
              <w:t>项目名称：</w:t>
            </w:r>
            <w:r>
              <w:rPr>
                <w:rFonts w:hint="eastAsia"/>
                <w:bCs/>
                <w:sz w:val="24"/>
                <w:lang w:val="en-US" w:eastAsia="zh-CN"/>
              </w:rPr>
              <w:t>内蒙古伊泰化工有限责任公司费托油水处理技改项目</w:t>
            </w:r>
            <w:r>
              <w:rPr>
                <w:rFonts w:hint="eastAsia"/>
                <w:bCs/>
                <w:sz w:val="24"/>
              </w:rPr>
              <w:t>；</w:t>
            </w:r>
          </w:p>
          <w:p w14:paraId="7B974D3D">
            <w:pPr>
              <w:adjustRightInd w:val="0"/>
              <w:snapToGrid w:val="0"/>
              <w:spacing w:line="360" w:lineRule="auto"/>
              <w:ind w:firstLine="480" w:firstLineChars="200"/>
              <w:jc w:val="left"/>
              <w:rPr>
                <w:rFonts w:hint="eastAsia"/>
                <w:bCs/>
                <w:sz w:val="24"/>
              </w:rPr>
            </w:pPr>
            <w:r>
              <w:rPr>
                <w:rFonts w:hint="eastAsia"/>
                <w:bCs/>
                <w:sz w:val="24"/>
              </w:rPr>
              <w:t>建设单位：内蒙古伊泰化工有限责任公司；</w:t>
            </w:r>
          </w:p>
          <w:p w14:paraId="5B860756">
            <w:pPr>
              <w:adjustRightInd w:val="0"/>
              <w:snapToGrid w:val="0"/>
              <w:spacing w:line="360" w:lineRule="auto"/>
              <w:ind w:firstLine="480" w:firstLineChars="200"/>
              <w:jc w:val="left"/>
              <w:rPr>
                <w:rFonts w:hint="eastAsia"/>
                <w:bCs/>
                <w:sz w:val="24"/>
              </w:rPr>
            </w:pPr>
            <w:r>
              <w:rPr>
                <w:rFonts w:hint="eastAsia"/>
                <w:bCs/>
                <w:sz w:val="24"/>
              </w:rPr>
              <w:t>建设性质：技改；</w:t>
            </w:r>
          </w:p>
          <w:p w14:paraId="2F855706">
            <w:pPr>
              <w:adjustRightInd w:val="0"/>
              <w:snapToGrid w:val="0"/>
              <w:spacing w:line="360" w:lineRule="auto"/>
              <w:ind w:firstLine="480" w:firstLineChars="200"/>
              <w:jc w:val="left"/>
              <w:rPr>
                <w:rFonts w:hint="eastAsia"/>
                <w:bCs/>
                <w:sz w:val="24"/>
              </w:rPr>
            </w:pPr>
            <w:r>
              <w:rPr>
                <w:rFonts w:hint="eastAsia"/>
                <w:bCs/>
                <w:sz w:val="24"/>
              </w:rPr>
              <w:t>建设规模：</w:t>
            </w:r>
            <w:r>
              <w:rPr>
                <w:rFonts w:hint="eastAsia"/>
                <w:bCs/>
                <w:sz w:val="24"/>
                <w:highlight w:val="none"/>
              </w:rPr>
              <w:t>年处理</w:t>
            </w:r>
            <w:r>
              <w:rPr>
                <w:rFonts w:hint="eastAsia"/>
                <w:bCs/>
                <w:sz w:val="24"/>
                <w:highlight w:val="none"/>
                <w:lang w:val="en-US" w:eastAsia="zh-CN"/>
              </w:rPr>
              <w:t>36</w:t>
            </w:r>
            <w:r>
              <w:rPr>
                <w:rFonts w:hint="eastAsia"/>
                <w:bCs/>
                <w:sz w:val="24"/>
                <w:highlight w:val="none"/>
              </w:rPr>
              <w:t>万t/a</w:t>
            </w:r>
            <w:r>
              <w:rPr>
                <w:rFonts w:hint="eastAsia"/>
                <w:bCs/>
                <w:sz w:val="24"/>
                <w:highlight w:val="none"/>
                <w:lang w:val="en-US" w:eastAsia="zh-CN"/>
              </w:rPr>
              <w:t>费托合成轻质油</w:t>
            </w:r>
            <w:r>
              <w:rPr>
                <w:rFonts w:hint="eastAsia"/>
                <w:bCs/>
                <w:sz w:val="24"/>
                <w:highlight w:val="none"/>
              </w:rPr>
              <w:t>，年产</w:t>
            </w:r>
            <w:r>
              <w:rPr>
                <w:rFonts w:hint="eastAsia"/>
                <w:bCs/>
                <w:sz w:val="24"/>
                <w:highlight w:val="none"/>
                <w:lang w:val="en-US" w:eastAsia="zh-CN"/>
              </w:rPr>
              <w:t>1.5</w:t>
            </w:r>
            <w:r>
              <w:rPr>
                <w:rFonts w:hint="eastAsia"/>
                <w:bCs/>
                <w:sz w:val="24"/>
                <w:highlight w:val="none"/>
              </w:rPr>
              <w:t>万t/a</w:t>
            </w:r>
            <w:r>
              <w:rPr>
                <w:rFonts w:hint="eastAsia"/>
                <w:bCs/>
                <w:sz w:val="24"/>
                <w:highlight w:val="none"/>
                <w:lang w:val="en-US" w:eastAsia="zh-CN"/>
              </w:rPr>
              <w:t>纯度不低于98%的C5烷烯烃、0.5万吨C4及C4-烷烯烃</w:t>
            </w:r>
            <w:r>
              <w:rPr>
                <w:rFonts w:hint="eastAsia"/>
                <w:bCs/>
                <w:sz w:val="24"/>
                <w:highlight w:val="none"/>
              </w:rPr>
              <w:t>。</w:t>
            </w:r>
          </w:p>
          <w:p w14:paraId="03DCA602">
            <w:pPr>
              <w:adjustRightInd w:val="0"/>
              <w:snapToGrid w:val="0"/>
              <w:spacing w:line="360" w:lineRule="auto"/>
              <w:ind w:firstLine="480" w:firstLineChars="200"/>
              <w:jc w:val="left"/>
              <w:rPr>
                <w:rFonts w:hint="eastAsia"/>
                <w:bCs/>
                <w:sz w:val="24"/>
                <w:highlight w:val="none"/>
              </w:rPr>
            </w:pPr>
            <w:r>
              <w:rPr>
                <w:rFonts w:hint="eastAsia"/>
                <w:bCs/>
                <w:sz w:val="24"/>
                <w:highlight w:val="none"/>
              </w:rPr>
              <w:t>工程投资：总投资</w:t>
            </w:r>
            <w:r>
              <w:rPr>
                <w:rFonts w:hint="eastAsia"/>
                <w:bCs/>
                <w:sz w:val="24"/>
                <w:highlight w:val="none"/>
                <w:lang w:val="en-US" w:eastAsia="zh-CN"/>
              </w:rPr>
              <w:t>2493.73</w:t>
            </w:r>
            <w:r>
              <w:rPr>
                <w:rFonts w:hint="eastAsia"/>
                <w:bCs/>
                <w:sz w:val="24"/>
                <w:highlight w:val="none"/>
              </w:rPr>
              <w:t>万元人民币，其中环境保护设施投资约</w:t>
            </w:r>
            <w:r>
              <w:rPr>
                <w:rFonts w:hint="eastAsia"/>
                <w:bCs/>
                <w:sz w:val="24"/>
                <w:highlight w:val="none"/>
                <w:lang w:val="en-US" w:eastAsia="zh-CN"/>
              </w:rPr>
              <w:t>11.5</w:t>
            </w:r>
            <w:r>
              <w:rPr>
                <w:rFonts w:hint="eastAsia"/>
                <w:bCs/>
                <w:sz w:val="24"/>
                <w:highlight w:val="none"/>
              </w:rPr>
              <w:t>万元人民币，环境保护设施投资约占总投资</w:t>
            </w:r>
            <w:r>
              <w:rPr>
                <w:rFonts w:hint="eastAsia"/>
                <w:bCs/>
                <w:sz w:val="24"/>
                <w:highlight w:val="none"/>
                <w:lang w:val="en-US" w:eastAsia="zh-CN"/>
              </w:rPr>
              <w:t>0.46</w:t>
            </w:r>
            <w:r>
              <w:rPr>
                <w:rFonts w:hint="eastAsia"/>
                <w:bCs/>
                <w:sz w:val="24"/>
                <w:highlight w:val="none"/>
              </w:rPr>
              <w:t>%。</w:t>
            </w:r>
          </w:p>
          <w:p w14:paraId="405DD447">
            <w:pPr>
              <w:adjustRightInd w:val="0"/>
              <w:snapToGrid w:val="0"/>
              <w:spacing w:line="360" w:lineRule="auto"/>
              <w:ind w:firstLine="480" w:firstLineChars="200"/>
              <w:jc w:val="left"/>
              <w:rPr>
                <w:rFonts w:hint="eastAsia"/>
                <w:bCs/>
                <w:sz w:val="24"/>
                <w:highlight w:val="none"/>
              </w:rPr>
            </w:pPr>
            <w:r>
              <w:rPr>
                <w:rFonts w:hint="eastAsia"/>
                <w:bCs/>
                <w:sz w:val="24"/>
                <w:highlight w:val="none"/>
              </w:rPr>
              <w:t>工作制度：年操作333天，年工作时间8000h。</w:t>
            </w:r>
          </w:p>
          <w:p w14:paraId="3ED77168">
            <w:pPr>
              <w:adjustRightInd w:val="0"/>
              <w:snapToGrid w:val="0"/>
              <w:spacing w:line="360" w:lineRule="auto"/>
              <w:ind w:firstLine="480" w:firstLineChars="200"/>
              <w:jc w:val="left"/>
              <w:rPr>
                <w:rFonts w:hint="eastAsia"/>
                <w:bCs/>
                <w:sz w:val="24"/>
                <w:highlight w:val="none"/>
              </w:rPr>
            </w:pPr>
            <w:r>
              <w:rPr>
                <w:rFonts w:hint="eastAsia"/>
                <w:bCs/>
                <w:sz w:val="24"/>
                <w:highlight w:val="none"/>
              </w:rPr>
              <w:t>员工人数：不新增劳动定员，依托厂区现有劳动定员。</w:t>
            </w:r>
          </w:p>
          <w:p w14:paraId="1CAB1450">
            <w:pPr>
              <w:adjustRightInd w:val="0"/>
              <w:snapToGrid w:val="0"/>
              <w:spacing w:line="360" w:lineRule="auto"/>
              <w:ind w:firstLine="480" w:firstLineChars="200"/>
              <w:rPr>
                <w:color w:val="000000"/>
                <w:sz w:val="24"/>
              </w:rPr>
            </w:pPr>
            <w:r>
              <w:rPr>
                <w:color w:val="000000"/>
                <w:sz w:val="24"/>
              </w:rPr>
              <w:t>项目建设内容详细指标见表</w:t>
            </w:r>
            <w:r>
              <w:rPr>
                <w:rFonts w:hint="eastAsia"/>
                <w:color w:val="000000"/>
                <w:sz w:val="24"/>
              </w:rPr>
              <w:t>2-</w:t>
            </w:r>
            <w:r>
              <w:rPr>
                <w:rFonts w:hint="eastAsia"/>
                <w:color w:val="000000"/>
                <w:sz w:val="24"/>
                <w:lang w:val="en-US" w:eastAsia="zh-CN"/>
              </w:rPr>
              <w:t>2</w:t>
            </w:r>
            <w:r>
              <w:rPr>
                <w:color w:val="000000"/>
                <w:sz w:val="24"/>
              </w:rPr>
              <w:t>。</w:t>
            </w:r>
          </w:p>
          <w:p w14:paraId="03042244">
            <w:pPr>
              <w:tabs>
                <w:tab w:val="left" w:pos="7600"/>
                <w:tab w:val="right" w:pos="14293"/>
              </w:tabs>
              <w:jc w:val="center"/>
              <w:rPr>
                <w:b/>
                <w:color w:val="000000"/>
                <w:sz w:val="24"/>
                <w:szCs w:val="20"/>
              </w:rPr>
            </w:pPr>
            <w:r>
              <w:rPr>
                <w:b/>
                <w:color w:val="000000"/>
                <w:sz w:val="24"/>
                <w:szCs w:val="20"/>
              </w:rPr>
              <w:t>表</w:t>
            </w:r>
            <w:r>
              <w:rPr>
                <w:rFonts w:hint="eastAsia"/>
                <w:b/>
                <w:color w:val="000000"/>
                <w:sz w:val="24"/>
                <w:szCs w:val="20"/>
              </w:rPr>
              <w:t>2-</w:t>
            </w:r>
            <w:r>
              <w:rPr>
                <w:rFonts w:hint="eastAsia"/>
                <w:b/>
                <w:color w:val="000000"/>
                <w:sz w:val="24"/>
                <w:szCs w:val="20"/>
                <w:lang w:val="en-US" w:eastAsia="zh-CN"/>
              </w:rPr>
              <w:t>2：</w:t>
            </w:r>
            <w:r>
              <w:rPr>
                <w:b/>
                <w:color w:val="000000"/>
                <w:sz w:val="24"/>
                <w:szCs w:val="20"/>
              </w:rPr>
              <w:t>项目建设内容组成一览表</w:t>
            </w:r>
          </w:p>
          <w:tbl>
            <w:tblPr>
              <w:tblStyle w:val="41"/>
              <w:tblW w:w="80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10"/>
              <w:gridCol w:w="379"/>
              <w:gridCol w:w="96"/>
              <w:gridCol w:w="938"/>
              <w:gridCol w:w="2462"/>
              <w:gridCol w:w="3318"/>
              <w:gridCol w:w="595"/>
            </w:tblGrid>
            <w:tr w14:paraId="0213B6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1" w:type="pct"/>
                  <w:tcBorders>
                    <w:top w:val="single" w:color="auto" w:sz="4" w:space="0"/>
                    <w:left w:val="single" w:color="auto" w:sz="0" w:space="0"/>
                  </w:tcBorders>
                  <w:noWrap w:val="0"/>
                  <w:vAlign w:val="center"/>
                </w:tcPr>
                <w:p w14:paraId="0816B97A">
                  <w:pPr>
                    <w:autoSpaceDE w:val="0"/>
                    <w:autoSpaceDN w:val="0"/>
                    <w:jc w:val="center"/>
                    <w:rPr>
                      <w:b/>
                      <w:bCs/>
                      <w:color w:val="000000"/>
                      <w:sz w:val="21"/>
                      <w:szCs w:val="21"/>
                    </w:rPr>
                  </w:pPr>
                  <w:r>
                    <w:rPr>
                      <w:b/>
                      <w:bCs/>
                      <w:color w:val="000000"/>
                      <w:sz w:val="21"/>
                      <w:szCs w:val="21"/>
                    </w:rPr>
                    <w:t>工程</w:t>
                  </w:r>
                </w:p>
                <w:p w14:paraId="31092A79">
                  <w:pPr>
                    <w:autoSpaceDE w:val="0"/>
                    <w:autoSpaceDN w:val="0"/>
                    <w:jc w:val="center"/>
                    <w:rPr>
                      <w:b/>
                      <w:bCs/>
                      <w:color w:val="000000"/>
                      <w:sz w:val="21"/>
                      <w:szCs w:val="21"/>
                    </w:rPr>
                  </w:pPr>
                  <w:r>
                    <w:rPr>
                      <w:b/>
                      <w:bCs/>
                      <w:color w:val="000000"/>
                      <w:sz w:val="21"/>
                      <w:szCs w:val="21"/>
                    </w:rPr>
                    <w:t>类别</w:t>
                  </w:r>
                </w:p>
              </w:tc>
              <w:tc>
                <w:tcPr>
                  <w:tcW w:w="872" w:type="pct"/>
                  <w:gridSpan w:val="3"/>
                  <w:tcBorders>
                    <w:top w:val="single" w:color="auto" w:sz="4" w:space="0"/>
                  </w:tcBorders>
                  <w:noWrap w:val="0"/>
                  <w:vAlign w:val="center"/>
                </w:tcPr>
                <w:p w14:paraId="2DDA7B72">
                  <w:pPr>
                    <w:autoSpaceDE w:val="0"/>
                    <w:autoSpaceDN w:val="0"/>
                    <w:jc w:val="center"/>
                    <w:rPr>
                      <w:b/>
                      <w:bCs/>
                      <w:color w:val="000000"/>
                      <w:sz w:val="21"/>
                      <w:szCs w:val="21"/>
                    </w:rPr>
                  </w:pPr>
                  <w:r>
                    <w:rPr>
                      <w:b/>
                      <w:bCs/>
                      <w:color w:val="000000"/>
                      <w:sz w:val="21"/>
                      <w:szCs w:val="21"/>
                    </w:rPr>
                    <w:t>工程名称</w:t>
                  </w:r>
                </w:p>
              </w:tc>
              <w:tc>
                <w:tcPr>
                  <w:tcW w:w="1520" w:type="pct"/>
                  <w:tcBorders>
                    <w:top w:val="single" w:color="auto" w:sz="4" w:space="0"/>
                  </w:tcBorders>
                  <w:noWrap w:val="0"/>
                  <w:vAlign w:val="center"/>
                </w:tcPr>
                <w:p w14:paraId="35BB020E">
                  <w:pPr>
                    <w:autoSpaceDE w:val="0"/>
                    <w:autoSpaceDN w:val="0"/>
                    <w:jc w:val="center"/>
                    <w:rPr>
                      <w:b/>
                      <w:bCs/>
                      <w:color w:val="000000"/>
                      <w:sz w:val="21"/>
                      <w:szCs w:val="21"/>
                    </w:rPr>
                  </w:pPr>
                  <w:r>
                    <w:rPr>
                      <w:rFonts w:hint="eastAsia"/>
                      <w:b/>
                      <w:bCs/>
                      <w:color w:val="000000"/>
                      <w:sz w:val="21"/>
                      <w:szCs w:val="21"/>
                    </w:rPr>
                    <w:t>现有已建成内容</w:t>
                  </w:r>
                </w:p>
              </w:tc>
              <w:tc>
                <w:tcPr>
                  <w:tcW w:w="2048" w:type="pct"/>
                  <w:tcBorders>
                    <w:top w:val="single" w:color="auto" w:sz="4" w:space="0"/>
                  </w:tcBorders>
                  <w:noWrap w:val="0"/>
                  <w:vAlign w:val="center"/>
                </w:tcPr>
                <w:p w14:paraId="1883876D">
                  <w:pPr>
                    <w:autoSpaceDE w:val="0"/>
                    <w:autoSpaceDN w:val="0"/>
                    <w:jc w:val="center"/>
                    <w:rPr>
                      <w:b/>
                      <w:bCs/>
                      <w:color w:val="000000"/>
                      <w:sz w:val="21"/>
                      <w:szCs w:val="21"/>
                    </w:rPr>
                  </w:pPr>
                  <w:r>
                    <w:rPr>
                      <w:rFonts w:hint="eastAsia"/>
                      <w:b/>
                      <w:bCs/>
                      <w:color w:val="000000"/>
                      <w:sz w:val="21"/>
                      <w:szCs w:val="21"/>
                      <w:lang w:val="en-US" w:eastAsia="zh-CN"/>
                    </w:rPr>
                    <w:t>本次技改</w:t>
                  </w:r>
                  <w:r>
                    <w:rPr>
                      <w:b/>
                      <w:bCs/>
                      <w:color w:val="000000"/>
                      <w:sz w:val="21"/>
                      <w:szCs w:val="21"/>
                    </w:rPr>
                    <w:t>工程主要建设内容</w:t>
                  </w:r>
                </w:p>
              </w:tc>
              <w:tc>
                <w:tcPr>
                  <w:tcW w:w="367" w:type="pct"/>
                  <w:tcBorders>
                    <w:top w:val="single" w:color="auto" w:sz="4" w:space="0"/>
                    <w:right w:val="single" w:color="auto" w:sz="4" w:space="0"/>
                  </w:tcBorders>
                  <w:noWrap w:val="0"/>
                  <w:vAlign w:val="center"/>
                </w:tcPr>
                <w:p w14:paraId="260EFB78">
                  <w:pPr>
                    <w:autoSpaceDE w:val="0"/>
                    <w:autoSpaceDN w:val="0"/>
                    <w:jc w:val="center"/>
                    <w:rPr>
                      <w:b/>
                      <w:bCs/>
                      <w:color w:val="000000"/>
                      <w:sz w:val="21"/>
                      <w:szCs w:val="21"/>
                    </w:rPr>
                  </w:pPr>
                  <w:r>
                    <w:rPr>
                      <w:b/>
                      <w:bCs/>
                      <w:color w:val="000000"/>
                      <w:sz w:val="21"/>
                      <w:szCs w:val="21"/>
                    </w:rPr>
                    <w:t>备注</w:t>
                  </w:r>
                </w:p>
              </w:tc>
            </w:tr>
            <w:tr w14:paraId="706F77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191" w:type="pct"/>
                  <w:vMerge w:val="restart"/>
                  <w:tcBorders>
                    <w:left w:val="single" w:color="auto" w:sz="4" w:space="0"/>
                  </w:tcBorders>
                  <w:noWrap w:val="0"/>
                  <w:vAlign w:val="center"/>
                </w:tcPr>
                <w:p w14:paraId="391967DB">
                  <w:pPr>
                    <w:autoSpaceDE w:val="0"/>
                    <w:autoSpaceDN w:val="0"/>
                    <w:jc w:val="center"/>
                    <w:rPr>
                      <w:color w:val="000000"/>
                      <w:sz w:val="21"/>
                      <w:szCs w:val="21"/>
                    </w:rPr>
                  </w:pPr>
                  <w:r>
                    <w:rPr>
                      <w:color w:val="000000"/>
                      <w:sz w:val="21"/>
                      <w:szCs w:val="21"/>
                    </w:rPr>
                    <w:t>主体</w:t>
                  </w:r>
                </w:p>
                <w:p w14:paraId="6D149698">
                  <w:pPr>
                    <w:autoSpaceDE w:val="0"/>
                    <w:autoSpaceDN w:val="0"/>
                    <w:jc w:val="center"/>
                    <w:rPr>
                      <w:color w:val="000000"/>
                      <w:sz w:val="21"/>
                      <w:szCs w:val="21"/>
                    </w:rPr>
                  </w:pPr>
                  <w:r>
                    <w:rPr>
                      <w:color w:val="000000"/>
                      <w:sz w:val="21"/>
                      <w:szCs w:val="21"/>
                    </w:rPr>
                    <w:t>工程</w:t>
                  </w:r>
                </w:p>
              </w:tc>
              <w:tc>
                <w:tcPr>
                  <w:tcW w:w="872" w:type="pct"/>
                  <w:gridSpan w:val="3"/>
                  <w:vMerge w:val="restart"/>
                  <w:noWrap w:val="0"/>
                  <w:vAlign w:val="center"/>
                </w:tcPr>
                <w:p w14:paraId="63C68F52">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脱重塔系统</w:t>
                  </w:r>
                </w:p>
              </w:tc>
              <w:tc>
                <w:tcPr>
                  <w:tcW w:w="1520" w:type="pct"/>
                  <w:vMerge w:val="restart"/>
                  <w:noWrap w:val="0"/>
                  <w:vAlign w:val="center"/>
                </w:tcPr>
                <w:p w14:paraId="3CB552F9">
                  <w:pPr>
                    <w:autoSpaceDE w:val="0"/>
                    <w:autoSpaceDN w:val="0"/>
                    <w:jc w:val="center"/>
                    <w:rPr>
                      <w:rFonts w:hint="default" w:eastAsia="宋体"/>
                      <w:color w:val="000000"/>
                      <w:sz w:val="21"/>
                      <w:szCs w:val="21"/>
                      <w:lang w:val="en-US" w:eastAsia="zh-CN"/>
                    </w:rPr>
                  </w:pPr>
                  <w:r>
                    <w:rPr>
                      <w:rFonts w:hint="eastAsia" w:eastAsia="宋体"/>
                      <w:color w:val="000000"/>
                      <w:sz w:val="21"/>
                      <w:szCs w:val="21"/>
                      <w:lang w:val="en-US" w:eastAsia="zh-CN"/>
                    </w:rPr>
                    <w:t>1座萃取精馏塔，塔径1800mm，200℃，0.35MPa</w:t>
                  </w:r>
                  <w:r>
                    <w:rPr>
                      <w:rFonts w:hint="eastAsia"/>
                      <w:color w:val="000000"/>
                      <w:sz w:val="21"/>
                      <w:szCs w:val="21"/>
                      <w:lang w:val="en-US" w:eastAsia="zh-CN"/>
                    </w:rPr>
                    <w:t>。</w:t>
                  </w:r>
                </w:p>
              </w:tc>
              <w:tc>
                <w:tcPr>
                  <w:tcW w:w="2048" w:type="pct"/>
                  <w:noWrap w:val="0"/>
                  <w:vAlign w:val="center"/>
                </w:tcPr>
                <w:p w14:paraId="07BBC49C">
                  <w:pPr>
                    <w:autoSpaceDE w:val="0"/>
                    <w:autoSpaceDN w:val="0"/>
                    <w:jc w:val="center"/>
                    <w:rPr>
                      <w:rFonts w:hint="default" w:eastAsia="宋体"/>
                      <w:color w:val="000000"/>
                      <w:sz w:val="21"/>
                      <w:szCs w:val="21"/>
                      <w:highlight w:val="none"/>
                      <w:lang w:val="en-US" w:eastAsia="zh-CN"/>
                    </w:rPr>
                  </w:pPr>
                  <w:r>
                    <w:rPr>
                      <w:rFonts w:hint="eastAsia" w:eastAsia="宋体"/>
                      <w:color w:val="000000"/>
                      <w:sz w:val="21"/>
                      <w:szCs w:val="21"/>
                      <w:lang w:val="en-US" w:eastAsia="zh-CN"/>
                    </w:rPr>
                    <w:t>新增1台脱重塔顶水冷器，新增1台脱重塔底泵，新增1台脱重塔进料泵，新增1台脱重塔底水冷器</w:t>
                  </w:r>
                  <w:r>
                    <w:rPr>
                      <w:rFonts w:hint="eastAsia"/>
                      <w:color w:val="000000"/>
                      <w:sz w:val="21"/>
                      <w:szCs w:val="21"/>
                      <w:lang w:val="en-US" w:eastAsia="zh-CN"/>
                    </w:rPr>
                    <w:t>。</w:t>
                  </w:r>
                </w:p>
              </w:tc>
              <w:tc>
                <w:tcPr>
                  <w:tcW w:w="367" w:type="pct"/>
                  <w:tcBorders>
                    <w:right w:val="single" w:color="auto" w:sz="4" w:space="0"/>
                  </w:tcBorders>
                  <w:noWrap w:val="0"/>
                  <w:vAlign w:val="center"/>
                </w:tcPr>
                <w:p w14:paraId="6964A118">
                  <w:pPr>
                    <w:autoSpaceDE w:val="0"/>
                    <w:autoSpaceDN w:val="0"/>
                    <w:jc w:val="center"/>
                    <w:rPr>
                      <w:rFonts w:hint="eastAsia"/>
                      <w:color w:val="000000"/>
                      <w:sz w:val="21"/>
                      <w:szCs w:val="21"/>
                    </w:rPr>
                  </w:pPr>
                  <w:r>
                    <w:rPr>
                      <w:rFonts w:hint="eastAsia"/>
                      <w:color w:val="000000"/>
                      <w:sz w:val="21"/>
                      <w:szCs w:val="21"/>
                    </w:rPr>
                    <w:t>新建</w:t>
                  </w:r>
                </w:p>
              </w:tc>
            </w:tr>
            <w:tr w14:paraId="3ED2A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69" w:hRule="atLeast"/>
                <w:jc w:val="center"/>
              </w:trPr>
              <w:tc>
                <w:tcPr>
                  <w:tcW w:w="191" w:type="pct"/>
                  <w:vMerge w:val="continue"/>
                  <w:tcBorders>
                    <w:left w:val="single" w:color="auto" w:sz="4" w:space="0"/>
                  </w:tcBorders>
                  <w:noWrap w:val="0"/>
                  <w:vAlign w:val="center"/>
                </w:tcPr>
                <w:p w14:paraId="3548823B">
                  <w:pPr>
                    <w:autoSpaceDE w:val="0"/>
                    <w:autoSpaceDN w:val="0"/>
                    <w:jc w:val="center"/>
                    <w:rPr>
                      <w:sz w:val="21"/>
                      <w:szCs w:val="21"/>
                    </w:rPr>
                  </w:pPr>
                </w:p>
              </w:tc>
              <w:tc>
                <w:tcPr>
                  <w:tcW w:w="872" w:type="pct"/>
                  <w:gridSpan w:val="3"/>
                  <w:vMerge w:val="continue"/>
                  <w:noWrap w:val="0"/>
                  <w:vAlign w:val="center"/>
                </w:tcPr>
                <w:p w14:paraId="0240821F">
                  <w:pPr>
                    <w:autoSpaceDE w:val="0"/>
                    <w:autoSpaceDN w:val="0"/>
                    <w:jc w:val="center"/>
                    <w:rPr>
                      <w:sz w:val="21"/>
                      <w:szCs w:val="21"/>
                    </w:rPr>
                  </w:pPr>
                </w:p>
              </w:tc>
              <w:tc>
                <w:tcPr>
                  <w:tcW w:w="1520" w:type="pct"/>
                  <w:vMerge w:val="continue"/>
                  <w:noWrap w:val="0"/>
                  <w:vAlign w:val="center"/>
                </w:tcPr>
                <w:p w14:paraId="5D8CD0F1">
                  <w:pPr>
                    <w:autoSpaceDE w:val="0"/>
                    <w:autoSpaceDN w:val="0"/>
                    <w:jc w:val="center"/>
                    <w:rPr>
                      <w:rFonts w:hint="eastAsia"/>
                      <w:color w:val="000000"/>
                      <w:sz w:val="21"/>
                      <w:szCs w:val="21"/>
                    </w:rPr>
                  </w:pPr>
                </w:p>
              </w:tc>
              <w:tc>
                <w:tcPr>
                  <w:tcW w:w="2048" w:type="pct"/>
                  <w:noWrap w:val="0"/>
                  <w:vAlign w:val="center"/>
                </w:tcPr>
                <w:p w14:paraId="34A865CC">
                  <w:pPr>
                    <w:widowControl/>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利旧原萃取精馏塔塔顶水冷器、回流及塔底再沸系统。</w:t>
                  </w:r>
                </w:p>
              </w:tc>
              <w:tc>
                <w:tcPr>
                  <w:tcW w:w="367" w:type="pct"/>
                  <w:tcBorders>
                    <w:right w:val="single" w:color="auto" w:sz="4" w:space="0"/>
                  </w:tcBorders>
                  <w:noWrap w:val="0"/>
                  <w:vAlign w:val="center"/>
                </w:tcPr>
                <w:p w14:paraId="0D55CED7">
                  <w:pPr>
                    <w:autoSpaceDE w:val="0"/>
                    <w:autoSpaceDN w:val="0"/>
                    <w:jc w:val="center"/>
                    <w:rPr>
                      <w:rFonts w:hint="eastAsia" w:eastAsia="宋体"/>
                      <w:color w:val="000000"/>
                      <w:sz w:val="21"/>
                      <w:szCs w:val="21"/>
                      <w:lang w:eastAsia="zh-CN"/>
                    </w:rPr>
                  </w:pPr>
                  <w:r>
                    <w:rPr>
                      <w:rFonts w:hint="eastAsia"/>
                      <w:color w:val="000000"/>
                      <w:sz w:val="21"/>
                      <w:szCs w:val="21"/>
                      <w:lang w:val="en-US" w:eastAsia="zh-CN"/>
                    </w:rPr>
                    <w:t>依托</w:t>
                  </w:r>
                </w:p>
              </w:tc>
            </w:tr>
            <w:tr w14:paraId="41A2E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27" w:hRule="atLeast"/>
                <w:jc w:val="center"/>
              </w:trPr>
              <w:tc>
                <w:tcPr>
                  <w:tcW w:w="191" w:type="pct"/>
                  <w:vMerge w:val="continue"/>
                  <w:tcBorders>
                    <w:left w:val="single" w:color="auto" w:sz="4" w:space="0"/>
                  </w:tcBorders>
                  <w:noWrap w:val="0"/>
                  <w:vAlign w:val="center"/>
                </w:tcPr>
                <w:p w14:paraId="03889062">
                  <w:pPr>
                    <w:autoSpaceDE w:val="0"/>
                    <w:autoSpaceDN w:val="0"/>
                    <w:jc w:val="center"/>
                    <w:rPr>
                      <w:sz w:val="21"/>
                      <w:szCs w:val="21"/>
                    </w:rPr>
                  </w:pPr>
                </w:p>
              </w:tc>
              <w:tc>
                <w:tcPr>
                  <w:tcW w:w="872" w:type="pct"/>
                  <w:gridSpan w:val="3"/>
                  <w:vMerge w:val="restart"/>
                  <w:noWrap w:val="0"/>
                  <w:vAlign w:val="center"/>
                </w:tcPr>
                <w:p w14:paraId="3482B720">
                  <w:pPr>
                    <w:autoSpaceDE w:val="0"/>
                    <w:autoSpaceDN w:val="0"/>
                    <w:jc w:val="center"/>
                    <w:rPr>
                      <w:rFonts w:hint="default" w:eastAsia="宋体"/>
                      <w:sz w:val="21"/>
                      <w:szCs w:val="21"/>
                      <w:lang w:val="en-US" w:eastAsia="zh-CN"/>
                    </w:rPr>
                  </w:pPr>
                  <w:r>
                    <w:rPr>
                      <w:rFonts w:hint="eastAsia"/>
                      <w:sz w:val="21"/>
                      <w:szCs w:val="21"/>
                      <w:lang w:val="en-US" w:eastAsia="zh-CN"/>
                    </w:rPr>
                    <w:t>C5精馏塔系统</w:t>
                  </w:r>
                </w:p>
              </w:tc>
              <w:tc>
                <w:tcPr>
                  <w:tcW w:w="1520" w:type="pct"/>
                  <w:vMerge w:val="restart"/>
                  <w:noWrap w:val="0"/>
                  <w:vAlign w:val="center"/>
                </w:tcPr>
                <w:p w14:paraId="4725FA60">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1座乙二醇回收塔，塔径1600mm，200℃，0.35MPa。</w:t>
                  </w:r>
                </w:p>
              </w:tc>
              <w:tc>
                <w:tcPr>
                  <w:tcW w:w="2048" w:type="pct"/>
                  <w:noWrap w:val="0"/>
                  <w:vAlign w:val="center"/>
                </w:tcPr>
                <w:p w14:paraId="70BF0F55">
                  <w:pPr>
                    <w:widowControl/>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新增1台C5精馏塔顶回流泵，新增1台C5烷烯烃产品泵，1台C5烷烯烃水冷器。</w:t>
                  </w:r>
                </w:p>
              </w:tc>
              <w:tc>
                <w:tcPr>
                  <w:tcW w:w="367" w:type="pct"/>
                  <w:tcBorders>
                    <w:right w:val="single" w:color="auto" w:sz="4" w:space="0"/>
                  </w:tcBorders>
                  <w:noWrap w:val="0"/>
                  <w:vAlign w:val="center"/>
                </w:tcPr>
                <w:p w14:paraId="6D794B99">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新增</w:t>
                  </w:r>
                </w:p>
              </w:tc>
            </w:tr>
            <w:tr w14:paraId="0A6F1F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191" w:type="pct"/>
                  <w:vMerge w:val="continue"/>
                  <w:tcBorders>
                    <w:left w:val="single" w:color="auto" w:sz="4" w:space="0"/>
                  </w:tcBorders>
                  <w:noWrap w:val="0"/>
                  <w:vAlign w:val="center"/>
                </w:tcPr>
                <w:p w14:paraId="21D5CE03">
                  <w:pPr>
                    <w:autoSpaceDE w:val="0"/>
                    <w:autoSpaceDN w:val="0"/>
                    <w:jc w:val="center"/>
                    <w:rPr>
                      <w:sz w:val="21"/>
                      <w:szCs w:val="21"/>
                    </w:rPr>
                  </w:pPr>
                </w:p>
              </w:tc>
              <w:tc>
                <w:tcPr>
                  <w:tcW w:w="872" w:type="pct"/>
                  <w:gridSpan w:val="3"/>
                  <w:vMerge w:val="continue"/>
                  <w:noWrap w:val="0"/>
                  <w:vAlign w:val="center"/>
                </w:tcPr>
                <w:p w14:paraId="0E181110">
                  <w:pPr>
                    <w:autoSpaceDE w:val="0"/>
                    <w:autoSpaceDN w:val="0"/>
                    <w:jc w:val="center"/>
                    <w:rPr>
                      <w:sz w:val="21"/>
                      <w:szCs w:val="21"/>
                    </w:rPr>
                  </w:pPr>
                </w:p>
              </w:tc>
              <w:tc>
                <w:tcPr>
                  <w:tcW w:w="1520" w:type="pct"/>
                  <w:vMerge w:val="continue"/>
                  <w:noWrap w:val="0"/>
                  <w:vAlign w:val="center"/>
                </w:tcPr>
                <w:p w14:paraId="21E5173D">
                  <w:pPr>
                    <w:autoSpaceDE w:val="0"/>
                    <w:autoSpaceDN w:val="0"/>
                    <w:jc w:val="center"/>
                    <w:rPr>
                      <w:rFonts w:hint="eastAsia"/>
                      <w:color w:val="000000"/>
                      <w:sz w:val="21"/>
                      <w:szCs w:val="21"/>
                    </w:rPr>
                  </w:pPr>
                </w:p>
              </w:tc>
              <w:tc>
                <w:tcPr>
                  <w:tcW w:w="2048" w:type="pct"/>
                  <w:noWrap w:val="0"/>
                  <w:vAlign w:val="center"/>
                </w:tcPr>
                <w:p w14:paraId="108E0289">
                  <w:pPr>
                    <w:widowControl/>
                    <w:jc w:val="center"/>
                    <w:rPr>
                      <w:rFonts w:hint="default" w:eastAsia="宋体"/>
                      <w:color w:val="000000"/>
                      <w:sz w:val="21"/>
                      <w:szCs w:val="21"/>
                      <w:highlight w:val="none"/>
                      <w:lang w:val="en-US" w:eastAsia="zh-CN"/>
                    </w:rPr>
                  </w:pPr>
                  <w:r>
                    <w:rPr>
                      <w:rFonts w:hint="eastAsia"/>
                      <w:color w:val="000000"/>
                      <w:sz w:val="21"/>
                      <w:szCs w:val="21"/>
                      <w:highlight w:val="none"/>
                      <w:lang w:val="en-US" w:eastAsia="zh-CN"/>
                    </w:rPr>
                    <w:t>利旧原乙二醇回收塔、塔顶水冷器、回流系统。</w:t>
                  </w:r>
                </w:p>
              </w:tc>
              <w:tc>
                <w:tcPr>
                  <w:tcW w:w="367" w:type="pct"/>
                  <w:tcBorders>
                    <w:right w:val="single" w:color="auto" w:sz="4" w:space="0"/>
                  </w:tcBorders>
                  <w:noWrap w:val="0"/>
                  <w:vAlign w:val="center"/>
                </w:tcPr>
                <w:p w14:paraId="20A84948">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依托</w:t>
                  </w:r>
                </w:p>
              </w:tc>
            </w:tr>
            <w:tr w14:paraId="1BF23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82" w:hRule="atLeast"/>
                <w:jc w:val="center"/>
              </w:trPr>
              <w:tc>
                <w:tcPr>
                  <w:tcW w:w="191" w:type="pct"/>
                  <w:vMerge w:val="continue"/>
                  <w:tcBorders>
                    <w:left w:val="single" w:color="auto" w:sz="4" w:space="0"/>
                  </w:tcBorders>
                  <w:noWrap w:val="0"/>
                  <w:vAlign w:val="center"/>
                </w:tcPr>
                <w:p w14:paraId="73C08E77">
                  <w:pPr>
                    <w:autoSpaceDE w:val="0"/>
                    <w:autoSpaceDN w:val="0"/>
                    <w:jc w:val="center"/>
                    <w:rPr>
                      <w:sz w:val="21"/>
                      <w:szCs w:val="21"/>
                    </w:rPr>
                  </w:pPr>
                </w:p>
              </w:tc>
              <w:tc>
                <w:tcPr>
                  <w:tcW w:w="872" w:type="pct"/>
                  <w:gridSpan w:val="3"/>
                  <w:vMerge w:val="restart"/>
                  <w:noWrap w:val="0"/>
                  <w:vAlign w:val="center"/>
                </w:tcPr>
                <w:p w14:paraId="15EE7121">
                  <w:pPr>
                    <w:autoSpaceDE w:val="0"/>
                    <w:autoSpaceDN w:val="0"/>
                    <w:jc w:val="center"/>
                    <w:rPr>
                      <w:rFonts w:hint="default" w:eastAsia="宋体"/>
                      <w:sz w:val="21"/>
                      <w:szCs w:val="21"/>
                      <w:lang w:val="en-US" w:eastAsia="zh-CN"/>
                    </w:rPr>
                  </w:pPr>
                  <w:r>
                    <w:rPr>
                      <w:rFonts w:hint="eastAsia"/>
                      <w:sz w:val="21"/>
                      <w:szCs w:val="21"/>
                      <w:lang w:val="en-US" w:eastAsia="zh-CN"/>
                    </w:rPr>
                    <w:t>原料进料系统</w:t>
                  </w:r>
                </w:p>
              </w:tc>
              <w:tc>
                <w:tcPr>
                  <w:tcW w:w="1520" w:type="pct"/>
                  <w:vMerge w:val="restart"/>
                  <w:noWrap w:val="0"/>
                  <w:vAlign w:val="center"/>
                </w:tcPr>
                <w:p w14:paraId="031912B8">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原料进料系统</w:t>
                  </w:r>
                </w:p>
              </w:tc>
              <w:tc>
                <w:tcPr>
                  <w:tcW w:w="2048" w:type="pct"/>
                  <w:noWrap w:val="0"/>
                  <w:vAlign w:val="center"/>
                </w:tcPr>
                <w:p w14:paraId="3B2883B3">
                  <w:pPr>
                    <w:widowControl/>
                    <w:jc w:val="center"/>
                    <w:rPr>
                      <w:rFonts w:hint="default"/>
                      <w:color w:val="000000"/>
                      <w:sz w:val="21"/>
                      <w:szCs w:val="21"/>
                      <w:highlight w:val="none"/>
                      <w:lang w:val="en-US" w:eastAsia="zh-CN"/>
                    </w:rPr>
                  </w:pPr>
                  <w:r>
                    <w:rPr>
                      <w:rFonts w:hint="eastAsia"/>
                      <w:color w:val="000000"/>
                      <w:sz w:val="21"/>
                      <w:szCs w:val="21"/>
                      <w:highlight w:val="none"/>
                      <w:lang w:val="en-US" w:eastAsia="zh-CN"/>
                    </w:rPr>
                    <w:t>新增1台原料油缓冲罐（Φ2400*6800），新增2台脱重塔进料泵。</w:t>
                  </w:r>
                </w:p>
              </w:tc>
              <w:tc>
                <w:tcPr>
                  <w:tcW w:w="367" w:type="pct"/>
                  <w:tcBorders>
                    <w:right w:val="single" w:color="auto" w:sz="4" w:space="0"/>
                  </w:tcBorders>
                  <w:noWrap w:val="0"/>
                  <w:vAlign w:val="center"/>
                </w:tcPr>
                <w:p w14:paraId="70F500CA">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新增</w:t>
                  </w:r>
                </w:p>
              </w:tc>
            </w:tr>
            <w:tr w14:paraId="53C2BF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191" w:type="pct"/>
                  <w:vMerge w:val="continue"/>
                  <w:tcBorders>
                    <w:left w:val="single" w:color="auto" w:sz="4" w:space="0"/>
                  </w:tcBorders>
                  <w:noWrap w:val="0"/>
                  <w:vAlign w:val="center"/>
                </w:tcPr>
                <w:p w14:paraId="1E66DF56">
                  <w:pPr>
                    <w:autoSpaceDE w:val="0"/>
                    <w:autoSpaceDN w:val="0"/>
                    <w:jc w:val="center"/>
                    <w:rPr>
                      <w:sz w:val="21"/>
                      <w:szCs w:val="21"/>
                    </w:rPr>
                  </w:pPr>
                </w:p>
              </w:tc>
              <w:tc>
                <w:tcPr>
                  <w:tcW w:w="872" w:type="pct"/>
                  <w:gridSpan w:val="3"/>
                  <w:vMerge w:val="continue"/>
                  <w:noWrap w:val="0"/>
                  <w:vAlign w:val="center"/>
                </w:tcPr>
                <w:p w14:paraId="652A699F">
                  <w:pPr>
                    <w:autoSpaceDE w:val="0"/>
                    <w:autoSpaceDN w:val="0"/>
                    <w:jc w:val="center"/>
                    <w:rPr>
                      <w:sz w:val="21"/>
                      <w:szCs w:val="21"/>
                    </w:rPr>
                  </w:pPr>
                </w:p>
              </w:tc>
              <w:tc>
                <w:tcPr>
                  <w:tcW w:w="1520" w:type="pct"/>
                  <w:vMerge w:val="continue"/>
                  <w:noWrap w:val="0"/>
                  <w:vAlign w:val="center"/>
                </w:tcPr>
                <w:p w14:paraId="10A2A295">
                  <w:pPr>
                    <w:autoSpaceDE w:val="0"/>
                    <w:autoSpaceDN w:val="0"/>
                    <w:jc w:val="center"/>
                    <w:rPr>
                      <w:rFonts w:hint="eastAsia"/>
                      <w:color w:val="000000"/>
                      <w:sz w:val="21"/>
                      <w:szCs w:val="21"/>
                    </w:rPr>
                  </w:pPr>
                </w:p>
              </w:tc>
              <w:tc>
                <w:tcPr>
                  <w:tcW w:w="2048" w:type="pct"/>
                  <w:noWrap w:val="0"/>
                  <w:vAlign w:val="center"/>
                </w:tcPr>
                <w:p w14:paraId="538F95D2">
                  <w:pPr>
                    <w:widowControl/>
                    <w:jc w:val="center"/>
                    <w:rPr>
                      <w:rFonts w:hint="default"/>
                      <w:color w:val="000000"/>
                      <w:sz w:val="21"/>
                      <w:szCs w:val="21"/>
                      <w:highlight w:val="none"/>
                      <w:lang w:val="en-US" w:eastAsia="zh-CN"/>
                    </w:rPr>
                  </w:pPr>
                  <w:r>
                    <w:rPr>
                      <w:rFonts w:hint="eastAsia"/>
                      <w:color w:val="000000"/>
                      <w:sz w:val="21"/>
                      <w:szCs w:val="21"/>
                      <w:highlight w:val="none"/>
                      <w:lang w:val="en-US" w:eastAsia="zh-CN"/>
                    </w:rPr>
                    <w:t>利旧部分管道</w:t>
                  </w:r>
                </w:p>
              </w:tc>
              <w:tc>
                <w:tcPr>
                  <w:tcW w:w="367" w:type="pct"/>
                  <w:tcBorders>
                    <w:right w:val="single" w:color="auto" w:sz="4" w:space="0"/>
                  </w:tcBorders>
                  <w:noWrap w:val="0"/>
                  <w:vAlign w:val="center"/>
                </w:tcPr>
                <w:p w14:paraId="0F650A2D">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依托</w:t>
                  </w:r>
                </w:p>
              </w:tc>
            </w:tr>
            <w:tr w14:paraId="6E19E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24" w:hRule="atLeast"/>
                <w:jc w:val="center"/>
              </w:trPr>
              <w:tc>
                <w:tcPr>
                  <w:tcW w:w="191" w:type="pct"/>
                  <w:vMerge w:val="continue"/>
                  <w:tcBorders>
                    <w:left w:val="single" w:color="auto" w:sz="4" w:space="0"/>
                  </w:tcBorders>
                  <w:noWrap w:val="0"/>
                  <w:vAlign w:val="center"/>
                </w:tcPr>
                <w:p w14:paraId="011F4408">
                  <w:pPr>
                    <w:autoSpaceDE w:val="0"/>
                    <w:autoSpaceDN w:val="0"/>
                    <w:jc w:val="center"/>
                    <w:rPr>
                      <w:sz w:val="21"/>
                      <w:szCs w:val="21"/>
                    </w:rPr>
                  </w:pPr>
                </w:p>
              </w:tc>
              <w:tc>
                <w:tcPr>
                  <w:tcW w:w="872" w:type="pct"/>
                  <w:gridSpan w:val="3"/>
                  <w:noWrap w:val="0"/>
                  <w:vAlign w:val="center"/>
                </w:tcPr>
                <w:p w14:paraId="7FB711C0">
                  <w:pPr>
                    <w:autoSpaceDE w:val="0"/>
                    <w:autoSpaceDN w:val="0"/>
                    <w:jc w:val="center"/>
                    <w:rPr>
                      <w:rFonts w:hint="default" w:eastAsia="宋体"/>
                      <w:sz w:val="21"/>
                      <w:szCs w:val="21"/>
                      <w:lang w:val="en-US" w:eastAsia="zh-CN"/>
                    </w:rPr>
                  </w:pPr>
                  <w:r>
                    <w:rPr>
                      <w:rFonts w:hint="eastAsia"/>
                      <w:sz w:val="21"/>
                      <w:szCs w:val="21"/>
                      <w:lang w:val="en-US" w:eastAsia="zh-CN"/>
                    </w:rPr>
                    <w:t>水洗</w:t>
                  </w:r>
                </w:p>
              </w:tc>
              <w:tc>
                <w:tcPr>
                  <w:tcW w:w="1520" w:type="pct"/>
                  <w:noWrap w:val="0"/>
                  <w:vAlign w:val="center"/>
                </w:tcPr>
                <w:p w14:paraId="07B03B66">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w:t>
                  </w:r>
                </w:p>
              </w:tc>
              <w:tc>
                <w:tcPr>
                  <w:tcW w:w="2048" w:type="pct"/>
                  <w:noWrap w:val="0"/>
                  <w:vAlign w:val="center"/>
                </w:tcPr>
                <w:p w14:paraId="2221E458">
                  <w:pPr>
                    <w:widowControl/>
                    <w:jc w:val="center"/>
                    <w:rPr>
                      <w:rFonts w:hint="default"/>
                      <w:color w:val="000000"/>
                      <w:sz w:val="21"/>
                      <w:szCs w:val="21"/>
                      <w:highlight w:val="none"/>
                      <w:lang w:val="en-US" w:eastAsia="zh-CN"/>
                    </w:rPr>
                  </w:pPr>
                  <w:r>
                    <w:rPr>
                      <w:rFonts w:hint="eastAsia"/>
                      <w:color w:val="000000"/>
                      <w:sz w:val="21"/>
                      <w:szCs w:val="21"/>
                      <w:highlight w:val="none"/>
                      <w:lang w:val="en-US" w:eastAsia="zh-CN"/>
                    </w:rPr>
                    <w:t>新建水洗沉降罐（</w:t>
                  </w:r>
                  <w:r>
                    <w:rPr>
                      <w:rFonts w:hint="eastAsia" w:ascii="Times New Roman" w:hAnsi="Times New Roman" w:eastAsia="宋体" w:cs="Times New Roman"/>
                      <w:b w:val="0"/>
                      <w:color w:val="auto"/>
                      <w:kern w:val="0"/>
                      <w:sz w:val="21"/>
                      <w:szCs w:val="21"/>
                      <w:lang w:val="en-US" w:bidi="zh-CN"/>
                    </w:rPr>
                    <w:t>Φ1900*1800</w:t>
                  </w:r>
                  <w:r>
                    <w:rPr>
                      <w:rFonts w:hint="eastAsia"/>
                      <w:color w:val="000000"/>
                      <w:sz w:val="21"/>
                      <w:szCs w:val="21"/>
                      <w:highlight w:val="none"/>
                      <w:lang w:val="en-US" w:eastAsia="zh-CN"/>
                    </w:rPr>
                    <w:t>）及配套采样器和泵类。</w:t>
                  </w:r>
                </w:p>
              </w:tc>
              <w:tc>
                <w:tcPr>
                  <w:tcW w:w="367" w:type="pct"/>
                  <w:tcBorders>
                    <w:right w:val="single" w:color="auto" w:sz="4" w:space="0"/>
                  </w:tcBorders>
                  <w:noWrap w:val="0"/>
                  <w:vAlign w:val="center"/>
                </w:tcPr>
                <w:p w14:paraId="62DF1B49">
                  <w:pPr>
                    <w:autoSpaceDE w:val="0"/>
                    <w:autoSpaceDN w:val="0"/>
                    <w:jc w:val="center"/>
                    <w:rPr>
                      <w:rFonts w:hint="default"/>
                      <w:color w:val="000000"/>
                      <w:sz w:val="21"/>
                      <w:szCs w:val="21"/>
                      <w:lang w:val="en-US" w:eastAsia="zh-CN"/>
                    </w:rPr>
                  </w:pPr>
                  <w:r>
                    <w:rPr>
                      <w:rFonts w:hint="eastAsia"/>
                      <w:color w:val="000000"/>
                      <w:sz w:val="21"/>
                      <w:szCs w:val="21"/>
                      <w:lang w:val="en-US" w:eastAsia="zh-CN"/>
                    </w:rPr>
                    <w:t>新建</w:t>
                  </w:r>
                </w:p>
              </w:tc>
            </w:tr>
            <w:tr w14:paraId="5296C8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1" w:type="pct"/>
                  <w:vMerge w:val="restart"/>
                  <w:tcBorders>
                    <w:left w:val="single" w:color="auto" w:sz="4" w:space="0"/>
                  </w:tcBorders>
                  <w:noWrap w:val="0"/>
                  <w:vAlign w:val="center"/>
                </w:tcPr>
                <w:p w14:paraId="0836129F">
                  <w:pPr>
                    <w:autoSpaceDE w:val="0"/>
                    <w:autoSpaceDN w:val="0"/>
                    <w:jc w:val="center"/>
                    <w:rPr>
                      <w:color w:val="000000"/>
                      <w:sz w:val="21"/>
                      <w:szCs w:val="21"/>
                    </w:rPr>
                  </w:pPr>
                  <w:r>
                    <w:rPr>
                      <w:rFonts w:hint="eastAsia"/>
                      <w:color w:val="000000"/>
                      <w:sz w:val="21"/>
                      <w:szCs w:val="21"/>
                    </w:rPr>
                    <w:t>储运</w:t>
                  </w:r>
                  <w:r>
                    <w:rPr>
                      <w:color w:val="000000"/>
                      <w:sz w:val="21"/>
                      <w:szCs w:val="21"/>
                    </w:rPr>
                    <w:t>工程</w:t>
                  </w:r>
                </w:p>
              </w:tc>
              <w:tc>
                <w:tcPr>
                  <w:tcW w:w="872" w:type="pct"/>
                  <w:gridSpan w:val="3"/>
                  <w:noWrap w:val="0"/>
                  <w:vAlign w:val="center"/>
                </w:tcPr>
                <w:p w14:paraId="74AC0436">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产品运输系统</w:t>
                  </w:r>
                </w:p>
              </w:tc>
              <w:tc>
                <w:tcPr>
                  <w:tcW w:w="1520" w:type="pct"/>
                  <w:noWrap w:val="0"/>
                  <w:vAlign w:val="center"/>
                </w:tcPr>
                <w:p w14:paraId="4F614FEE">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w:t>
                  </w:r>
                </w:p>
              </w:tc>
              <w:tc>
                <w:tcPr>
                  <w:tcW w:w="2048" w:type="pct"/>
                  <w:noWrap w:val="0"/>
                  <w:vAlign w:val="center"/>
                </w:tcPr>
                <w:p w14:paraId="21FF0EB7">
                  <w:pPr>
                    <w:autoSpaceDE w:val="0"/>
                    <w:autoSpaceDN w:val="0"/>
                    <w:jc w:val="center"/>
                    <w:rPr>
                      <w:rFonts w:hint="default" w:eastAsia="宋体"/>
                      <w:color w:val="000000"/>
                      <w:sz w:val="21"/>
                      <w:szCs w:val="21"/>
                      <w:lang w:val="en-US" w:eastAsia="zh-CN"/>
                    </w:rPr>
                  </w:pPr>
                  <w:r>
                    <w:rPr>
                      <w:rFonts w:hint="eastAsia" w:eastAsia="宋体"/>
                      <w:color w:val="000000"/>
                      <w:sz w:val="21"/>
                      <w:szCs w:val="21"/>
                      <w:lang w:val="en-US" w:eastAsia="zh-CN"/>
                    </w:rPr>
                    <w:t>新建两条产品运输管线，C5管线长1km，送至本项目厂界，厂界外管线不属于本次评价内容，C6+管线长300m</w:t>
                  </w:r>
                  <w:r>
                    <w:rPr>
                      <w:rFonts w:hint="eastAsia"/>
                      <w:lang w:eastAsia="zh-CN"/>
                    </w:rPr>
                    <w:t>，</w:t>
                  </w:r>
                  <w:r>
                    <w:rPr>
                      <w:rFonts w:hint="eastAsia"/>
                      <w:lang w:val="en-US" w:eastAsia="zh-CN"/>
                    </w:rPr>
                    <w:t>送至厂区现有加氢精制单元。</w:t>
                  </w:r>
                </w:p>
              </w:tc>
              <w:tc>
                <w:tcPr>
                  <w:tcW w:w="367" w:type="pct"/>
                  <w:tcBorders>
                    <w:right w:val="single" w:color="auto" w:sz="4" w:space="0"/>
                  </w:tcBorders>
                  <w:noWrap w:val="0"/>
                  <w:vAlign w:val="center"/>
                </w:tcPr>
                <w:p w14:paraId="753823C9">
                  <w:pPr>
                    <w:autoSpaceDE w:val="0"/>
                    <w:autoSpaceDN w:val="0"/>
                    <w:jc w:val="center"/>
                    <w:rPr>
                      <w:rFonts w:hint="eastAsia" w:eastAsia="宋体"/>
                      <w:color w:val="000000"/>
                      <w:sz w:val="21"/>
                      <w:szCs w:val="21"/>
                      <w:lang w:eastAsia="zh-CN"/>
                    </w:rPr>
                  </w:pPr>
                  <w:r>
                    <w:rPr>
                      <w:rFonts w:hint="eastAsia"/>
                      <w:color w:val="000000"/>
                      <w:sz w:val="21"/>
                      <w:szCs w:val="21"/>
                      <w:lang w:val="en-US" w:eastAsia="zh-CN"/>
                    </w:rPr>
                    <w:t>新建</w:t>
                  </w:r>
                </w:p>
              </w:tc>
            </w:tr>
            <w:tr w14:paraId="7CDD34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1" w:type="pct"/>
                  <w:vMerge w:val="continue"/>
                  <w:tcBorders>
                    <w:left w:val="single" w:color="auto" w:sz="4" w:space="0"/>
                  </w:tcBorders>
                  <w:noWrap w:val="0"/>
                  <w:vAlign w:val="center"/>
                </w:tcPr>
                <w:p w14:paraId="4B869EF7">
                  <w:pPr>
                    <w:autoSpaceDE w:val="0"/>
                    <w:autoSpaceDN w:val="0"/>
                    <w:jc w:val="center"/>
                    <w:rPr>
                      <w:color w:val="000000"/>
                      <w:sz w:val="21"/>
                      <w:szCs w:val="21"/>
                    </w:rPr>
                  </w:pPr>
                </w:p>
              </w:tc>
              <w:tc>
                <w:tcPr>
                  <w:tcW w:w="872" w:type="pct"/>
                  <w:gridSpan w:val="3"/>
                  <w:noWrap w:val="0"/>
                  <w:vAlign w:val="center"/>
                </w:tcPr>
                <w:p w14:paraId="2ED6008B">
                  <w:pPr>
                    <w:autoSpaceDE w:val="0"/>
                    <w:autoSpaceDN w:val="0"/>
                    <w:jc w:val="center"/>
                    <w:rPr>
                      <w:rFonts w:hint="default"/>
                      <w:color w:val="000000"/>
                      <w:sz w:val="21"/>
                      <w:szCs w:val="21"/>
                      <w:lang w:val="en-US" w:eastAsia="zh-CN"/>
                    </w:rPr>
                  </w:pPr>
                  <w:r>
                    <w:rPr>
                      <w:rFonts w:hint="eastAsia"/>
                      <w:color w:val="000000"/>
                      <w:sz w:val="21"/>
                      <w:szCs w:val="21"/>
                      <w:lang w:val="en-US" w:eastAsia="zh-CN"/>
                    </w:rPr>
                    <w:t>储罐</w:t>
                  </w:r>
                </w:p>
              </w:tc>
              <w:tc>
                <w:tcPr>
                  <w:tcW w:w="1520" w:type="pct"/>
                  <w:noWrap w:val="0"/>
                  <w:vAlign w:val="center"/>
                </w:tcPr>
                <w:p w14:paraId="35CCAAAD">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w:t>
                  </w:r>
                </w:p>
              </w:tc>
              <w:tc>
                <w:tcPr>
                  <w:tcW w:w="2048" w:type="pct"/>
                  <w:noWrap w:val="0"/>
                  <w:vAlign w:val="center"/>
                </w:tcPr>
                <w:p w14:paraId="24679F69">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C4及C4</w:t>
                  </w:r>
                  <w:r>
                    <w:rPr>
                      <w:rFonts w:hint="eastAsia"/>
                      <w:color w:val="000000"/>
                      <w:sz w:val="21"/>
                      <w:szCs w:val="21"/>
                      <w:vertAlign w:val="superscript"/>
                      <w:lang w:val="en-US" w:eastAsia="zh-CN"/>
                    </w:rPr>
                    <w:t>-</w:t>
                  </w:r>
                  <w:r>
                    <w:rPr>
                      <w:rFonts w:hint="eastAsia"/>
                      <w:color w:val="000000"/>
                      <w:sz w:val="21"/>
                      <w:szCs w:val="21"/>
                      <w:lang w:val="en-US" w:eastAsia="zh-CN"/>
                    </w:rPr>
                    <w:t>烷烯烃依托厂区闲置储罐储存，定期外售。</w:t>
                  </w:r>
                </w:p>
              </w:tc>
              <w:tc>
                <w:tcPr>
                  <w:tcW w:w="367" w:type="pct"/>
                  <w:tcBorders>
                    <w:right w:val="single" w:color="auto" w:sz="4" w:space="0"/>
                  </w:tcBorders>
                  <w:noWrap w:val="0"/>
                  <w:vAlign w:val="center"/>
                </w:tcPr>
                <w:p w14:paraId="42AF8F90">
                  <w:pPr>
                    <w:autoSpaceDE w:val="0"/>
                    <w:autoSpaceDN w:val="0"/>
                    <w:jc w:val="center"/>
                    <w:rPr>
                      <w:rFonts w:hint="default"/>
                      <w:color w:val="000000"/>
                      <w:sz w:val="21"/>
                      <w:szCs w:val="21"/>
                      <w:lang w:val="en-US" w:eastAsia="zh-CN"/>
                    </w:rPr>
                  </w:pPr>
                  <w:r>
                    <w:rPr>
                      <w:rFonts w:hint="eastAsia"/>
                      <w:color w:val="000000"/>
                      <w:sz w:val="21"/>
                      <w:szCs w:val="21"/>
                      <w:lang w:val="en-US" w:eastAsia="zh-CN"/>
                    </w:rPr>
                    <w:t>依托</w:t>
                  </w:r>
                </w:p>
              </w:tc>
            </w:tr>
            <w:tr w14:paraId="1A4A8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191" w:type="pct"/>
                  <w:vMerge w:val="restart"/>
                  <w:tcBorders>
                    <w:left w:val="single" w:color="auto" w:sz="4" w:space="0"/>
                  </w:tcBorders>
                  <w:noWrap w:val="0"/>
                  <w:vAlign w:val="center"/>
                </w:tcPr>
                <w:p w14:paraId="029E48E3">
                  <w:pPr>
                    <w:autoSpaceDE w:val="0"/>
                    <w:autoSpaceDN w:val="0"/>
                    <w:jc w:val="center"/>
                    <w:rPr>
                      <w:rFonts w:hint="eastAsia"/>
                      <w:color w:val="000000"/>
                      <w:sz w:val="21"/>
                      <w:szCs w:val="21"/>
                    </w:rPr>
                  </w:pPr>
                  <w:r>
                    <w:rPr>
                      <w:rFonts w:hint="eastAsia"/>
                      <w:color w:val="000000"/>
                      <w:sz w:val="21"/>
                      <w:szCs w:val="21"/>
                    </w:rPr>
                    <w:t>辅助工程</w:t>
                  </w:r>
                </w:p>
              </w:tc>
              <w:tc>
                <w:tcPr>
                  <w:tcW w:w="872" w:type="pct"/>
                  <w:gridSpan w:val="3"/>
                  <w:noWrap w:val="0"/>
                  <w:vAlign w:val="center"/>
                </w:tcPr>
                <w:p w14:paraId="17C37E50">
                  <w:pPr>
                    <w:adjustRightInd w:val="0"/>
                    <w:snapToGrid w:val="0"/>
                    <w:jc w:val="center"/>
                    <w:textAlignment w:val="center"/>
                    <w:rPr>
                      <w:color w:val="000000"/>
                      <w:sz w:val="21"/>
                      <w:szCs w:val="21"/>
                    </w:rPr>
                  </w:pPr>
                  <w:r>
                    <w:rPr>
                      <w:rFonts w:hint="eastAsia"/>
                      <w:kern w:val="0"/>
                      <w:sz w:val="21"/>
                      <w:szCs w:val="21"/>
                    </w:rPr>
                    <w:t>自动控制系统</w:t>
                  </w:r>
                </w:p>
              </w:tc>
              <w:tc>
                <w:tcPr>
                  <w:tcW w:w="1520" w:type="pct"/>
                  <w:noWrap w:val="0"/>
                  <w:vAlign w:val="center"/>
                </w:tcPr>
                <w:p w14:paraId="42811A3F">
                  <w:pPr>
                    <w:adjustRightInd w:val="0"/>
                    <w:snapToGrid w:val="0"/>
                    <w:jc w:val="center"/>
                    <w:textAlignment w:val="center"/>
                    <w:rPr>
                      <w:rFonts w:ascii="Calibri" w:hAnsi="Calibri"/>
                      <w:kern w:val="0"/>
                      <w:sz w:val="21"/>
                      <w:szCs w:val="21"/>
                    </w:rPr>
                  </w:pPr>
                  <w:r>
                    <w:rPr>
                      <w:rFonts w:hint="eastAsia"/>
                      <w:kern w:val="0"/>
                      <w:sz w:val="21"/>
                      <w:szCs w:val="21"/>
                    </w:rPr>
                    <w:t>已建控制室一间，占地面积306m</w:t>
                  </w:r>
                  <w:r>
                    <w:rPr>
                      <w:rFonts w:hint="eastAsia"/>
                      <w:kern w:val="0"/>
                      <w:sz w:val="21"/>
                      <w:szCs w:val="21"/>
                      <w:vertAlign w:val="superscript"/>
                    </w:rPr>
                    <w:t>2</w:t>
                  </w:r>
                  <w:r>
                    <w:rPr>
                      <w:rFonts w:hint="eastAsia"/>
                      <w:color w:val="000000"/>
                      <w:sz w:val="21"/>
                      <w:szCs w:val="21"/>
                      <w:lang w:val="en-US" w:eastAsia="zh-CN"/>
                    </w:rPr>
                    <w:t>。</w:t>
                  </w:r>
                </w:p>
              </w:tc>
              <w:tc>
                <w:tcPr>
                  <w:tcW w:w="2048" w:type="pct"/>
                  <w:noWrap w:val="0"/>
                  <w:vAlign w:val="center"/>
                </w:tcPr>
                <w:p w14:paraId="2EBE4C5F">
                  <w:pPr>
                    <w:autoSpaceDE w:val="0"/>
                    <w:autoSpaceDN w:val="0"/>
                    <w:jc w:val="center"/>
                    <w:rPr>
                      <w:rFonts w:hint="eastAsia" w:eastAsia="宋体"/>
                      <w:color w:val="000000"/>
                      <w:sz w:val="21"/>
                      <w:szCs w:val="21"/>
                      <w:lang w:eastAsia="zh-CN"/>
                    </w:rPr>
                  </w:pPr>
                  <w:r>
                    <w:rPr>
                      <w:rFonts w:hint="eastAsia"/>
                      <w:color w:val="000000"/>
                      <w:sz w:val="21"/>
                      <w:szCs w:val="21"/>
                    </w:rPr>
                    <w:t>依托已建</w:t>
                  </w:r>
                  <w:r>
                    <w:rPr>
                      <w:rFonts w:hint="eastAsia"/>
                      <w:kern w:val="0"/>
                      <w:sz w:val="21"/>
                      <w:szCs w:val="21"/>
                    </w:rPr>
                    <w:t>控制室</w:t>
                  </w:r>
                  <w:r>
                    <w:rPr>
                      <w:rFonts w:hint="eastAsia"/>
                      <w:kern w:val="0"/>
                      <w:sz w:val="21"/>
                      <w:szCs w:val="21"/>
                      <w:lang w:eastAsia="zh-CN"/>
                    </w:rPr>
                    <w:t>。</w:t>
                  </w:r>
                </w:p>
              </w:tc>
              <w:tc>
                <w:tcPr>
                  <w:tcW w:w="367" w:type="pct"/>
                  <w:vMerge w:val="restart"/>
                  <w:tcBorders>
                    <w:right w:val="single" w:color="auto" w:sz="4" w:space="0"/>
                  </w:tcBorders>
                  <w:noWrap w:val="0"/>
                  <w:vAlign w:val="center"/>
                </w:tcPr>
                <w:p w14:paraId="2DCB4CED">
                  <w:pPr>
                    <w:autoSpaceDE w:val="0"/>
                    <w:autoSpaceDN w:val="0"/>
                    <w:jc w:val="center"/>
                    <w:rPr>
                      <w:rFonts w:hint="eastAsia"/>
                      <w:color w:val="000000"/>
                      <w:sz w:val="21"/>
                      <w:szCs w:val="21"/>
                    </w:rPr>
                  </w:pPr>
                  <w:r>
                    <w:rPr>
                      <w:rFonts w:hint="eastAsia"/>
                      <w:color w:val="000000"/>
                      <w:sz w:val="21"/>
                      <w:szCs w:val="21"/>
                    </w:rPr>
                    <w:t>依托</w:t>
                  </w:r>
                </w:p>
              </w:tc>
            </w:tr>
            <w:tr w14:paraId="663E1C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191" w:type="pct"/>
                  <w:vMerge w:val="continue"/>
                  <w:tcBorders>
                    <w:left w:val="single" w:color="auto" w:sz="4" w:space="0"/>
                  </w:tcBorders>
                  <w:noWrap w:val="0"/>
                  <w:vAlign w:val="center"/>
                </w:tcPr>
                <w:p w14:paraId="542B2C5C">
                  <w:pPr>
                    <w:autoSpaceDE w:val="0"/>
                    <w:autoSpaceDN w:val="0"/>
                    <w:jc w:val="center"/>
                    <w:rPr>
                      <w:sz w:val="21"/>
                      <w:szCs w:val="21"/>
                    </w:rPr>
                  </w:pPr>
                </w:p>
              </w:tc>
              <w:tc>
                <w:tcPr>
                  <w:tcW w:w="872" w:type="pct"/>
                  <w:gridSpan w:val="3"/>
                  <w:noWrap w:val="0"/>
                  <w:vAlign w:val="center"/>
                </w:tcPr>
                <w:p w14:paraId="0C49B820">
                  <w:pPr>
                    <w:adjustRightInd w:val="0"/>
                    <w:snapToGrid w:val="0"/>
                    <w:jc w:val="center"/>
                    <w:textAlignment w:val="center"/>
                    <w:rPr>
                      <w:color w:val="000000"/>
                      <w:sz w:val="21"/>
                      <w:szCs w:val="21"/>
                    </w:rPr>
                  </w:pPr>
                  <w:r>
                    <w:rPr>
                      <w:rFonts w:hint="eastAsia"/>
                      <w:kern w:val="0"/>
                      <w:sz w:val="21"/>
                      <w:szCs w:val="21"/>
                    </w:rPr>
                    <w:t>变配电室</w:t>
                  </w:r>
                </w:p>
              </w:tc>
              <w:tc>
                <w:tcPr>
                  <w:tcW w:w="1520" w:type="pct"/>
                  <w:noWrap w:val="0"/>
                  <w:vAlign w:val="center"/>
                </w:tcPr>
                <w:p w14:paraId="3015785F">
                  <w:pPr>
                    <w:adjustRightInd w:val="0"/>
                    <w:snapToGrid w:val="0"/>
                    <w:jc w:val="center"/>
                    <w:textAlignment w:val="center"/>
                    <w:rPr>
                      <w:rFonts w:hint="eastAsia" w:ascii="Calibri" w:hAnsi="Calibri" w:eastAsia="宋体"/>
                      <w:kern w:val="0"/>
                      <w:sz w:val="21"/>
                      <w:szCs w:val="21"/>
                      <w:lang w:eastAsia="zh-CN"/>
                    </w:rPr>
                  </w:pPr>
                  <w:r>
                    <w:rPr>
                      <w:rFonts w:hint="eastAsia"/>
                      <w:kern w:val="0"/>
                      <w:sz w:val="21"/>
                      <w:szCs w:val="21"/>
                    </w:rPr>
                    <w:t>已建变配电室一间，占地面积340m</w:t>
                  </w:r>
                  <w:r>
                    <w:rPr>
                      <w:rFonts w:hint="eastAsia"/>
                      <w:kern w:val="0"/>
                      <w:sz w:val="21"/>
                      <w:szCs w:val="21"/>
                      <w:vertAlign w:val="superscript"/>
                    </w:rPr>
                    <w:t>2</w:t>
                  </w:r>
                  <w:r>
                    <w:rPr>
                      <w:rFonts w:hint="eastAsia"/>
                      <w:color w:val="000000"/>
                      <w:sz w:val="21"/>
                      <w:szCs w:val="21"/>
                      <w:lang w:val="en-US" w:eastAsia="zh-CN"/>
                    </w:rPr>
                    <w:t>。</w:t>
                  </w:r>
                </w:p>
              </w:tc>
              <w:tc>
                <w:tcPr>
                  <w:tcW w:w="2048" w:type="pct"/>
                  <w:noWrap w:val="0"/>
                  <w:vAlign w:val="center"/>
                </w:tcPr>
                <w:p w14:paraId="51585F08">
                  <w:pPr>
                    <w:autoSpaceDE w:val="0"/>
                    <w:autoSpaceDN w:val="0"/>
                    <w:jc w:val="center"/>
                    <w:rPr>
                      <w:rFonts w:hint="eastAsia" w:eastAsia="宋体"/>
                      <w:color w:val="000000"/>
                      <w:sz w:val="21"/>
                      <w:szCs w:val="21"/>
                      <w:lang w:eastAsia="zh-CN"/>
                    </w:rPr>
                  </w:pPr>
                  <w:r>
                    <w:rPr>
                      <w:rFonts w:hint="eastAsia"/>
                      <w:color w:val="000000"/>
                      <w:sz w:val="21"/>
                      <w:szCs w:val="21"/>
                    </w:rPr>
                    <w:t>依托已建配电室</w:t>
                  </w:r>
                  <w:r>
                    <w:rPr>
                      <w:rFonts w:hint="eastAsia"/>
                      <w:color w:val="000000"/>
                      <w:sz w:val="21"/>
                      <w:szCs w:val="21"/>
                      <w:lang w:eastAsia="zh-CN"/>
                    </w:rPr>
                    <w:t>。</w:t>
                  </w:r>
                </w:p>
              </w:tc>
              <w:tc>
                <w:tcPr>
                  <w:tcW w:w="367" w:type="pct"/>
                  <w:vMerge w:val="continue"/>
                  <w:tcBorders>
                    <w:right w:val="single" w:color="auto" w:sz="4" w:space="0"/>
                  </w:tcBorders>
                  <w:noWrap w:val="0"/>
                  <w:vAlign w:val="center"/>
                </w:tcPr>
                <w:p w14:paraId="60409097">
                  <w:pPr>
                    <w:autoSpaceDE w:val="0"/>
                    <w:autoSpaceDN w:val="0"/>
                    <w:jc w:val="center"/>
                    <w:rPr>
                      <w:color w:val="000000"/>
                      <w:sz w:val="21"/>
                      <w:szCs w:val="21"/>
                    </w:rPr>
                  </w:pPr>
                </w:p>
              </w:tc>
            </w:tr>
            <w:tr w14:paraId="24C9D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191" w:type="pct"/>
                  <w:vMerge w:val="continue"/>
                  <w:tcBorders>
                    <w:left w:val="single" w:color="auto" w:sz="4" w:space="0"/>
                  </w:tcBorders>
                  <w:noWrap w:val="0"/>
                  <w:vAlign w:val="center"/>
                </w:tcPr>
                <w:p w14:paraId="13D18A3F">
                  <w:pPr>
                    <w:autoSpaceDE w:val="0"/>
                    <w:autoSpaceDN w:val="0"/>
                    <w:jc w:val="center"/>
                    <w:rPr>
                      <w:color w:val="000000"/>
                      <w:sz w:val="21"/>
                      <w:szCs w:val="21"/>
                    </w:rPr>
                  </w:pPr>
                </w:p>
              </w:tc>
              <w:tc>
                <w:tcPr>
                  <w:tcW w:w="872" w:type="pct"/>
                  <w:gridSpan w:val="3"/>
                  <w:noWrap w:val="0"/>
                  <w:vAlign w:val="center"/>
                </w:tcPr>
                <w:p w14:paraId="6C0B2C9C">
                  <w:pPr>
                    <w:adjustRightInd w:val="0"/>
                    <w:snapToGrid w:val="0"/>
                    <w:jc w:val="center"/>
                    <w:textAlignment w:val="center"/>
                    <w:rPr>
                      <w:color w:val="000000"/>
                      <w:sz w:val="21"/>
                      <w:szCs w:val="21"/>
                    </w:rPr>
                  </w:pPr>
                  <w:r>
                    <w:rPr>
                      <w:rFonts w:hint="eastAsia"/>
                      <w:kern w:val="0"/>
                      <w:sz w:val="21"/>
                      <w:szCs w:val="21"/>
                    </w:rPr>
                    <w:t>检修、维修设施</w:t>
                  </w:r>
                </w:p>
              </w:tc>
              <w:tc>
                <w:tcPr>
                  <w:tcW w:w="1520" w:type="pct"/>
                  <w:noWrap w:val="0"/>
                  <w:vAlign w:val="center"/>
                </w:tcPr>
                <w:p w14:paraId="5DCB8A66">
                  <w:pPr>
                    <w:adjustRightInd w:val="0"/>
                    <w:snapToGrid w:val="0"/>
                    <w:jc w:val="center"/>
                    <w:textAlignment w:val="center"/>
                    <w:rPr>
                      <w:rFonts w:hint="eastAsia" w:ascii="Calibri" w:hAnsi="Calibri" w:eastAsia="宋体"/>
                      <w:kern w:val="0"/>
                      <w:sz w:val="21"/>
                      <w:szCs w:val="21"/>
                      <w:lang w:eastAsia="zh-CN"/>
                    </w:rPr>
                  </w:pPr>
                  <w:r>
                    <w:rPr>
                      <w:rFonts w:hint="eastAsia"/>
                      <w:kern w:val="0"/>
                      <w:sz w:val="21"/>
                      <w:szCs w:val="21"/>
                    </w:rPr>
                    <w:t>机修、电工、仪表</w:t>
                  </w:r>
                  <w:r>
                    <w:rPr>
                      <w:rFonts w:hint="eastAsia"/>
                      <w:kern w:val="0"/>
                      <w:sz w:val="21"/>
                      <w:szCs w:val="21"/>
                      <w:lang w:eastAsia="zh-CN"/>
                    </w:rPr>
                    <w:t>等</w:t>
                  </w:r>
                  <w:r>
                    <w:rPr>
                      <w:rFonts w:hint="eastAsia"/>
                      <w:kern w:val="0"/>
                      <w:sz w:val="21"/>
                      <w:szCs w:val="21"/>
                    </w:rPr>
                    <w:t>日常维保由公司负责，装置大修由外委专业队伍承担</w:t>
                  </w:r>
                  <w:r>
                    <w:rPr>
                      <w:rFonts w:hint="eastAsia"/>
                      <w:kern w:val="0"/>
                      <w:sz w:val="21"/>
                      <w:szCs w:val="21"/>
                      <w:lang w:eastAsia="zh-CN"/>
                    </w:rPr>
                    <w:t>。</w:t>
                  </w:r>
                </w:p>
              </w:tc>
              <w:tc>
                <w:tcPr>
                  <w:tcW w:w="2048" w:type="pct"/>
                  <w:noWrap w:val="0"/>
                  <w:vAlign w:val="center"/>
                </w:tcPr>
                <w:p w14:paraId="53702F87">
                  <w:pPr>
                    <w:autoSpaceDE w:val="0"/>
                    <w:autoSpaceDN w:val="0"/>
                    <w:jc w:val="center"/>
                    <w:rPr>
                      <w:rFonts w:hint="eastAsia" w:eastAsia="宋体"/>
                      <w:color w:val="000000"/>
                      <w:sz w:val="21"/>
                      <w:szCs w:val="21"/>
                      <w:lang w:eastAsia="zh-CN"/>
                    </w:rPr>
                  </w:pPr>
                  <w:r>
                    <w:rPr>
                      <w:rFonts w:hint="eastAsia"/>
                      <w:kern w:val="0"/>
                      <w:sz w:val="21"/>
                      <w:szCs w:val="21"/>
                    </w:rPr>
                    <w:t>机修、电工、仪表</w:t>
                  </w:r>
                  <w:r>
                    <w:rPr>
                      <w:rFonts w:hint="eastAsia"/>
                      <w:kern w:val="0"/>
                      <w:sz w:val="21"/>
                      <w:szCs w:val="21"/>
                      <w:lang w:eastAsia="zh-CN"/>
                    </w:rPr>
                    <w:t>等</w:t>
                  </w:r>
                  <w:r>
                    <w:rPr>
                      <w:rFonts w:hint="eastAsia"/>
                      <w:kern w:val="0"/>
                      <w:sz w:val="21"/>
                      <w:szCs w:val="21"/>
                    </w:rPr>
                    <w:t>日常维保由公司负责，装置大修由外委专业队伍承担</w:t>
                  </w:r>
                  <w:r>
                    <w:rPr>
                      <w:rFonts w:hint="eastAsia"/>
                      <w:kern w:val="0"/>
                      <w:sz w:val="21"/>
                      <w:szCs w:val="21"/>
                      <w:lang w:eastAsia="zh-CN"/>
                    </w:rPr>
                    <w:t>。</w:t>
                  </w:r>
                </w:p>
              </w:tc>
              <w:tc>
                <w:tcPr>
                  <w:tcW w:w="367" w:type="pct"/>
                  <w:vMerge w:val="continue"/>
                  <w:tcBorders>
                    <w:right w:val="single" w:color="auto" w:sz="4" w:space="0"/>
                  </w:tcBorders>
                  <w:noWrap w:val="0"/>
                  <w:vAlign w:val="center"/>
                </w:tcPr>
                <w:p w14:paraId="5585E829">
                  <w:pPr>
                    <w:autoSpaceDE w:val="0"/>
                    <w:autoSpaceDN w:val="0"/>
                    <w:jc w:val="center"/>
                    <w:rPr>
                      <w:color w:val="000000"/>
                      <w:sz w:val="21"/>
                      <w:szCs w:val="21"/>
                    </w:rPr>
                  </w:pPr>
                </w:p>
              </w:tc>
            </w:tr>
            <w:tr w14:paraId="1902C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7" w:hRule="atLeast"/>
                <w:jc w:val="center"/>
              </w:trPr>
              <w:tc>
                <w:tcPr>
                  <w:tcW w:w="191" w:type="pct"/>
                  <w:vMerge w:val="continue"/>
                  <w:tcBorders>
                    <w:left w:val="single" w:color="auto" w:sz="4" w:space="0"/>
                  </w:tcBorders>
                  <w:noWrap w:val="0"/>
                  <w:vAlign w:val="center"/>
                </w:tcPr>
                <w:p w14:paraId="74F37462">
                  <w:pPr>
                    <w:autoSpaceDE w:val="0"/>
                    <w:autoSpaceDN w:val="0"/>
                    <w:jc w:val="center"/>
                    <w:rPr>
                      <w:color w:val="000000"/>
                      <w:sz w:val="21"/>
                      <w:szCs w:val="21"/>
                    </w:rPr>
                  </w:pPr>
                </w:p>
              </w:tc>
              <w:tc>
                <w:tcPr>
                  <w:tcW w:w="872" w:type="pct"/>
                  <w:gridSpan w:val="3"/>
                  <w:noWrap w:val="0"/>
                  <w:vAlign w:val="center"/>
                </w:tcPr>
                <w:p w14:paraId="5E6246AD">
                  <w:pPr>
                    <w:adjustRightInd w:val="0"/>
                    <w:snapToGrid w:val="0"/>
                    <w:jc w:val="center"/>
                    <w:textAlignment w:val="center"/>
                    <w:rPr>
                      <w:color w:val="000000"/>
                      <w:sz w:val="21"/>
                      <w:szCs w:val="21"/>
                    </w:rPr>
                  </w:pPr>
                  <w:r>
                    <w:rPr>
                      <w:rFonts w:hint="eastAsia"/>
                      <w:kern w:val="0"/>
                      <w:sz w:val="21"/>
                      <w:szCs w:val="21"/>
                    </w:rPr>
                    <w:t>化验室</w:t>
                  </w:r>
                </w:p>
              </w:tc>
              <w:tc>
                <w:tcPr>
                  <w:tcW w:w="1520" w:type="pct"/>
                  <w:noWrap w:val="0"/>
                  <w:vAlign w:val="center"/>
                </w:tcPr>
                <w:p w14:paraId="4D7F8614">
                  <w:pPr>
                    <w:adjustRightInd w:val="0"/>
                    <w:snapToGrid w:val="0"/>
                    <w:jc w:val="center"/>
                    <w:textAlignment w:val="center"/>
                    <w:rPr>
                      <w:rFonts w:hint="eastAsia" w:ascii="Calibri" w:hAnsi="Calibri" w:eastAsia="宋体"/>
                      <w:kern w:val="0"/>
                      <w:sz w:val="21"/>
                      <w:szCs w:val="21"/>
                      <w:lang w:eastAsia="zh-CN"/>
                    </w:rPr>
                  </w:pPr>
                  <w:r>
                    <w:rPr>
                      <w:rFonts w:hint="eastAsia"/>
                      <w:kern w:val="0"/>
                      <w:sz w:val="21"/>
                      <w:szCs w:val="21"/>
                    </w:rPr>
                    <w:t>本项目不新建分析化验室，委托内蒙古伊泰化工有限责任公司进行分析化验</w:t>
                  </w:r>
                  <w:r>
                    <w:rPr>
                      <w:rFonts w:hint="eastAsia"/>
                      <w:kern w:val="0"/>
                      <w:sz w:val="21"/>
                      <w:szCs w:val="21"/>
                      <w:lang w:eastAsia="zh-CN"/>
                    </w:rPr>
                    <w:t>。</w:t>
                  </w:r>
                </w:p>
              </w:tc>
              <w:tc>
                <w:tcPr>
                  <w:tcW w:w="2048" w:type="pct"/>
                  <w:noWrap w:val="0"/>
                  <w:vAlign w:val="center"/>
                </w:tcPr>
                <w:p w14:paraId="3249C06D">
                  <w:pPr>
                    <w:autoSpaceDE w:val="0"/>
                    <w:autoSpaceDN w:val="0"/>
                    <w:jc w:val="center"/>
                    <w:rPr>
                      <w:rFonts w:hint="eastAsia" w:eastAsia="宋体"/>
                      <w:color w:val="000000"/>
                      <w:sz w:val="21"/>
                      <w:szCs w:val="21"/>
                      <w:lang w:eastAsia="zh-CN"/>
                    </w:rPr>
                  </w:pPr>
                  <w:r>
                    <w:rPr>
                      <w:rFonts w:hint="eastAsia"/>
                      <w:color w:val="000000"/>
                      <w:sz w:val="21"/>
                      <w:szCs w:val="21"/>
                    </w:rPr>
                    <w:t>依托已建</w:t>
                  </w:r>
                  <w:r>
                    <w:rPr>
                      <w:rFonts w:hint="eastAsia"/>
                      <w:kern w:val="0"/>
                      <w:sz w:val="21"/>
                      <w:szCs w:val="21"/>
                    </w:rPr>
                    <w:t>分析化验室</w:t>
                  </w:r>
                  <w:r>
                    <w:rPr>
                      <w:rFonts w:hint="eastAsia"/>
                      <w:kern w:val="0"/>
                      <w:sz w:val="21"/>
                      <w:szCs w:val="21"/>
                      <w:lang w:eastAsia="zh-CN"/>
                    </w:rPr>
                    <w:t>。</w:t>
                  </w:r>
                </w:p>
              </w:tc>
              <w:tc>
                <w:tcPr>
                  <w:tcW w:w="367" w:type="pct"/>
                  <w:vMerge w:val="continue"/>
                  <w:tcBorders>
                    <w:right w:val="single" w:color="auto" w:sz="4" w:space="0"/>
                  </w:tcBorders>
                  <w:noWrap w:val="0"/>
                  <w:vAlign w:val="center"/>
                </w:tcPr>
                <w:p w14:paraId="29ACC03B">
                  <w:pPr>
                    <w:autoSpaceDE w:val="0"/>
                    <w:autoSpaceDN w:val="0"/>
                    <w:jc w:val="center"/>
                    <w:rPr>
                      <w:color w:val="000000"/>
                      <w:sz w:val="21"/>
                      <w:szCs w:val="21"/>
                    </w:rPr>
                  </w:pPr>
                </w:p>
              </w:tc>
            </w:tr>
            <w:tr w14:paraId="7B7FAC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191" w:type="pct"/>
                  <w:vMerge w:val="continue"/>
                  <w:tcBorders>
                    <w:left w:val="single" w:color="auto" w:sz="4" w:space="0"/>
                  </w:tcBorders>
                  <w:noWrap w:val="0"/>
                  <w:vAlign w:val="center"/>
                </w:tcPr>
                <w:p w14:paraId="53CD9A23">
                  <w:pPr>
                    <w:autoSpaceDE w:val="0"/>
                    <w:autoSpaceDN w:val="0"/>
                    <w:jc w:val="center"/>
                    <w:rPr>
                      <w:color w:val="000000"/>
                      <w:sz w:val="21"/>
                      <w:szCs w:val="21"/>
                    </w:rPr>
                  </w:pPr>
                </w:p>
              </w:tc>
              <w:tc>
                <w:tcPr>
                  <w:tcW w:w="872" w:type="pct"/>
                  <w:gridSpan w:val="3"/>
                  <w:noWrap w:val="0"/>
                  <w:vAlign w:val="center"/>
                </w:tcPr>
                <w:p w14:paraId="697F5B7A">
                  <w:pPr>
                    <w:adjustRightInd w:val="0"/>
                    <w:snapToGrid w:val="0"/>
                    <w:jc w:val="center"/>
                    <w:textAlignment w:val="center"/>
                    <w:rPr>
                      <w:color w:val="000000"/>
                      <w:sz w:val="21"/>
                      <w:szCs w:val="21"/>
                    </w:rPr>
                  </w:pPr>
                  <w:r>
                    <w:rPr>
                      <w:rFonts w:hint="eastAsia"/>
                      <w:kern w:val="0"/>
                      <w:sz w:val="21"/>
                      <w:szCs w:val="21"/>
                    </w:rPr>
                    <w:t>办公楼</w:t>
                  </w:r>
                </w:p>
              </w:tc>
              <w:tc>
                <w:tcPr>
                  <w:tcW w:w="1520" w:type="pct"/>
                  <w:noWrap w:val="0"/>
                  <w:vAlign w:val="center"/>
                </w:tcPr>
                <w:p w14:paraId="54BAA0F7">
                  <w:pPr>
                    <w:adjustRightInd w:val="0"/>
                    <w:snapToGrid w:val="0"/>
                    <w:jc w:val="center"/>
                    <w:textAlignment w:val="center"/>
                    <w:rPr>
                      <w:rFonts w:hint="eastAsia" w:ascii="Calibri" w:hAnsi="Calibri"/>
                      <w:kern w:val="0"/>
                      <w:sz w:val="21"/>
                      <w:szCs w:val="21"/>
                    </w:rPr>
                  </w:pPr>
                  <w:r>
                    <w:rPr>
                      <w:rFonts w:hint="eastAsia"/>
                      <w:kern w:val="0"/>
                      <w:sz w:val="21"/>
                      <w:szCs w:val="21"/>
                    </w:rPr>
                    <w:t>依托伊泰现有办公室</w:t>
                  </w:r>
                </w:p>
              </w:tc>
              <w:tc>
                <w:tcPr>
                  <w:tcW w:w="2048" w:type="pct"/>
                  <w:noWrap w:val="0"/>
                  <w:vAlign w:val="center"/>
                </w:tcPr>
                <w:p w14:paraId="0B732D3F">
                  <w:pPr>
                    <w:autoSpaceDE w:val="0"/>
                    <w:autoSpaceDN w:val="0"/>
                    <w:jc w:val="center"/>
                    <w:rPr>
                      <w:rFonts w:hint="eastAsia" w:eastAsia="宋体"/>
                      <w:color w:val="000000"/>
                      <w:sz w:val="21"/>
                      <w:szCs w:val="21"/>
                      <w:lang w:eastAsia="zh-CN"/>
                    </w:rPr>
                  </w:pPr>
                  <w:r>
                    <w:rPr>
                      <w:rFonts w:hint="eastAsia"/>
                      <w:kern w:val="0"/>
                      <w:sz w:val="21"/>
                      <w:szCs w:val="21"/>
                    </w:rPr>
                    <w:t>依托已建办公室</w:t>
                  </w:r>
                  <w:r>
                    <w:rPr>
                      <w:rFonts w:hint="eastAsia"/>
                      <w:kern w:val="0"/>
                      <w:sz w:val="21"/>
                      <w:szCs w:val="21"/>
                      <w:lang w:eastAsia="zh-CN"/>
                    </w:rPr>
                    <w:t>。</w:t>
                  </w:r>
                </w:p>
              </w:tc>
              <w:tc>
                <w:tcPr>
                  <w:tcW w:w="367" w:type="pct"/>
                  <w:vMerge w:val="continue"/>
                  <w:tcBorders>
                    <w:right w:val="single" w:color="auto" w:sz="4" w:space="0"/>
                  </w:tcBorders>
                  <w:noWrap w:val="0"/>
                  <w:vAlign w:val="center"/>
                </w:tcPr>
                <w:p w14:paraId="52992ED8">
                  <w:pPr>
                    <w:autoSpaceDE w:val="0"/>
                    <w:autoSpaceDN w:val="0"/>
                    <w:jc w:val="center"/>
                    <w:rPr>
                      <w:color w:val="000000"/>
                      <w:sz w:val="21"/>
                      <w:szCs w:val="21"/>
                    </w:rPr>
                  </w:pPr>
                </w:p>
              </w:tc>
            </w:tr>
            <w:tr w14:paraId="7AEB75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191" w:type="pct"/>
                  <w:vMerge w:val="continue"/>
                  <w:tcBorders>
                    <w:left w:val="single" w:color="auto" w:sz="4" w:space="0"/>
                  </w:tcBorders>
                  <w:noWrap w:val="0"/>
                  <w:vAlign w:val="center"/>
                </w:tcPr>
                <w:p w14:paraId="68205769">
                  <w:pPr>
                    <w:autoSpaceDE w:val="0"/>
                    <w:autoSpaceDN w:val="0"/>
                    <w:jc w:val="center"/>
                    <w:rPr>
                      <w:color w:val="000000"/>
                      <w:sz w:val="21"/>
                      <w:szCs w:val="21"/>
                    </w:rPr>
                  </w:pPr>
                </w:p>
              </w:tc>
              <w:tc>
                <w:tcPr>
                  <w:tcW w:w="872" w:type="pct"/>
                  <w:gridSpan w:val="3"/>
                  <w:noWrap w:val="0"/>
                  <w:vAlign w:val="center"/>
                </w:tcPr>
                <w:p w14:paraId="6659D6C1">
                  <w:pPr>
                    <w:adjustRightInd w:val="0"/>
                    <w:snapToGrid w:val="0"/>
                    <w:jc w:val="center"/>
                    <w:textAlignment w:val="center"/>
                    <w:rPr>
                      <w:color w:val="000000"/>
                      <w:sz w:val="21"/>
                      <w:szCs w:val="21"/>
                    </w:rPr>
                  </w:pPr>
                  <w:r>
                    <w:rPr>
                      <w:rFonts w:hint="eastAsia"/>
                      <w:kern w:val="0"/>
                      <w:sz w:val="21"/>
                      <w:szCs w:val="21"/>
                    </w:rPr>
                    <w:t>住宿楼</w:t>
                  </w:r>
                </w:p>
              </w:tc>
              <w:tc>
                <w:tcPr>
                  <w:tcW w:w="1520" w:type="pct"/>
                  <w:noWrap w:val="0"/>
                  <w:vAlign w:val="center"/>
                </w:tcPr>
                <w:p w14:paraId="07B465DE">
                  <w:pPr>
                    <w:adjustRightInd w:val="0"/>
                    <w:snapToGrid w:val="0"/>
                    <w:jc w:val="center"/>
                    <w:textAlignment w:val="center"/>
                    <w:rPr>
                      <w:rFonts w:hint="eastAsia" w:ascii="Calibri" w:hAnsi="Calibri"/>
                      <w:kern w:val="0"/>
                      <w:sz w:val="21"/>
                      <w:szCs w:val="21"/>
                    </w:rPr>
                  </w:pPr>
                  <w:r>
                    <w:rPr>
                      <w:rFonts w:hint="eastAsia"/>
                      <w:kern w:val="0"/>
                      <w:sz w:val="21"/>
                      <w:szCs w:val="21"/>
                    </w:rPr>
                    <w:t>依托伊泰现有职工宿舍楼</w:t>
                  </w:r>
                </w:p>
              </w:tc>
              <w:tc>
                <w:tcPr>
                  <w:tcW w:w="2048" w:type="pct"/>
                  <w:noWrap w:val="0"/>
                  <w:vAlign w:val="center"/>
                </w:tcPr>
                <w:p w14:paraId="0836AF02">
                  <w:pPr>
                    <w:autoSpaceDE w:val="0"/>
                    <w:autoSpaceDN w:val="0"/>
                    <w:jc w:val="center"/>
                    <w:rPr>
                      <w:rFonts w:hint="eastAsia" w:eastAsia="宋体"/>
                      <w:color w:val="000000"/>
                      <w:sz w:val="21"/>
                      <w:szCs w:val="21"/>
                      <w:lang w:eastAsia="zh-CN"/>
                    </w:rPr>
                  </w:pPr>
                  <w:r>
                    <w:rPr>
                      <w:rFonts w:hint="eastAsia"/>
                      <w:kern w:val="0"/>
                      <w:sz w:val="21"/>
                      <w:szCs w:val="21"/>
                    </w:rPr>
                    <w:t>依托已建职工宿舍楼</w:t>
                  </w:r>
                  <w:r>
                    <w:rPr>
                      <w:rFonts w:hint="eastAsia"/>
                      <w:kern w:val="0"/>
                      <w:sz w:val="21"/>
                      <w:szCs w:val="21"/>
                      <w:lang w:eastAsia="zh-CN"/>
                    </w:rPr>
                    <w:t>。</w:t>
                  </w:r>
                </w:p>
              </w:tc>
              <w:tc>
                <w:tcPr>
                  <w:tcW w:w="367" w:type="pct"/>
                  <w:vMerge w:val="continue"/>
                  <w:tcBorders>
                    <w:right w:val="single" w:color="auto" w:sz="4" w:space="0"/>
                  </w:tcBorders>
                  <w:noWrap w:val="0"/>
                  <w:vAlign w:val="center"/>
                </w:tcPr>
                <w:p w14:paraId="5449AA18">
                  <w:pPr>
                    <w:autoSpaceDE w:val="0"/>
                    <w:autoSpaceDN w:val="0"/>
                    <w:jc w:val="center"/>
                    <w:rPr>
                      <w:color w:val="000000"/>
                      <w:sz w:val="21"/>
                      <w:szCs w:val="21"/>
                    </w:rPr>
                  </w:pPr>
                </w:p>
              </w:tc>
            </w:tr>
            <w:tr w14:paraId="467108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59" w:hRule="atLeast"/>
                <w:jc w:val="center"/>
              </w:trPr>
              <w:tc>
                <w:tcPr>
                  <w:tcW w:w="191" w:type="pct"/>
                  <w:vMerge w:val="restart"/>
                  <w:tcBorders>
                    <w:left w:val="single" w:color="auto" w:sz="4" w:space="0"/>
                  </w:tcBorders>
                  <w:noWrap w:val="0"/>
                  <w:vAlign w:val="center"/>
                </w:tcPr>
                <w:p w14:paraId="394B5990">
                  <w:pPr>
                    <w:autoSpaceDE w:val="0"/>
                    <w:autoSpaceDN w:val="0"/>
                    <w:jc w:val="center"/>
                    <w:rPr>
                      <w:color w:val="000000"/>
                      <w:sz w:val="21"/>
                      <w:szCs w:val="21"/>
                    </w:rPr>
                  </w:pPr>
                  <w:r>
                    <w:rPr>
                      <w:color w:val="000000"/>
                      <w:sz w:val="21"/>
                      <w:szCs w:val="21"/>
                    </w:rPr>
                    <w:t>公用</w:t>
                  </w:r>
                </w:p>
                <w:p w14:paraId="582D5350">
                  <w:pPr>
                    <w:autoSpaceDE w:val="0"/>
                    <w:autoSpaceDN w:val="0"/>
                    <w:jc w:val="center"/>
                    <w:rPr>
                      <w:color w:val="000000"/>
                      <w:sz w:val="21"/>
                      <w:szCs w:val="21"/>
                    </w:rPr>
                  </w:pPr>
                  <w:r>
                    <w:rPr>
                      <w:color w:val="000000"/>
                      <w:sz w:val="21"/>
                      <w:szCs w:val="21"/>
                    </w:rPr>
                    <w:t>工程</w:t>
                  </w:r>
                </w:p>
              </w:tc>
              <w:tc>
                <w:tcPr>
                  <w:tcW w:w="872" w:type="pct"/>
                  <w:gridSpan w:val="3"/>
                  <w:noWrap w:val="0"/>
                  <w:vAlign w:val="center"/>
                </w:tcPr>
                <w:p w14:paraId="389B4367">
                  <w:pPr>
                    <w:autoSpaceDE w:val="0"/>
                    <w:autoSpaceDN w:val="0"/>
                    <w:jc w:val="center"/>
                    <w:rPr>
                      <w:color w:val="000000"/>
                      <w:sz w:val="21"/>
                      <w:szCs w:val="21"/>
                    </w:rPr>
                  </w:pPr>
                  <w:r>
                    <w:rPr>
                      <w:color w:val="000000"/>
                      <w:sz w:val="21"/>
                      <w:szCs w:val="21"/>
                    </w:rPr>
                    <w:t>供水工程</w:t>
                  </w:r>
                </w:p>
              </w:tc>
              <w:tc>
                <w:tcPr>
                  <w:tcW w:w="1520" w:type="pct"/>
                  <w:noWrap w:val="0"/>
                  <w:vAlign w:val="center"/>
                </w:tcPr>
                <w:p w14:paraId="767E29A8">
                  <w:pPr>
                    <w:autoSpaceDE w:val="0"/>
                    <w:autoSpaceDN w:val="0"/>
                    <w:jc w:val="center"/>
                    <w:rPr>
                      <w:rFonts w:hint="eastAsia" w:eastAsia="宋体"/>
                      <w:color w:val="000000"/>
                      <w:sz w:val="21"/>
                      <w:szCs w:val="21"/>
                      <w:lang w:eastAsia="zh-CN"/>
                    </w:rPr>
                  </w:pPr>
                  <w:r>
                    <w:rPr>
                      <w:rFonts w:hint="eastAsia"/>
                      <w:color w:val="000000"/>
                      <w:sz w:val="21"/>
                      <w:szCs w:val="21"/>
                    </w:rPr>
                    <w:t>职工生活给水依托伊泰化工生活给水系统；冷却循环水依托伊泰化工冷却循环水系统</w:t>
                  </w:r>
                  <w:r>
                    <w:rPr>
                      <w:rFonts w:hint="eastAsia"/>
                      <w:color w:val="000000"/>
                      <w:sz w:val="21"/>
                      <w:szCs w:val="21"/>
                      <w:lang w:eastAsia="zh-CN"/>
                    </w:rPr>
                    <w:t>。</w:t>
                  </w:r>
                </w:p>
              </w:tc>
              <w:tc>
                <w:tcPr>
                  <w:tcW w:w="2048" w:type="pct"/>
                  <w:noWrap w:val="0"/>
                  <w:vAlign w:val="center"/>
                </w:tcPr>
                <w:p w14:paraId="35271AE1">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新增用水量为水洗塔等用水，用水量为0.25</w:t>
                  </w:r>
                  <w:r>
                    <w:rPr>
                      <w:rFonts w:hint="eastAsia"/>
                      <w:color w:val="000000"/>
                      <w:sz w:val="21"/>
                      <w:szCs w:val="21"/>
                    </w:rPr>
                    <w:t>m</w:t>
                  </w:r>
                  <w:r>
                    <w:rPr>
                      <w:rFonts w:hint="eastAsia"/>
                      <w:color w:val="000000"/>
                      <w:sz w:val="21"/>
                      <w:szCs w:val="21"/>
                      <w:vertAlign w:val="superscript"/>
                    </w:rPr>
                    <w:t>3</w:t>
                  </w:r>
                  <w:r>
                    <w:rPr>
                      <w:rFonts w:hint="eastAsia"/>
                      <w:color w:val="000000"/>
                      <w:sz w:val="21"/>
                      <w:szCs w:val="21"/>
                    </w:rPr>
                    <w:t>/</w:t>
                  </w:r>
                  <w:r>
                    <w:rPr>
                      <w:rFonts w:hint="eastAsia"/>
                      <w:color w:val="000000"/>
                      <w:sz w:val="21"/>
                      <w:szCs w:val="21"/>
                      <w:lang w:val="en-US" w:eastAsia="zh-CN"/>
                    </w:rPr>
                    <w:t>h，</w:t>
                  </w:r>
                  <w:r>
                    <w:rPr>
                      <w:rFonts w:hint="eastAsia"/>
                      <w:color w:val="000000"/>
                      <w:sz w:val="21"/>
                      <w:szCs w:val="21"/>
                    </w:rPr>
                    <w:t>依托120万吨/年精细化学品示范项目现有系统和设施</w:t>
                  </w:r>
                  <w:r>
                    <w:rPr>
                      <w:rFonts w:hint="eastAsia"/>
                      <w:color w:val="000000"/>
                      <w:sz w:val="21"/>
                      <w:szCs w:val="21"/>
                      <w:lang w:eastAsia="zh-CN"/>
                    </w:rPr>
                    <w:t>；</w:t>
                  </w:r>
                  <w:r>
                    <w:rPr>
                      <w:rFonts w:hint="eastAsia"/>
                      <w:color w:val="000000"/>
                      <w:sz w:val="21"/>
                      <w:szCs w:val="21"/>
                      <w:lang w:val="en-US" w:eastAsia="zh-CN"/>
                    </w:rPr>
                    <w:t>循环水系统依托现有设施。</w:t>
                  </w:r>
                </w:p>
              </w:tc>
              <w:tc>
                <w:tcPr>
                  <w:tcW w:w="367" w:type="pct"/>
                  <w:tcBorders>
                    <w:right w:val="single" w:color="auto" w:sz="4" w:space="0"/>
                  </w:tcBorders>
                  <w:noWrap w:val="0"/>
                  <w:vAlign w:val="center"/>
                </w:tcPr>
                <w:p w14:paraId="39D78CEF">
                  <w:pPr>
                    <w:jc w:val="center"/>
                    <w:rPr>
                      <w:color w:val="000000"/>
                      <w:sz w:val="21"/>
                      <w:szCs w:val="21"/>
                    </w:rPr>
                  </w:pPr>
                  <w:r>
                    <w:rPr>
                      <w:rFonts w:hint="eastAsia"/>
                      <w:color w:val="000000"/>
                      <w:sz w:val="21"/>
                      <w:szCs w:val="21"/>
                    </w:rPr>
                    <w:t>依托</w:t>
                  </w:r>
                </w:p>
              </w:tc>
            </w:tr>
            <w:tr w14:paraId="2EFF3F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191" w:type="pct"/>
                  <w:vMerge w:val="continue"/>
                  <w:tcBorders>
                    <w:left w:val="single" w:color="auto" w:sz="4" w:space="0"/>
                  </w:tcBorders>
                  <w:noWrap w:val="0"/>
                  <w:vAlign w:val="center"/>
                </w:tcPr>
                <w:p w14:paraId="7C118E40">
                  <w:pPr>
                    <w:autoSpaceDE w:val="0"/>
                    <w:autoSpaceDN w:val="0"/>
                    <w:jc w:val="center"/>
                    <w:rPr>
                      <w:color w:val="000000"/>
                      <w:sz w:val="21"/>
                      <w:szCs w:val="21"/>
                    </w:rPr>
                  </w:pPr>
                </w:p>
              </w:tc>
              <w:tc>
                <w:tcPr>
                  <w:tcW w:w="872" w:type="pct"/>
                  <w:gridSpan w:val="3"/>
                  <w:noWrap w:val="0"/>
                  <w:vAlign w:val="center"/>
                </w:tcPr>
                <w:p w14:paraId="03DA0EB4">
                  <w:pPr>
                    <w:autoSpaceDE w:val="0"/>
                    <w:autoSpaceDN w:val="0"/>
                    <w:jc w:val="center"/>
                    <w:rPr>
                      <w:color w:val="000000"/>
                      <w:sz w:val="21"/>
                      <w:szCs w:val="21"/>
                    </w:rPr>
                  </w:pPr>
                  <w:r>
                    <w:rPr>
                      <w:color w:val="000000"/>
                      <w:sz w:val="21"/>
                      <w:szCs w:val="21"/>
                    </w:rPr>
                    <w:t>供电工程</w:t>
                  </w:r>
                </w:p>
              </w:tc>
              <w:tc>
                <w:tcPr>
                  <w:tcW w:w="1520" w:type="pct"/>
                  <w:noWrap w:val="0"/>
                  <w:vAlign w:val="center"/>
                </w:tcPr>
                <w:p w14:paraId="208C7337">
                  <w:pPr>
                    <w:autoSpaceDE w:val="0"/>
                    <w:autoSpaceDN w:val="0"/>
                    <w:jc w:val="center"/>
                    <w:rPr>
                      <w:rFonts w:hint="eastAsia"/>
                      <w:color w:val="000000"/>
                      <w:sz w:val="21"/>
                      <w:szCs w:val="21"/>
                      <w:lang w:eastAsia="zh-CN"/>
                    </w:rPr>
                  </w:pPr>
                  <w:r>
                    <w:rPr>
                      <w:rFonts w:hint="eastAsia"/>
                      <w:color w:val="000000"/>
                      <w:sz w:val="21"/>
                      <w:szCs w:val="21"/>
                    </w:rPr>
                    <w:t>用电由内蒙古伊泰化工有限责任公司提供10kV双回路电源</w:t>
                  </w:r>
                  <w:r>
                    <w:rPr>
                      <w:rFonts w:hint="eastAsia"/>
                      <w:color w:val="000000"/>
                      <w:sz w:val="21"/>
                      <w:szCs w:val="21"/>
                      <w:lang w:eastAsia="zh-CN"/>
                    </w:rPr>
                    <w:t>。</w:t>
                  </w:r>
                </w:p>
              </w:tc>
              <w:tc>
                <w:tcPr>
                  <w:tcW w:w="2048" w:type="pct"/>
                  <w:noWrap w:val="0"/>
                  <w:vAlign w:val="center"/>
                </w:tcPr>
                <w:p w14:paraId="2D1F7284">
                  <w:pPr>
                    <w:autoSpaceDE w:val="0"/>
                    <w:autoSpaceDN w:val="0"/>
                    <w:jc w:val="center"/>
                    <w:rPr>
                      <w:rFonts w:hint="eastAsia"/>
                      <w:color w:val="000000"/>
                      <w:sz w:val="21"/>
                      <w:szCs w:val="21"/>
                      <w:lang w:eastAsia="zh-CN"/>
                    </w:rPr>
                  </w:pPr>
                  <w:r>
                    <w:rPr>
                      <w:rFonts w:hint="eastAsia"/>
                      <w:color w:val="000000"/>
                      <w:sz w:val="21"/>
                      <w:szCs w:val="21"/>
                    </w:rPr>
                    <w:t>项目用电量</w:t>
                  </w:r>
                  <w:r>
                    <w:rPr>
                      <w:rFonts w:hint="eastAsia"/>
                      <w:color w:val="000000"/>
                      <w:sz w:val="21"/>
                      <w:szCs w:val="21"/>
                      <w:lang w:val="en-US" w:eastAsia="zh-CN"/>
                    </w:rPr>
                    <w:t>为190.94</w:t>
                  </w:r>
                  <w:r>
                    <w:rPr>
                      <w:rFonts w:hint="eastAsia"/>
                      <w:color w:val="000000"/>
                      <w:sz w:val="21"/>
                      <w:szCs w:val="21"/>
                    </w:rPr>
                    <w:t>kW</w:t>
                  </w:r>
                  <w:r>
                    <w:rPr>
                      <w:rFonts w:hint="eastAsia"/>
                      <w:color w:val="000000"/>
                      <w:sz w:val="21"/>
                      <w:szCs w:val="21"/>
                      <w:lang w:val="en-US" w:eastAsia="zh-CN"/>
                    </w:rPr>
                    <w:t>/h</w:t>
                  </w:r>
                  <w:r>
                    <w:rPr>
                      <w:rFonts w:hint="eastAsia"/>
                      <w:color w:val="000000"/>
                      <w:sz w:val="21"/>
                      <w:szCs w:val="21"/>
                    </w:rPr>
                    <w:t>，用电由内蒙古伊泰化工有限责任公司提供10kV双回路电源</w:t>
                  </w:r>
                  <w:r>
                    <w:rPr>
                      <w:rFonts w:hint="eastAsia"/>
                      <w:color w:val="000000"/>
                      <w:sz w:val="21"/>
                      <w:szCs w:val="21"/>
                      <w:lang w:eastAsia="zh-CN"/>
                    </w:rPr>
                    <w:t>。</w:t>
                  </w:r>
                </w:p>
              </w:tc>
              <w:tc>
                <w:tcPr>
                  <w:tcW w:w="367" w:type="pct"/>
                  <w:tcBorders>
                    <w:right w:val="single" w:color="auto" w:sz="4" w:space="0"/>
                  </w:tcBorders>
                  <w:noWrap w:val="0"/>
                  <w:vAlign w:val="center"/>
                </w:tcPr>
                <w:p w14:paraId="20923236">
                  <w:pPr>
                    <w:jc w:val="center"/>
                    <w:rPr>
                      <w:color w:val="000000"/>
                      <w:sz w:val="21"/>
                      <w:szCs w:val="21"/>
                    </w:rPr>
                  </w:pPr>
                  <w:r>
                    <w:rPr>
                      <w:color w:val="000000"/>
                      <w:sz w:val="21"/>
                      <w:szCs w:val="21"/>
                    </w:rPr>
                    <w:t>依托</w:t>
                  </w:r>
                </w:p>
              </w:tc>
            </w:tr>
            <w:tr w14:paraId="383662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191" w:type="pct"/>
                  <w:vMerge w:val="continue"/>
                  <w:tcBorders>
                    <w:left w:val="single" w:color="auto" w:sz="4" w:space="0"/>
                  </w:tcBorders>
                  <w:noWrap w:val="0"/>
                  <w:vAlign w:val="center"/>
                </w:tcPr>
                <w:p w14:paraId="32BE4298">
                  <w:pPr>
                    <w:autoSpaceDE w:val="0"/>
                    <w:autoSpaceDN w:val="0"/>
                    <w:jc w:val="center"/>
                    <w:rPr>
                      <w:color w:val="000000"/>
                      <w:sz w:val="21"/>
                      <w:szCs w:val="21"/>
                    </w:rPr>
                  </w:pPr>
                </w:p>
              </w:tc>
              <w:tc>
                <w:tcPr>
                  <w:tcW w:w="872" w:type="pct"/>
                  <w:gridSpan w:val="3"/>
                  <w:noWrap w:val="0"/>
                  <w:vAlign w:val="center"/>
                </w:tcPr>
                <w:p w14:paraId="38168DE9">
                  <w:pPr>
                    <w:autoSpaceDE w:val="0"/>
                    <w:autoSpaceDN w:val="0"/>
                    <w:jc w:val="center"/>
                    <w:rPr>
                      <w:color w:val="000000"/>
                      <w:sz w:val="21"/>
                      <w:szCs w:val="21"/>
                    </w:rPr>
                  </w:pPr>
                  <w:r>
                    <w:rPr>
                      <w:color w:val="000000"/>
                      <w:sz w:val="21"/>
                      <w:szCs w:val="21"/>
                    </w:rPr>
                    <w:t>供</w:t>
                  </w:r>
                  <w:r>
                    <w:rPr>
                      <w:rFonts w:hint="eastAsia"/>
                      <w:color w:val="000000"/>
                      <w:sz w:val="21"/>
                      <w:szCs w:val="21"/>
                    </w:rPr>
                    <w:t>热</w:t>
                  </w:r>
                  <w:r>
                    <w:rPr>
                      <w:color w:val="000000"/>
                      <w:sz w:val="21"/>
                      <w:szCs w:val="21"/>
                    </w:rPr>
                    <w:t>工程</w:t>
                  </w:r>
                </w:p>
              </w:tc>
              <w:tc>
                <w:tcPr>
                  <w:tcW w:w="1520" w:type="pct"/>
                  <w:noWrap w:val="0"/>
                  <w:vAlign w:val="center"/>
                </w:tcPr>
                <w:p w14:paraId="24F74B8D">
                  <w:pPr>
                    <w:jc w:val="center"/>
                    <w:rPr>
                      <w:rFonts w:hint="eastAsia" w:eastAsia="宋体"/>
                      <w:color w:val="000000"/>
                      <w:sz w:val="21"/>
                      <w:szCs w:val="21"/>
                      <w:lang w:eastAsia="zh-CN"/>
                    </w:rPr>
                  </w:pPr>
                  <w:r>
                    <w:rPr>
                      <w:rFonts w:hint="eastAsia"/>
                      <w:sz w:val="21"/>
                      <w:szCs w:val="21"/>
                    </w:rPr>
                    <w:t>采用内蒙古伊泰化工有限责任公司提供的蒸汽</w:t>
                  </w:r>
                  <w:r>
                    <w:rPr>
                      <w:rFonts w:hint="eastAsia"/>
                      <w:sz w:val="21"/>
                      <w:szCs w:val="21"/>
                      <w:lang w:eastAsia="zh-CN"/>
                    </w:rPr>
                    <w:t>。</w:t>
                  </w:r>
                </w:p>
              </w:tc>
              <w:tc>
                <w:tcPr>
                  <w:tcW w:w="2048" w:type="pct"/>
                  <w:noWrap w:val="0"/>
                  <w:vAlign w:val="center"/>
                </w:tcPr>
                <w:p w14:paraId="0C23FD8E">
                  <w:pPr>
                    <w:jc w:val="center"/>
                    <w:rPr>
                      <w:rFonts w:hint="eastAsia" w:eastAsia="宋体"/>
                      <w:color w:val="000000"/>
                      <w:kern w:val="2"/>
                      <w:sz w:val="21"/>
                      <w:szCs w:val="21"/>
                      <w:lang w:val="en-US" w:eastAsia="zh-CN" w:bidi="ar-SA"/>
                    </w:rPr>
                  </w:pPr>
                  <w:r>
                    <w:rPr>
                      <w:rFonts w:hint="eastAsia"/>
                      <w:sz w:val="21"/>
                      <w:szCs w:val="21"/>
                      <w:lang w:val="en-US" w:eastAsia="zh-CN"/>
                    </w:rPr>
                    <w:t>项目蒸汽用量为7.6t/h，</w:t>
                  </w:r>
                  <w:r>
                    <w:rPr>
                      <w:rFonts w:hint="eastAsia"/>
                      <w:sz w:val="21"/>
                      <w:szCs w:val="21"/>
                    </w:rPr>
                    <w:t>采用内蒙古伊泰化工有限责任公司提供的蒸汽</w:t>
                  </w:r>
                  <w:r>
                    <w:rPr>
                      <w:rFonts w:hint="eastAsia"/>
                      <w:sz w:val="21"/>
                      <w:szCs w:val="21"/>
                      <w:lang w:eastAsia="zh-CN"/>
                    </w:rPr>
                    <w:t>。</w:t>
                  </w:r>
                </w:p>
              </w:tc>
              <w:tc>
                <w:tcPr>
                  <w:tcW w:w="367" w:type="pct"/>
                  <w:tcBorders>
                    <w:right w:val="single" w:color="auto" w:sz="4" w:space="0"/>
                  </w:tcBorders>
                  <w:noWrap w:val="0"/>
                  <w:vAlign w:val="center"/>
                </w:tcPr>
                <w:p w14:paraId="6F7D1A53">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依托</w:t>
                  </w:r>
                </w:p>
              </w:tc>
            </w:tr>
            <w:tr w14:paraId="31921D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17" w:hRule="atLeast"/>
                <w:jc w:val="center"/>
              </w:trPr>
              <w:tc>
                <w:tcPr>
                  <w:tcW w:w="191" w:type="pct"/>
                  <w:vMerge w:val="continue"/>
                  <w:tcBorders>
                    <w:left w:val="single" w:color="auto" w:sz="4" w:space="0"/>
                  </w:tcBorders>
                  <w:noWrap w:val="0"/>
                  <w:vAlign w:val="center"/>
                </w:tcPr>
                <w:p w14:paraId="3C32A661">
                  <w:pPr>
                    <w:autoSpaceDE w:val="0"/>
                    <w:autoSpaceDN w:val="0"/>
                    <w:jc w:val="center"/>
                    <w:rPr>
                      <w:color w:val="000000"/>
                      <w:sz w:val="21"/>
                      <w:szCs w:val="21"/>
                    </w:rPr>
                  </w:pPr>
                </w:p>
              </w:tc>
              <w:tc>
                <w:tcPr>
                  <w:tcW w:w="872" w:type="pct"/>
                  <w:gridSpan w:val="3"/>
                  <w:noWrap w:val="0"/>
                  <w:vAlign w:val="center"/>
                </w:tcPr>
                <w:p w14:paraId="6D933B66">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氮气</w:t>
                  </w:r>
                </w:p>
              </w:tc>
              <w:tc>
                <w:tcPr>
                  <w:tcW w:w="1520" w:type="pct"/>
                  <w:noWrap w:val="0"/>
                  <w:vAlign w:val="center"/>
                </w:tcPr>
                <w:p w14:paraId="08A76F12">
                  <w:pPr>
                    <w:jc w:val="center"/>
                    <w:rPr>
                      <w:rFonts w:hint="eastAsia" w:eastAsia="宋体"/>
                      <w:sz w:val="21"/>
                      <w:szCs w:val="21"/>
                      <w:lang w:val="en-US" w:eastAsia="zh-CN"/>
                    </w:rPr>
                  </w:pPr>
                  <w:r>
                    <w:rPr>
                      <w:rFonts w:hint="eastAsia"/>
                      <w:sz w:val="21"/>
                      <w:szCs w:val="21"/>
                      <w:lang w:val="en-US" w:eastAsia="zh-CN"/>
                    </w:rPr>
                    <w:t>依托120万吨/年精细化学品示范项目的空分装置。</w:t>
                  </w:r>
                </w:p>
              </w:tc>
              <w:tc>
                <w:tcPr>
                  <w:tcW w:w="2048" w:type="pct"/>
                  <w:noWrap w:val="0"/>
                  <w:vAlign w:val="center"/>
                </w:tcPr>
                <w:p w14:paraId="0C7D7577">
                  <w:pPr>
                    <w:jc w:val="center"/>
                    <w:rPr>
                      <w:rFonts w:hint="default"/>
                      <w:sz w:val="21"/>
                      <w:szCs w:val="21"/>
                      <w:lang w:val="en-US" w:eastAsia="zh-CN"/>
                    </w:rPr>
                  </w:pPr>
                  <w:r>
                    <w:rPr>
                      <w:rFonts w:hint="eastAsia"/>
                      <w:sz w:val="21"/>
                      <w:szCs w:val="21"/>
                      <w:lang w:val="en-US" w:eastAsia="zh-CN"/>
                    </w:rPr>
                    <w:t>项目氮气用量为100Nm</w:t>
                  </w:r>
                  <w:r>
                    <w:rPr>
                      <w:rFonts w:hint="eastAsia"/>
                      <w:sz w:val="21"/>
                      <w:szCs w:val="21"/>
                      <w:vertAlign w:val="superscript"/>
                      <w:lang w:val="en-US" w:eastAsia="zh-CN"/>
                    </w:rPr>
                    <w:t>3</w:t>
                  </w:r>
                  <w:r>
                    <w:rPr>
                      <w:rFonts w:hint="eastAsia"/>
                      <w:sz w:val="21"/>
                      <w:szCs w:val="21"/>
                      <w:lang w:val="en-US" w:eastAsia="zh-CN"/>
                    </w:rPr>
                    <w:t>/h，依托120万吨/年精细化学品示范项目的空分装置。</w:t>
                  </w:r>
                </w:p>
              </w:tc>
              <w:tc>
                <w:tcPr>
                  <w:tcW w:w="367" w:type="pct"/>
                  <w:tcBorders>
                    <w:right w:val="single" w:color="auto" w:sz="4" w:space="0"/>
                  </w:tcBorders>
                  <w:noWrap w:val="0"/>
                  <w:vAlign w:val="center"/>
                </w:tcPr>
                <w:p w14:paraId="5ACB1394">
                  <w:pPr>
                    <w:autoSpaceDE w:val="0"/>
                    <w:autoSpaceDN w:val="0"/>
                    <w:jc w:val="center"/>
                    <w:rPr>
                      <w:rFonts w:hint="eastAsia"/>
                      <w:color w:val="000000"/>
                      <w:sz w:val="21"/>
                      <w:szCs w:val="21"/>
                      <w:lang w:val="en-US" w:eastAsia="zh-CN"/>
                    </w:rPr>
                  </w:pPr>
                  <w:r>
                    <w:rPr>
                      <w:rFonts w:hint="eastAsia"/>
                      <w:color w:val="000000"/>
                      <w:sz w:val="21"/>
                      <w:szCs w:val="21"/>
                      <w:lang w:val="en-US" w:eastAsia="zh-CN"/>
                    </w:rPr>
                    <w:t>依托</w:t>
                  </w:r>
                </w:p>
              </w:tc>
            </w:tr>
            <w:tr w14:paraId="51FACB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873" w:hRule="atLeast"/>
                <w:jc w:val="center"/>
              </w:trPr>
              <w:tc>
                <w:tcPr>
                  <w:tcW w:w="191" w:type="pct"/>
                  <w:vMerge w:val="continue"/>
                  <w:tcBorders>
                    <w:left w:val="single" w:color="auto" w:sz="4" w:space="0"/>
                  </w:tcBorders>
                  <w:noWrap w:val="0"/>
                  <w:vAlign w:val="center"/>
                </w:tcPr>
                <w:p w14:paraId="32FB7B41">
                  <w:pPr>
                    <w:autoSpaceDE w:val="0"/>
                    <w:autoSpaceDN w:val="0"/>
                    <w:jc w:val="center"/>
                    <w:rPr>
                      <w:color w:val="000000"/>
                      <w:sz w:val="21"/>
                      <w:szCs w:val="21"/>
                    </w:rPr>
                  </w:pPr>
                </w:p>
              </w:tc>
              <w:tc>
                <w:tcPr>
                  <w:tcW w:w="872" w:type="pct"/>
                  <w:gridSpan w:val="3"/>
                  <w:noWrap w:val="0"/>
                  <w:vAlign w:val="center"/>
                </w:tcPr>
                <w:p w14:paraId="1971E433">
                  <w:pPr>
                    <w:autoSpaceDE w:val="0"/>
                    <w:autoSpaceDN w:val="0"/>
                    <w:jc w:val="center"/>
                    <w:rPr>
                      <w:color w:val="000000"/>
                      <w:sz w:val="21"/>
                      <w:szCs w:val="21"/>
                    </w:rPr>
                  </w:pPr>
                  <w:r>
                    <w:rPr>
                      <w:color w:val="000000"/>
                      <w:sz w:val="21"/>
                      <w:szCs w:val="21"/>
                    </w:rPr>
                    <w:t>排水工程</w:t>
                  </w:r>
                </w:p>
              </w:tc>
              <w:tc>
                <w:tcPr>
                  <w:tcW w:w="1520" w:type="pct"/>
                  <w:noWrap w:val="0"/>
                  <w:vAlign w:val="center"/>
                </w:tcPr>
                <w:p w14:paraId="21A406F2">
                  <w:pPr>
                    <w:autoSpaceDE w:val="0"/>
                    <w:autoSpaceDN w:val="0"/>
                    <w:jc w:val="center"/>
                    <w:rPr>
                      <w:rFonts w:hint="eastAsia" w:eastAsia="宋体"/>
                      <w:color w:val="000000"/>
                      <w:sz w:val="21"/>
                      <w:szCs w:val="21"/>
                      <w:lang w:eastAsia="zh-CN"/>
                    </w:rPr>
                  </w:pPr>
                  <w:r>
                    <w:rPr>
                      <w:rFonts w:hint="eastAsia"/>
                      <w:color w:val="000000"/>
                      <w:sz w:val="21"/>
                      <w:szCs w:val="21"/>
                    </w:rPr>
                    <w:t>本项目</w:t>
                  </w:r>
                  <w:r>
                    <w:rPr>
                      <w:rFonts w:hint="eastAsia"/>
                      <w:color w:val="000000"/>
                      <w:sz w:val="21"/>
                      <w:szCs w:val="21"/>
                      <w:lang w:val="en-US" w:eastAsia="zh-CN"/>
                    </w:rPr>
                    <w:t>废水和</w:t>
                  </w:r>
                  <w:r>
                    <w:rPr>
                      <w:rFonts w:hint="eastAsia"/>
                      <w:color w:val="000000"/>
                      <w:sz w:val="21"/>
                      <w:szCs w:val="21"/>
                    </w:rPr>
                    <w:t>初期雨水经过收集处理后全部排入伊泰化工污水处理厂处理</w:t>
                  </w:r>
                  <w:r>
                    <w:rPr>
                      <w:rFonts w:hint="eastAsia"/>
                      <w:color w:val="000000"/>
                      <w:sz w:val="21"/>
                      <w:szCs w:val="21"/>
                      <w:lang w:eastAsia="zh-CN"/>
                    </w:rPr>
                    <w:t>。</w:t>
                  </w:r>
                </w:p>
              </w:tc>
              <w:tc>
                <w:tcPr>
                  <w:tcW w:w="2048" w:type="pct"/>
                  <w:noWrap w:val="0"/>
                  <w:vAlign w:val="center"/>
                </w:tcPr>
                <w:p w14:paraId="13888AC6">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本项目产生废水和初期雨水依托伊泰现有污水处理厂处理，不外排。</w:t>
                  </w:r>
                </w:p>
              </w:tc>
              <w:tc>
                <w:tcPr>
                  <w:tcW w:w="367" w:type="pct"/>
                  <w:tcBorders>
                    <w:right w:val="single" w:color="auto" w:sz="4" w:space="0"/>
                  </w:tcBorders>
                  <w:noWrap w:val="0"/>
                  <w:vAlign w:val="center"/>
                </w:tcPr>
                <w:p w14:paraId="6CE8CC4D">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依托</w:t>
                  </w:r>
                </w:p>
              </w:tc>
            </w:tr>
            <w:tr w14:paraId="73E16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191" w:type="pct"/>
                  <w:vMerge w:val="restart"/>
                  <w:tcBorders>
                    <w:left w:val="single" w:color="auto" w:sz="4" w:space="0"/>
                  </w:tcBorders>
                  <w:noWrap w:val="0"/>
                  <w:vAlign w:val="center"/>
                </w:tcPr>
                <w:p w14:paraId="6135FAE7">
                  <w:pPr>
                    <w:autoSpaceDE w:val="0"/>
                    <w:autoSpaceDN w:val="0"/>
                    <w:jc w:val="center"/>
                    <w:rPr>
                      <w:color w:val="000000"/>
                      <w:sz w:val="21"/>
                      <w:szCs w:val="21"/>
                    </w:rPr>
                  </w:pPr>
                  <w:r>
                    <w:rPr>
                      <w:color w:val="000000"/>
                      <w:sz w:val="21"/>
                      <w:szCs w:val="21"/>
                    </w:rPr>
                    <w:t>环保工程</w:t>
                  </w:r>
                </w:p>
              </w:tc>
              <w:tc>
                <w:tcPr>
                  <w:tcW w:w="872" w:type="pct"/>
                  <w:gridSpan w:val="3"/>
                  <w:noWrap w:val="0"/>
                  <w:vAlign w:val="center"/>
                </w:tcPr>
                <w:p w14:paraId="721ABE67">
                  <w:pPr>
                    <w:jc w:val="center"/>
                    <w:rPr>
                      <w:rFonts w:hint="eastAsia"/>
                      <w:color w:val="000000"/>
                      <w:sz w:val="21"/>
                      <w:szCs w:val="21"/>
                    </w:rPr>
                  </w:pPr>
                  <w:r>
                    <w:rPr>
                      <w:color w:val="000000"/>
                      <w:sz w:val="21"/>
                      <w:szCs w:val="21"/>
                    </w:rPr>
                    <w:t>废气</w:t>
                  </w:r>
                </w:p>
              </w:tc>
              <w:tc>
                <w:tcPr>
                  <w:tcW w:w="1520" w:type="pct"/>
                  <w:noWrap w:val="0"/>
                  <w:vAlign w:val="center"/>
                </w:tcPr>
                <w:p w14:paraId="3BC2F846">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塔顶回流罐不凝气及罐区和装置区无组织废气。</w:t>
                  </w:r>
                </w:p>
              </w:tc>
              <w:tc>
                <w:tcPr>
                  <w:tcW w:w="2048" w:type="pct"/>
                  <w:noWrap w:val="0"/>
                  <w:vAlign w:val="center"/>
                </w:tcPr>
                <w:p w14:paraId="474D054E">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本项目产生的不凝气，</w:t>
                  </w:r>
                  <w:r>
                    <w:rPr>
                      <w:rFonts w:hint="default" w:ascii="Times New Roman" w:hAnsi="Times New Roman" w:eastAsia="宋体" w:cs="Times New Roman"/>
                      <w:color w:val="000000"/>
                      <w:kern w:val="0"/>
                      <w:szCs w:val="21"/>
                      <w:lang w:val="en-US" w:eastAsia="zh-CN"/>
                    </w:rPr>
                    <w:t>经</w:t>
                  </w:r>
                  <w:r>
                    <w:rPr>
                      <w:rFonts w:hint="default" w:ascii="Times New Roman" w:hAnsi="Times New Roman" w:eastAsia="宋体" w:cs="Times New Roman"/>
                      <w:color w:val="000000"/>
                      <w:kern w:val="0"/>
                      <w:szCs w:val="21"/>
                    </w:rPr>
                    <w:t>过</w:t>
                  </w:r>
                  <w:r>
                    <w:rPr>
                      <w:rFonts w:hint="default" w:ascii="Times New Roman" w:hAnsi="Times New Roman" w:eastAsia="宋体" w:cs="Times New Roman"/>
                      <w:color w:val="000000"/>
                      <w:kern w:val="0"/>
                      <w:szCs w:val="21"/>
                      <w:lang w:val="en-US" w:eastAsia="zh-CN"/>
                    </w:rPr>
                    <w:t>合成装置</w:t>
                  </w:r>
                  <w:r>
                    <w:rPr>
                      <w:rFonts w:hint="default" w:ascii="Times New Roman" w:hAnsi="Times New Roman" w:eastAsia="宋体" w:cs="Times New Roman"/>
                      <w:color w:val="000000"/>
                      <w:kern w:val="0"/>
                      <w:szCs w:val="21"/>
                    </w:rPr>
                    <w:t>释放气压缩机分液罐（26121-V018）分液后进入释放气压缩机（26121-C002A/B），释放气经四级压缩后送至下游的尾气脱碳单元进行处理。一、二、三、四级压缩凝液送至油水分离器（26111-V012）。</w:t>
                  </w:r>
                  <w:r>
                    <w:rPr>
                      <w:rFonts w:hint="default" w:ascii="Times New Roman" w:hAnsi="Times New Roman" w:eastAsia="宋体" w:cs="Times New Roman"/>
                      <w:color w:val="000000"/>
                      <w:kern w:val="0"/>
                      <w:szCs w:val="21"/>
                      <w:lang w:val="en-US" w:eastAsia="zh-CN"/>
                    </w:rPr>
                    <w:t>尾气脱碳单元一部分气体进入合</w:t>
                  </w:r>
                  <w:r>
                    <w:rPr>
                      <w:rFonts w:hint="eastAsia" w:cs="Times New Roman"/>
                      <w:color w:val="000000"/>
                      <w:kern w:val="0"/>
                      <w:szCs w:val="21"/>
                      <w:lang w:val="en-US" w:eastAsia="zh-CN"/>
                    </w:rPr>
                    <w:t>成装置产出产品，另一部分气体进入加工油洗单元</w:t>
                  </w:r>
                  <w:r>
                    <w:rPr>
                      <w:rFonts w:hint="default" w:ascii="Times New Roman" w:hAnsi="Times New Roman" w:eastAsia="宋体" w:cs="Times New Roman"/>
                      <w:color w:val="000000"/>
                      <w:kern w:val="0"/>
                      <w:szCs w:val="21"/>
                      <w:lang w:val="en-US" w:eastAsia="zh-CN"/>
                    </w:rPr>
                    <w:t>产出产品。</w:t>
                  </w:r>
                  <w:r>
                    <w:rPr>
                      <w:rFonts w:hint="eastAsia"/>
                      <w:color w:val="000000"/>
                      <w:sz w:val="21"/>
                      <w:szCs w:val="21"/>
                      <w:lang w:val="en-US" w:eastAsia="zh-CN"/>
                    </w:rPr>
                    <w:t>罐区和装置区无组织废气直接排放。</w:t>
                  </w:r>
                </w:p>
              </w:tc>
              <w:tc>
                <w:tcPr>
                  <w:tcW w:w="367" w:type="pct"/>
                  <w:tcBorders>
                    <w:right w:val="single" w:color="auto" w:sz="4" w:space="0"/>
                  </w:tcBorders>
                  <w:noWrap w:val="0"/>
                  <w:vAlign w:val="center"/>
                </w:tcPr>
                <w:p w14:paraId="0EB26833">
                  <w:pPr>
                    <w:autoSpaceDE w:val="0"/>
                    <w:autoSpaceDN w:val="0"/>
                    <w:jc w:val="center"/>
                    <w:rPr>
                      <w:color w:val="000000"/>
                      <w:sz w:val="21"/>
                      <w:szCs w:val="21"/>
                    </w:rPr>
                  </w:pPr>
                  <w:r>
                    <w:rPr>
                      <w:rFonts w:hint="eastAsia"/>
                      <w:color w:val="000000"/>
                      <w:sz w:val="21"/>
                      <w:szCs w:val="21"/>
                      <w:lang w:val="en-US" w:eastAsia="zh-CN"/>
                    </w:rPr>
                    <w:t>依托</w:t>
                  </w:r>
                </w:p>
              </w:tc>
            </w:tr>
            <w:tr w14:paraId="1E9E84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91" w:type="pct"/>
                  <w:vMerge w:val="continue"/>
                  <w:tcBorders>
                    <w:left w:val="single" w:color="auto" w:sz="4" w:space="0"/>
                  </w:tcBorders>
                  <w:noWrap w:val="0"/>
                  <w:vAlign w:val="center"/>
                </w:tcPr>
                <w:p w14:paraId="376FDBB8">
                  <w:pPr>
                    <w:autoSpaceDE w:val="0"/>
                    <w:autoSpaceDN w:val="0"/>
                    <w:jc w:val="center"/>
                    <w:rPr>
                      <w:color w:val="000000"/>
                      <w:sz w:val="21"/>
                      <w:szCs w:val="21"/>
                    </w:rPr>
                  </w:pPr>
                </w:p>
              </w:tc>
              <w:tc>
                <w:tcPr>
                  <w:tcW w:w="234" w:type="pct"/>
                  <w:vMerge w:val="restart"/>
                  <w:noWrap w:val="0"/>
                  <w:vAlign w:val="center"/>
                </w:tcPr>
                <w:p w14:paraId="7A83365A">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废水</w:t>
                  </w:r>
                </w:p>
              </w:tc>
              <w:tc>
                <w:tcPr>
                  <w:tcW w:w="638" w:type="pct"/>
                  <w:gridSpan w:val="2"/>
                  <w:noWrap w:val="0"/>
                  <w:vAlign w:val="center"/>
                </w:tcPr>
                <w:p w14:paraId="7D7CCACD">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蒸汽凝结水</w:t>
                  </w:r>
                </w:p>
              </w:tc>
              <w:tc>
                <w:tcPr>
                  <w:tcW w:w="1520" w:type="pct"/>
                  <w:noWrap w:val="0"/>
                  <w:vAlign w:val="center"/>
                </w:tcPr>
                <w:p w14:paraId="16258C9B">
                  <w:pPr>
                    <w:autoSpaceDE w:val="0"/>
                    <w:autoSpaceDN w:val="0"/>
                    <w:jc w:val="center"/>
                    <w:rPr>
                      <w:rFonts w:hint="eastAsia"/>
                      <w:color w:val="000000"/>
                      <w:sz w:val="21"/>
                      <w:szCs w:val="21"/>
                      <w:lang w:val="en-US" w:eastAsia="zh-CN"/>
                    </w:rPr>
                  </w:pPr>
                  <w:r>
                    <w:rPr>
                      <w:rFonts w:hint="eastAsia"/>
                      <w:color w:val="000000"/>
                      <w:sz w:val="21"/>
                      <w:szCs w:val="21"/>
                      <w:lang w:val="en-US" w:eastAsia="zh-CN"/>
                    </w:rPr>
                    <w:t>/</w:t>
                  </w:r>
                </w:p>
              </w:tc>
              <w:tc>
                <w:tcPr>
                  <w:tcW w:w="2048" w:type="pct"/>
                  <w:noWrap w:val="0"/>
                  <w:vAlign w:val="center"/>
                </w:tcPr>
                <w:p w14:paraId="139AB919">
                  <w:pPr>
                    <w:autoSpaceDE w:val="0"/>
                    <w:autoSpaceDN w:val="0"/>
                    <w:jc w:val="center"/>
                    <w:rPr>
                      <w:rFonts w:hint="default" w:eastAsia="宋体"/>
                      <w:color w:val="000000"/>
                      <w:sz w:val="21"/>
                      <w:szCs w:val="21"/>
                      <w:lang w:val="en-US" w:eastAsia="zh-CN"/>
                    </w:rPr>
                  </w:pPr>
                  <w:r>
                    <w:rPr>
                      <w:rFonts w:hint="eastAsia"/>
                      <w:color w:val="000000"/>
                      <w:sz w:val="21"/>
                      <w:szCs w:val="21"/>
                      <w:lang w:val="en-US" w:eastAsia="zh-CN"/>
                    </w:rPr>
                    <w:t>送至厂区现有污水处理厂处理。</w:t>
                  </w:r>
                </w:p>
              </w:tc>
              <w:tc>
                <w:tcPr>
                  <w:tcW w:w="367" w:type="pct"/>
                  <w:tcBorders>
                    <w:right w:val="single" w:color="auto" w:sz="4" w:space="0"/>
                  </w:tcBorders>
                  <w:noWrap w:val="0"/>
                  <w:vAlign w:val="center"/>
                </w:tcPr>
                <w:p w14:paraId="12A4F0A3">
                  <w:pPr>
                    <w:autoSpaceDE w:val="0"/>
                    <w:autoSpaceDN w:val="0"/>
                    <w:jc w:val="center"/>
                    <w:rPr>
                      <w:rFonts w:hint="eastAsia"/>
                      <w:color w:val="000000"/>
                      <w:sz w:val="21"/>
                      <w:szCs w:val="21"/>
                      <w:lang w:val="en-US" w:eastAsia="zh-CN"/>
                    </w:rPr>
                  </w:pPr>
                  <w:r>
                    <w:rPr>
                      <w:rFonts w:hint="eastAsia"/>
                      <w:color w:val="000000"/>
                      <w:sz w:val="21"/>
                      <w:szCs w:val="21"/>
                      <w:lang w:val="en-US" w:eastAsia="zh-CN"/>
                    </w:rPr>
                    <w:t>依托</w:t>
                  </w:r>
                </w:p>
              </w:tc>
            </w:tr>
            <w:tr w14:paraId="71EA68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02" w:hRule="atLeast"/>
                <w:jc w:val="center"/>
              </w:trPr>
              <w:tc>
                <w:tcPr>
                  <w:tcW w:w="191" w:type="pct"/>
                  <w:vMerge w:val="continue"/>
                  <w:tcBorders>
                    <w:left w:val="single" w:color="auto" w:sz="4" w:space="0"/>
                  </w:tcBorders>
                  <w:noWrap w:val="0"/>
                  <w:vAlign w:val="center"/>
                </w:tcPr>
                <w:p w14:paraId="56BB5541">
                  <w:pPr>
                    <w:autoSpaceDE w:val="0"/>
                    <w:autoSpaceDN w:val="0"/>
                    <w:jc w:val="center"/>
                    <w:rPr>
                      <w:color w:val="000000"/>
                      <w:sz w:val="21"/>
                      <w:szCs w:val="21"/>
                    </w:rPr>
                  </w:pPr>
                </w:p>
              </w:tc>
              <w:tc>
                <w:tcPr>
                  <w:tcW w:w="234" w:type="pct"/>
                  <w:vMerge w:val="continue"/>
                  <w:noWrap w:val="0"/>
                  <w:vAlign w:val="center"/>
                </w:tcPr>
                <w:p w14:paraId="18398715">
                  <w:pPr>
                    <w:autoSpaceDE w:val="0"/>
                    <w:autoSpaceDN w:val="0"/>
                    <w:jc w:val="center"/>
                    <w:rPr>
                      <w:color w:val="000000"/>
                      <w:sz w:val="21"/>
                      <w:szCs w:val="21"/>
                    </w:rPr>
                  </w:pPr>
                </w:p>
              </w:tc>
              <w:tc>
                <w:tcPr>
                  <w:tcW w:w="638" w:type="pct"/>
                  <w:gridSpan w:val="2"/>
                  <w:noWrap w:val="0"/>
                  <w:vAlign w:val="center"/>
                </w:tcPr>
                <w:p w14:paraId="290CE8DE">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水洗废水</w:t>
                  </w:r>
                </w:p>
              </w:tc>
              <w:tc>
                <w:tcPr>
                  <w:tcW w:w="1520" w:type="pct"/>
                  <w:noWrap w:val="0"/>
                  <w:vAlign w:val="center"/>
                </w:tcPr>
                <w:p w14:paraId="609D6C88">
                  <w:pPr>
                    <w:autoSpaceDE w:val="0"/>
                    <w:autoSpaceDN w:val="0"/>
                    <w:jc w:val="center"/>
                    <w:rPr>
                      <w:rFonts w:hint="eastAsia"/>
                      <w:color w:val="000000"/>
                      <w:sz w:val="21"/>
                      <w:szCs w:val="21"/>
                      <w:lang w:val="en-US" w:eastAsia="zh-CN"/>
                    </w:rPr>
                  </w:pPr>
                  <w:r>
                    <w:rPr>
                      <w:rFonts w:hint="eastAsia"/>
                      <w:color w:val="000000"/>
                      <w:sz w:val="21"/>
                      <w:szCs w:val="21"/>
                      <w:lang w:val="en-US" w:eastAsia="zh-CN"/>
                    </w:rPr>
                    <w:t>/</w:t>
                  </w:r>
                </w:p>
              </w:tc>
              <w:tc>
                <w:tcPr>
                  <w:tcW w:w="2048" w:type="pct"/>
                  <w:noWrap w:val="0"/>
                  <w:vAlign w:val="center"/>
                </w:tcPr>
                <w:p w14:paraId="028B6EF9">
                  <w:pPr>
                    <w:autoSpaceDE w:val="0"/>
                    <w:autoSpaceDN w:val="0"/>
                    <w:jc w:val="center"/>
                    <w:rPr>
                      <w:rFonts w:hint="eastAsia"/>
                      <w:color w:val="000000"/>
                      <w:sz w:val="21"/>
                      <w:szCs w:val="21"/>
                    </w:rPr>
                  </w:pPr>
                  <w:r>
                    <w:rPr>
                      <w:rFonts w:hint="eastAsia"/>
                      <w:color w:val="000000"/>
                      <w:sz w:val="21"/>
                      <w:szCs w:val="21"/>
                      <w:lang w:val="en-US" w:eastAsia="zh-CN"/>
                    </w:rPr>
                    <w:t>送至厂区现有污水处理厂处理。</w:t>
                  </w:r>
                </w:p>
              </w:tc>
              <w:tc>
                <w:tcPr>
                  <w:tcW w:w="367" w:type="pct"/>
                  <w:tcBorders>
                    <w:right w:val="single" w:color="auto" w:sz="4" w:space="0"/>
                  </w:tcBorders>
                  <w:noWrap w:val="0"/>
                  <w:vAlign w:val="center"/>
                </w:tcPr>
                <w:p w14:paraId="02FD5ADF">
                  <w:pPr>
                    <w:autoSpaceDE w:val="0"/>
                    <w:autoSpaceDN w:val="0"/>
                    <w:jc w:val="center"/>
                    <w:rPr>
                      <w:rFonts w:hint="eastAsia"/>
                      <w:color w:val="000000"/>
                      <w:sz w:val="21"/>
                      <w:szCs w:val="21"/>
                      <w:lang w:val="en-US" w:eastAsia="zh-CN"/>
                    </w:rPr>
                  </w:pPr>
                  <w:r>
                    <w:rPr>
                      <w:rFonts w:hint="eastAsia"/>
                      <w:color w:val="000000"/>
                      <w:sz w:val="21"/>
                      <w:szCs w:val="21"/>
                      <w:lang w:val="en-US" w:eastAsia="zh-CN"/>
                    </w:rPr>
                    <w:t>依托</w:t>
                  </w:r>
                </w:p>
              </w:tc>
            </w:tr>
            <w:tr w14:paraId="0E521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191" w:type="pct"/>
                  <w:vMerge w:val="continue"/>
                  <w:tcBorders>
                    <w:left w:val="single" w:color="auto" w:sz="4" w:space="0"/>
                  </w:tcBorders>
                  <w:noWrap w:val="0"/>
                  <w:vAlign w:val="center"/>
                </w:tcPr>
                <w:p w14:paraId="4DB9874D">
                  <w:pPr>
                    <w:autoSpaceDE w:val="0"/>
                    <w:autoSpaceDN w:val="0"/>
                    <w:jc w:val="center"/>
                    <w:rPr>
                      <w:color w:val="000000"/>
                      <w:sz w:val="21"/>
                      <w:szCs w:val="21"/>
                      <w:highlight w:val="yellow"/>
                    </w:rPr>
                  </w:pPr>
                </w:p>
              </w:tc>
              <w:tc>
                <w:tcPr>
                  <w:tcW w:w="872" w:type="pct"/>
                  <w:gridSpan w:val="3"/>
                  <w:noWrap w:val="0"/>
                  <w:vAlign w:val="center"/>
                </w:tcPr>
                <w:p w14:paraId="628A68E7">
                  <w:pPr>
                    <w:autoSpaceDE w:val="0"/>
                    <w:autoSpaceDN w:val="0"/>
                    <w:jc w:val="center"/>
                    <w:rPr>
                      <w:color w:val="000000"/>
                      <w:sz w:val="21"/>
                      <w:szCs w:val="21"/>
                    </w:rPr>
                  </w:pPr>
                  <w:r>
                    <w:rPr>
                      <w:color w:val="000000"/>
                      <w:sz w:val="21"/>
                      <w:szCs w:val="21"/>
                    </w:rPr>
                    <w:t>噪声</w:t>
                  </w:r>
                </w:p>
              </w:tc>
              <w:tc>
                <w:tcPr>
                  <w:tcW w:w="1520" w:type="pct"/>
                  <w:noWrap w:val="0"/>
                  <w:vAlign w:val="center"/>
                </w:tcPr>
                <w:p w14:paraId="4469B732">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w:t>
                  </w:r>
                </w:p>
              </w:tc>
              <w:tc>
                <w:tcPr>
                  <w:tcW w:w="2048" w:type="pct"/>
                  <w:noWrap w:val="0"/>
                  <w:vAlign w:val="center"/>
                </w:tcPr>
                <w:p w14:paraId="5A9C5738">
                  <w:pPr>
                    <w:autoSpaceDE w:val="0"/>
                    <w:autoSpaceDN w:val="0"/>
                    <w:jc w:val="center"/>
                    <w:rPr>
                      <w:rFonts w:hint="eastAsia" w:eastAsia="宋体"/>
                      <w:color w:val="000000"/>
                      <w:sz w:val="21"/>
                      <w:szCs w:val="21"/>
                      <w:lang w:eastAsia="zh-CN"/>
                    </w:rPr>
                  </w:pPr>
                  <w:r>
                    <w:rPr>
                      <w:color w:val="000000"/>
                      <w:sz w:val="21"/>
                      <w:szCs w:val="21"/>
                    </w:rPr>
                    <w:t>噪声</w:t>
                  </w:r>
                  <w:r>
                    <w:rPr>
                      <w:rFonts w:hint="eastAsia"/>
                      <w:color w:val="000000"/>
                      <w:sz w:val="21"/>
                      <w:szCs w:val="21"/>
                      <w:lang w:val="en-US" w:eastAsia="zh-CN"/>
                    </w:rPr>
                    <w:t>源</w:t>
                  </w:r>
                  <w:r>
                    <w:rPr>
                      <w:color w:val="000000"/>
                      <w:sz w:val="21"/>
                      <w:szCs w:val="21"/>
                    </w:rPr>
                    <w:t>主要是各种泵类，</w:t>
                  </w:r>
                  <w:r>
                    <w:rPr>
                      <w:rFonts w:hint="eastAsia"/>
                      <w:color w:val="000000"/>
                      <w:sz w:val="21"/>
                      <w:szCs w:val="21"/>
                      <w:lang w:val="en-US" w:eastAsia="zh-CN"/>
                    </w:rPr>
                    <w:t>要求</w:t>
                  </w:r>
                  <w:r>
                    <w:rPr>
                      <w:color w:val="000000"/>
                      <w:sz w:val="21"/>
                      <w:szCs w:val="21"/>
                    </w:rPr>
                    <w:t>选用低噪声设备，厂房隔声、基础减</w:t>
                  </w:r>
                  <w:r>
                    <w:rPr>
                      <w:rFonts w:hint="eastAsia"/>
                      <w:color w:val="000000"/>
                      <w:sz w:val="21"/>
                      <w:szCs w:val="21"/>
                    </w:rPr>
                    <w:t>振</w:t>
                  </w:r>
                  <w:r>
                    <w:rPr>
                      <w:rFonts w:hint="eastAsia"/>
                      <w:color w:val="000000"/>
                      <w:sz w:val="21"/>
                      <w:szCs w:val="21"/>
                      <w:lang w:eastAsia="zh-CN"/>
                    </w:rPr>
                    <w:t>。</w:t>
                  </w:r>
                </w:p>
              </w:tc>
              <w:tc>
                <w:tcPr>
                  <w:tcW w:w="367" w:type="pct"/>
                  <w:tcBorders>
                    <w:right w:val="single" w:color="auto" w:sz="4" w:space="0"/>
                  </w:tcBorders>
                  <w:noWrap w:val="0"/>
                  <w:vAlign w:val="center"/>
                </w:tcPr>
                <w:p w14:paraId="757C4085">
                  <w:pPr>
                    <w:autoSpaceDE w:val="0"/>
                    <w:autoSpaceDN w:val="0"/>
                    <w:jc w:val="center"/>
                    <w:rPr>
                      <w:color w:val="000000"/>
                      <w:sz w:val="21"/>
                      <w:szCs w:val="21"/>
                      <w:highlight w:val="yellow"/>
                    </w:rPr>
                  </w:pPr>
                  <w:r>
                    <w:rPr>
                      <w:color w:val="000000"/>
                      <w:sz w:val="21"/>
                      <w:szCs w:val="21"/>
                    </w:rPr>
                    <w:t>新建</w:t>
                  </w:r>
                </w:p>
              </w:tc>
            </w:tr>
            <w:tr w14:paraId="105B3D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191" w:type="pct"/>
                  <w:vMerge w:val="continue"/>
                  <w:tcBorders>
                    <w:left w:val="single" w:color="auto" w:sz="4" w:space="0"/>
                    <w:bottom w:val="single" w:color="auto" w:sz="4" w:space="0"/>
                  </w:tcBorders>
                  <w:noWrap w:val="0"/>
                  <w:vAlign w:val="center"/>
                </w:tcPr>
                <w:p w14:paraId="55F1E544">
                  <w:pPr>
                    <w:autoSpaceDE w:val="0"/>
                    <w:autoSpaceDN w:val="0"/>
                    <w:jc w:val="center"/>
                    <w:rPr>
                      <w:color w:val="000000"/>
                      <w:sz w:val="21"/>
                      <w:szCs w:val="21"/>
                      <w:highlight w:val="yellow"/>
                    </w:rPr>
                  </w:pPr>
                </w:p>
              </w:tc>
              <w:tc>
                <w:tcPr>
                  <w:tcW w:w="293" w:type="pct"/>
                  <w:gridSpan w:val="2"/>
                  <w:tcBorders>
                    <w:bottom w:val="single" w:color="auto" w:sz="4" w:space="0"/>
                  </w:tcBorders>
                  <w:noWrap w:val="0"/>
                  <w:vAlign w:val="center"/>
                </w:tcPr>
                <w:p w14:paraId="0DC86CD9">
                  <w:pPr>
                    <w:autoSpaceDE w:val="0"/>
                    <w:autoSpaceDN w:val="0"/>
                    <w:jc w:val="center"/>
                    <w:rPr>
                      <w:rFonts w:hint="eastAsia"/>
                      <w:color w:val="000000"/>
                      <w:sz w:val="21"/>
                      <w:szCs w:val="21"/>
                      <w:highlight w:val="yellow"/>
                    </w:rPr>
                  </w:pPr>
                  <w:r>
                    <w:rPr>
                      <w:rFonts w:hint="eastAsia"/>
                      <w:color w:val="000000"/>
                      <w:sz w:val="21"/>
                      <w:szCs w:val="21"/>
                    </w:rPr>
                    <w:t>固体废物</w:t>
                  </w:r>
                </w:p>
              </w:tc>
              <w:tc>
                <w:tcPr>
                  <w:tcW w:w="579" w:type="pct"/>
                  <w:tcBorders>
                    <w:bottom w:val="single" w:color="auto" w:sz="4" w:space="0"/>
                  </w:tcBorders>
                  <w:noWrap w:val="0"/>
                  <w:vAlign w:val="center"/>
                </w:tcPr>
                <w:p w14:paraId="73A53659">
                  <w:pPr>
                    <w:autoSpaceDE w:val="0"/>
                    <w:autoSpaceDN w:val="0"/>
                    <w:jc w:val="center"/>
                    <w:rPr>
                      <w:rFonts w:hint="eastAsia" w:eastAsia="宋体"/>
                      <w:color w:val="000000"/>
                      <w:sz w:val="21"/>
                      <w:szCs w:val="21"/>
                      <w:lang w:eastAsia="zh-CN"/>
                    </w:rPr>
                  </w:pPr>
                  <w:r>
                    <w:rPr>
                      <w:rFonts w:hint="eastAsia"/>
                      <w:color w:val="000000"/>
                      <w:sz w:val="21"/>
                      <w:szCs w:val="21"/>
                    </w:rPr>
                    <w:t>废</w:t>
                  </w:r>
                  <w:r>
                    <w:rPr>
                      <w:rFonts w:hint="eastAsia"/>
                      <w:color w:val="000000"/>
                      <w:sz w:val="21"/>
                      <w:szCs w:val="21"/>
                      <w:lang w:val="en-US" w:eastAsia="zh-CN"/>
                    </w:rPr>
                    <w:t>机油</w:t>
                  </w:r>
                </w:p>
              </w:tc>
              <w:tc>
                <w:tcPr>
                  <w:tcW w:w="1520" w:type="pct"/>
                  <w:tcBorders>
                    <w:bottom w:val="single" w:color="auto" w:sz="4" w:space="0"/>
                  </w:tcBorders>
                  <w:noWrap w:val="0"/>
                  <w:vAlign w:val="center"/>
                </w:tcPr>
                <w:p w14:paraId="66E98F8D">
                  <w:pPr>
                    <w:autoSpaceDE w:val="0"/>
                    <w:autoSpaceDN w:val="0"/>
                    <w:jc w:val="center"/>
                    <w:rPr>
                      <w:rFonts w:hint="eastAsia" w:eastAsia="宋体"/>
                      <w:color w:val="000000"/>
                      <w:sz w:val="21"/>
                      <w:szCs w:val="21"/>
                      <w:lang w:val="en-US" w:eastAsia="zh-CN"/>
                    </w:rPr>
                  </w:pPr>
                  <w:r>
                    <w:rPr>
                      <w:rFonts w:hint="eastAsia"/>
                      <w:color w:val="000000"/>
                      <w:sz w:val="21"/>
                      <w:szCs w:val="21"/>
                      <w:lang w:val="en-US" w:eastAsia="zh-CN"/>
                    </w:rPr>
                    <w:t>/</w:t>
                  </w:r>
                </w:p>
              </w:tc>
              <w:tc>
                <w:tcPr>
                  <w:tcW w:w="2048" w:type="pct"/>
                  <w:tcBorders>
                    <w:bottom w:val="single" w:color="auto" w:sz="4" w:space="0"/>
                  </w:tcBorders>
                  <w:noWrap w:val="0"/>
                  <w:vAlign w:val="center"/>
                </w:tcPr>
                <w:p w14:paraId="1AA91512">
                  <w:pPr>
                    <w:autoSpaceDE w:val="0"/>
                    <w:autoSpaceDN w:val="0"/>
                    <w:jc w:val="center"/>
                    <w:rPr>
                      <w:color w:val="000000"/>
                      <w:sz w:val="21"/>
                      <w:szCs w:val="21"/>
                    </w:rPr>
                  </w:pPr>
                  <w:r>
                    <w:rPr>
                      <w:rFonts w:hint="eastAsia"/>
                      <w:color w:val="000000"/>
                      <w:sz w:val="21"/>
                      <w:szCs w:val="21"/>
                      <w:lang w:val="en-US" w:eastAsia="zh-CN"/>
                    </w:rPr>
                    <w:t>收集后暂存于现有危废库，委托有资质单位处置。</w:t>
                  </w:r>
                </w:p>
              </w:tc>
              <w:tc>
                <w:tcPr>
                  <w:tcW w:w="367" w:type="pct"/>
                  <w:tcBorders>
                    <w:bottom w:val="single" w:color="auto" w:sz="4" w:space="0"/>
                    <w:right w:val="single" w:color="auto" w:sz="4" w:space="0"/>
                  </w:tcBorders>
                  <w:noWrap w:val="0"/>
                  <w:vAlign w:val="center"/>
                </w:tcPr>
                <w:p w14:paraId="2AFD7F4E">
                  <w:pPr>
                    <w:autoSpaceDE w:val="0"/>
                    <w:autoSpaceDN w:val="0"/>
                    <w:jc w:val="center"/>
                    <w:rPr>
                      <w:color w:val="000000"/>
                      <w:sz w:val="21"/>
                      <w:szCs w:val="21"/>
                      <w:highlight w:val="yellow"/>
                    </w:rPr>
                  </w:pPr>
                  <w:r>
                    <w:rPr>
                      <w:rFonts w:hint="eastAsia"/>
                      <w:color w:val="000000"/>
                      <w:sz w:val="21"/>
                      <w:szCs w:val="21"/>
                      <w:lang w:val="en-US" w:eastAsia="zh-CN"/>
                    </w:rPr>
                    <w:t>依托</w:t>
                  </w:r>
                </w:p>
              </w:tc>
            </w:tr>
          </w:tbl>
          <w:p w14:paraId="3ED6C34C">
            <w:pPr>
              <w:tabs>
                <w:tab w:val="left" w:pos="7600"/>
                <w:tab w:val="right" w:pos="14293"/>
              </w:tabs>
              <w:snapToGrid w:val="0"/>
              <w:spacing w:line="360" w:lineRule="auto"/>
              <w:ind w:firstLine="482" w:firstLineChars="200"/>
              <w:rPr>
                <w:b/>
                <w:color w:val="000000"/>
                <w:sz w:val="24"/>
                <w:szCs w:val="20"/>
              </w:rPr>
            </w:pPr>
            <w:r>
              <w:rPr>
                <w:b/>
                <w:color w:val="000000"/>
                <w:sz w:val="24"/>
                <w:szCs w:val="20"/>
              </w:rPr>
              <w:t>3.2主要产品</w:t>
            </w:r>
          </w:p>
          <w:p w14:paraId="3E50BCD0">
            <w:pPr>
              <w:spacing w:line="360" w:lineRule="auto"/>
              <w:ind w:firstLine="540"/>
              <w:rPr>
                <w:rFonts w:hint="eastAsia"/>
                <w:color w:val="000000"/>
                <w:sz w:val="24"/>
                <w:highlight w:val="none"/>
              </w:rPr>
            </w:pPr>
            <w:r>
              <w:rPr>
                <w:color w:val="000000"/>
                <w:sz w:val="24"/>
              </w:rPr>
              <w:t>本项目产品方案如</w:t>
            </w:r>
            <w:r>
              <w:rPr>
                <w:color w:val="000000"/>
                <w:sz w:val="24"/>
                <w:highlight w:val="none"/>
              </w:rPr>
              <w:t>下：</w:t>
            </w:r>
          </w:p>
          <w:p w14:paraId="65F5BEEC">
            <w:pPr>
              <w:tabs>
                <w:tab w:val="left" w:pos="7600"/>
                <w:tab w:val="right" w:pos="14293"/>
              </w:tabs>
              <w:snapToGrid w:val="0"/>
              <w:ind w:firstLine="2650" w:firstLineChars="1100"/>
              <w:rPr>
                <w:b/>
                <w:color w:val="000000"/>
                <w:sz w:val="24"/>
                <w:szCs w:val="20"/>
                <w:highlight w:val="none"/>
              </w:rPr>
            </w:pPr>
            <w:r>
              <w:rPr>
                <w:b/>
                <w:bCs/>
                <w:color w:val="000000"/>
                <w:sz w:val="24"/>
                <w:highlight w:val="none"/>
              </w:rPr>
              <w:t>表2-</w:t>
            </w:r>
            <w:r>
              <w:rPr>
                <w:rFonts w:hint="eastAsia"/>
                <w:b/>
                <w:bCs/>
                <w:color w:val="000000"/>
                <w:sz w:val="24"/>
                <w:highlight w:val="none"/>
                <w:lang w:val="en-US" w:eastAsia="zh-CN"/>
              </w:rPr>
              <w:t>3：</w:t>
            </w:r>
            <w:r>
              <w:rPr>
                <w:rFonts w:hint="eastAsia"/>
                <w:b/>
                <w:color w:val="000000"/>
                <w:sz w:val="24"/>
                <w:highlight w:val="none"/>
              </w:rPr>
              <w:t>本项目产品一览表</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1721"/>
              <w:gridCol w:w="1049"/>
              <w:gridCol w:w="1169"/>
              <w:gridCol w:w="1078"/>
              <w:gridCol w:w="1543"/>
              <w:gridCol w:w="1076"/>
            </w:tblGrid>
            <w:tr w14:paraId="3544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80" w:type="pct"/>
                  <w:noWrap w:val="0"/>
                  <w:vAlign w:val="center"/>
                </w:tcPr>
                <w:p w14:paraId="12BD4823">
                  <w:pPr>
                    <w:pStyle w:val="393"/>
                    <w:keepNext w:val="0"/>
                    <w:keepLines w:val="0"/>
                    <w:pageBreakBefore w:val="0"/>
                    <w:widowControl w:val="0"/>
                    <w:kinsoku/>
                    <w:wordWrap/>
                    <w:overflowPunct/>
                    <w:topLinePunct w:val="0"/>
                    <w:autoSpaceDE/>
                    <w:autoSpaceDN/>
                    <w:bidi w:val="0"/>
                    <w:adjustRightInd/>
                    <w:snapToGrid/>
                    <w:jc w:val="center"/>
                    <w:textAlignment w:val="auto"/>
                    <w:rPr>
                      <w:b/>
                      <w:bCs/>
                      <w:sz w:val="21"/>
                      <w:szCs w:val="21"/>
                      <w:highlight w:val="none"/>
                    </w:rPr>
                  </w:pPr>
                  <w:r>
                    <w:rPr>
                      <w:b/>
                      <w:bCs/>
                      <w:sz w:val="21"/>
                      <w:szCs w:val="21"/>
                      <w:highlight w:val="none"/>
                    </w:rPr>
                    <w:t>序号</w:t>
                  </w:r>
                </w:p>
              </w:tc>
              <w:tc>
                <w:tcPr>
                  <w:tcW w:w="1063" w:type="pct"/>
                  <w:noWrap w:val="0"/>
                  <w:vAlign w:val="center"/>
                </w:tcPr>
                <w:p w14:paraId="499E4C61">
                  <w:pPr>
                    <w:pStyle w:val="393"/>
                    <w:keepNext w:val="0"/>
                    <w:keepLines w:val="0"/>
                    <w:pageBreakBefore w:val="0"/>
                    <w:widowControl w:val="0"/>
                    <w:kinsoku/>
                    <w:wordWrap/>
                    <w:overflowPunct/>
                    <w:topLinePunct w:val="0"/>
                    <w:autoSpaceDE/>
                    <w:autoSpaceDN/>
                    <w:bidi w:val="0"/>
                    <w:adjustRightInd/>
                    <w:snapToGrid/>
                    <w:jc w:val="center"/>
                    <w:textAlignment w:val="auto"/>
                    <w:rPr>
                      <w:b/>
                      <w:bCs/>
                      <w:sz w:val="21"/>
                      <w:szCs w:val="21"/>
                      <w:highlight w:val="none"/>
                    </w:rPr>
                  </w:pPr>
                  <w:r>
                    <w:rPr>
                      <w:rFonts w:hint="eastAsia"/>
                      <w:b/>
                      <w:bCs/>
                      <w:sz w:val="21"/>
                      <w:szCs w:val="21"/>
                      <w:highlight w:val="none"/>
                    </w:rPr>
                    <w:t>产品名称</w:t>
                  </w:r>
                </w:p>
              </w:tc>
              <w:tc>
                <w:tcPr>
                  <w:tcW w:w="648" w:type="pct"/>
                  <w:noWrap w:val="0"/>
                  <w:vAlign w:val="center"/>
                </w:tcPr>
                <w:p w14:paraId="4532AADE">
                  <w:pPr>
                    <w:pStyle w:val="393"/>
                    <w:keepNext w:val="0"/>
                    <w:keepLines w:val="0"/>
                    <w:pageBreakBefore w:val="0"/>
                    <w:widowControl w:val="0"/>
                    <w:kinsoku/>
                    <w:wordWrap/>
                    <w:overflowPunct/>
                    <w:topLinePunct w:val="0"/>
                    <w:autoSpaceDE/>
                    <w:autoSpaceDN/>
                    <w:bidi w:val="0"/>
                    <w:adjustRightInd/>
                    <w:snapToGrid/>
                    <w:jc w:val="center"/>
                    <w:textAlignment w:val="auto"/>
                    <w:rPr>
                      <w:b/>
                      <w:bCs/>
                      <w:sz w:val="21"/>
                      <w:szCs w:val="21"/>
                      <w:highlight w:val="none"/>
                    </w:rPr>
                  </w:pPr>
                  <w:r>
                    <w:rPr>
                      <w:rFonts w:hint="eastAsia"/>
                      <w:b/>
                      <w:bCs/>
                      <w:sz w:val="21"/>
                      <w:szCs w:val="21"/>
                      <w:highlight w:val="none"/>
                    </w:rPr>
                    <w:t>产品规格</w:t>
                  </w:r>
                </w:p>
              </w:tc>
              <w:tc>
                <w:tcPr>
                  <w:tcW w:w="722" w:type="pct"/>
                  <w:noWrap w:val="0"/>
                  <w:vAlign w:val="center"/>
                </w:tcPr>
                <w:p w14:paraId="1D4D2456">
                  <w:pPr>
                    <w:pStyle w:val="393"/>
                    <w:keepNext w:val="0"/>
                    <w:keepLines w:val="0"/>
                    <w:pageBreakBefore w:val="0"/>
                    <w:widowControl w:val="0"/>
                    <w:kinsoku/>
                    <w:wordWrap/>
                    <w:overflowPunct/>
                    <w:topLinePunct w:val="0"/>
                    <w:autoSpaceDE/>
                    <w:autoSpaceDN/>
                    <w:bidi w:val="0"/>
                    <w:adjustRightInd/>
                    <w:snapToGrid/>
                    <w:jc w:val="center"/>
                    <w:textAlignment w:val="auto"/>
                    <w:rPr>
                      <w:b/>
                      <w:bCs/>
                      <w:sz w:val="21"/>
                      <w:szCs w:val="21"/>
                      <w:highlight w:val="none"/>
                    </w:rPr>
                  </w:pPr>
                  <w:r>
                    <w:rPr>
                      <w:b/>
                      <w:bCs/>
                      <w:sz w:val="21"/>
                      <w:szCs w:val="21"/>
                      <w:highlight w:val="none"/>
                    </w:rPr>
                    <w:t>产量（万t/a）</w:t>
                  </w:r>
                </w:p>
              </w:tc>
              <w:tc>
                <w:tcPr>
                  <w:tcW w:w="666" w:type="pct"/>
                  <w:noWrap w:val="0"/>
                  <w:vAlign w:val="center"/>
                </w:tcPr>
                <w:p w14:paraId="0E81C65C">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b/>
                      <w:bCs/>
                      <w:sz w:val="21"/>
                      <w:szCs w:val="21"/>
                      <w:highlight w:val="none"/>
                    </w:rPr>
                  </w:pPr>
                  <w:r>
                    <w:rPr>
                      <w:rFonts w:hint="eastAsia"/>
                      <w:b/>
                      <w:bCs/>
                      <w:sz w:val="21"/>
                      <w:szCs w:val="21"/>
                      <w:highlight w:val="none"/>
                    </w:rPr>
                    <w:t>生产时间</w:t>
                  </w:r>
                </w:p>
              </w:tc>
              <w:tc>
                <w:tcPr>
                  <w:tcW w:w="953" w:type="pct"/>
                  <w:noWrap w:val="0"/>
                  <w:vAlign w:val="center"/>
                </w:tcPr>
                <w:p w14:paraId="56C5A8AA">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
                      <w:bCs/>
                      <w:sz w:val="21"/>
                      <w:szCs w:val="21"/>
                      <w:highlight w:val="none"/>
                      <w:lang w:val="en-US" w:eastAsia="zh-CN"/>
                    </w:rPr>
                  </w:pPr>
                  <w:r>
                    <w:rPr>
                      <w:rFonts w:hint="eastAsia"/>
                      <w:b/>
                      <w:bCs/>
                      <w:sz w:val="21"/>
                      <w:szCs w:val="21"/>
                      <w:highlight w:val="none"/>
                      <w:lang w:val="en-US" w:eastAsia="zh-CN"/>
                    </w:rPr>
                    <w:t>暂存方式</w:t>
                  </w:r>
                </w:p>
              </w:tc>
              <w:tc>
                <w:tcPr>
                  <w:tcW w:w="665" w:type="pct"/>
                  <w:noWrap w:val="0"/>
                  <w:vAlign w:val="center"/>
                </w:tcPr>
                <w:p w14:paraId="323403EF">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
                      <w:bCs/>
                      <w:sz w:val="21"/>
                      <w:szCs w:val="21"/>
                      <w:highlight w:val="none"/>
                      <w:lang w:val="en-US" w:eastAsia="zh-CN"/>
                    </w:rPr>
                  </w:pPr>
                  <w:r>
                    <w:rPr>
                      <w:rFonts w:hint="eastAsia"/>
                      <w:b/>
                      <w:bCs/>
                      <w:sz w:val="21"/>
                      <w:szCs w:val="21"/>
                      <w:highlight w:val="none"/>
                      <w:lang w:val="en-US" w:eastAsia="zh-CN"/>
                    </w:rPr>
                    <w:t>去向</w:t>
                  </w:r>
                </w:p>
              </w:tc>
            </w:tr>
            <w:tr w14:paraId="4616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80" w:type="pct"/>
                  <w:noWrap w:val="0"/>
                  <w:vAlign w:val="center"/>
                </w:tcPr>
                <w:p w14:paraId="107DFE16">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highlight w:val="none"/>
                    </w:rPr>
                  </w:pPr>
                  <w:r>
                    <w:rPr>
                      <w:rFonts w:hint="eastAsia"/>
                      <w:sz w:val="21"/>
                      <w:szCs w:val="21"/>
                      <w:highlight w:val="none"/>
                    </w:rPr>
                    <w:t>1</w:t>
                  </w:r>
                </w:p>
              </w:tc>
              <w:tc>
                <w:tcPr>
                  <w:tcW w:w="1063" w:type="pct"/>
                  <w:noWrap w:val="0"/>
                  <w:vAlign w:val="center"/>
                </w:tcPr>
                <w:p w14:paraId="563E158B">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C5烷烯烃</w:t>
                  </w:r>
                </w:p>
              </w:tc>
              <w:tc>
                <w:tcPr>
                  <w:tcW w:w="648" w:type="pct"/>
                  <w:noWrap w:val="0"/>
                  <w:vAlign w:val="center"/>
                </w:tcPr>
                <w:p w14:paraId="392F8EE3">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≥98%</w:t>
                  </w:r>
                </w:p>
              </w:tc>
              <w:tc>
                <w:tcPr>
                  <w:tcW w:w="722" w:type="pct"/>
                  <w:noWrap w:val="0"/>
                  <w:vAlign w:val="center"/>
                </w:tcPr>
                <w:p w14:paraId="2007A57F">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1.5</w:t>
                  </w:r>
                </w:p>
              </w:tc>
              <w:tc>
                <w:tcPr>
                  <w:tcW w:w="666" w:type="pct"/>
                  <w:noWrap w:val="0"/>
                  <w:vAlign w:val="center"/>
                </w:tcPr>
                <w:p w14:paraId="744BCF8D">
                  <w:pPr>
                    <w:pStyle w:val="393"/>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rFonts w:hint="eastAsia"/>
                      <w:sz w:val="21"/>
                      <w:szCs w:val="21"/>
                      <w:highlight w:val="none"/>
                    </w:rPr>
                    <w:t>8000h</w:t>
                  </w:r>
                </w:p>
              </w:tc>
              <w:tc>
                <w:tcPr>
                  <w:tcW w:w="953" w:type="pct"/>
                  <w:noWrap w:val="0"/>
                  <w:vAlign w:val="center"/>
                </w:tcPr>
                <w:p w14:paraId="2C1D59F8">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管道运输至伊诺公司（不在厂区暂存）</w:t>
                  </w:r>
                </w:p>
              </w:tc>
              <w:tc>
                <w:tcPr>
                  <w:tcW w:w="665" w:type="pct"/>
                  <w:noWrap w:val="0"/>
                  <w:vAlign w:val="center"/>
                </w:tcPr>
                <w:p w14:paraId="140F7507">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pacing w:val="1"/>
                      <w:sz w:val="21"/>
                      <w:szCs w:val="21"/>
                      <w:highlight w:val="none"/>
                      <w:lang w:val="en-US" w:eastAsia="zh-CN"/>
                    </w:rPr>
                  </w:pPr>
                  <w:r>
                    <w:rPr>
                      <w:rFonts w:hint="eastAsia"/>
                      <w:color w:val="000000"/>
                      <w:sz w:val="21"/>
                      <w:szCs w:val="21"/>
                      <w:highlight w:val="none"/>
                    </w:rPr>
                    <w:t>外销</w:t>
                  </w:r>
                </w:p>
              </w:tc>
            </w:tr>
            <w:tr w14:paraId="16E3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80" w:type="pct"/>
                  <w:noWrap w:val="0"/>
                  <w:vAlign w:val="center"/>
                </w:tcPr>
                <w:p w14:paraId="17CF1B24">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sz w:val="21"/>
                      <w:szCs w:val="21"/>
                      <w:highlight w:val="none"/>
                      <w:lang w:val="en-US" w:eastAsia="zh-CN"/>
                    </w:rPr>
                    <w:t>2</w:t>
                  </w:r>
                </w:p>
              </w:tc>
              <w:tc>
                <w:tcPr>
                  <w:tcW w:w="1063" w:type="pct"/>
                  <w:noWrap w:val="0"/>
                  <w:vAlign w:val="center"/>
                </w:tcPr>
                <w:p w14:paraId="3750CA31">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highlight w:val="none"/>
                      <w:lang w:val="en-US" w:eastAsia="zh-CN"/>
                    </w:rPr>
                  </w:pPr>
                  <w:r>
                    <w:rPr>
                      <w:rFonts w:hint="eastAsia"/>
                      <w:sz w:val="21"/>
                      <w:szCs w:val="21"/>
                      <w:highlight w:val="none"/>
                      <w:lang w:val="en-US" w:eastAsia="zh-CN"/>
                    </w:rPr>
                    <w:t>C4及C4-烷烯烃（罐区储存，外售）</w:t>
                  </w:r>
                </w:p>
              </w:tc>
              <w:tc>
                <w:tcPr>
                  <w:tcW w:w="648" w:type="pct"/>
                  <w:noWrap w:val="0"/>
                  <w:vAlign w:val="center"/>
                </w:tcPr>
                <w:p w14:paraId="37FF46AE">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highlight w:val="none"/>
                      <w:lang w:val="en-US" w:eastAsia="zh-CN"/>
                    </w:rPr>
                  </w:pPr>
                  <w:r>
                    <w:rPr>
                      <w:rFonts w:hint="eastAsia"/>
                      <w:sz w:val="21"/>
                      <w:szCs w:val="21"/>
                      <w:highlight w:val="none"/>
                      <w:lang w:val="en-US" w:eastAsia="zh-CN"/>
                    </w:rPr>
                    <w:t>≥98%</w:t>
                  </w:r>
                </w:p>
              </w:tc>
              <w:tc>
                <w:tcPr>
                  <w:tcW w:w="722" w:type="pct"/>
                  <w:noWrap w:val="0"/>
                  <w:vAlign w:val="center"/>
                </w:tcPr>
                <w:p w14:paraId="6E8FBDE4">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highlight w:val="none"/>
                      <w:lang w:val="en-US" w:eastAsia="zh-CN"/>
                    </w:rPr>
                  </w:pPr>
                  <w:r>
                    <w:rPr>
                      <w:rFonts w:hint="eastAsia"/>
                      <w:sz w:val="21"/>
                      <w:szCs w:val="21"/>
                      <w:highlight w:val="none"/>
                      <w:lang w:val="en-US" w:eastAsia="zh-CN"/>
                    </w:rPr>
                    <w:t>0.5</w:t>
                  </w:r>
                </w:p>
              </w:tc>
              <w:tc>
                <w:tcPr>
                  <w:tcW w:w="666" w:type="pct"/>
                  <w:noWrap w:val="0"/>
                  <w:vAlign w:val="center"/>
                </w:tcPr>
                <w:p w14:paraId="7328518A">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8000h</w:t>
                  </w:r>
                </w:p>
              </w:tc>
              <w:tc>
                <w:tcPr>
                  <w:tcW w:w="953" w:type="pct"/>
                  <w:noWrap w:val="0"/>
                  <w:vAlign w:val="center"/>
                </w:tcPr>
                <w:p w14:paraId="369926A1">
                  <w:pPr>
                    <w:pStyle w:val="393"/>
                    <w:keepNext w:val="0"/>
                    <w:keepLines w:val="0"/>
                    <w:pageBreakBefore w:val="0"/>
                    <w:widowControl w:val="0"/>
                    <w:kinsoku/>
                    <w:wordWrap/>
                    <w:overflowPunct/>
                    <w:topLinePunct w:val="0"/>
                    <w:autoSpaceDE/>
                    <w:autoSpaceDN/>
                    <w:bidi w:val="0"/>
                    <w:adjustRightInd/>
                    <w:snapToGrid/>
                    <w:jc w:val="center"/>
                    <w:textAlignment w:val="auto"/>
                    <w:rPr>
                      <w:rFonts w:hint="default"/>
                      <w:sz w:val="21"/>
                      <w:szCs w:val="21"/>
                      <w:highlight w:val="none"/>
                      <w:lang w:val="en-US" w:eastAsia="zh-CN"/>
                    </w:rPr>
                  </w:pPr>
                  <w:r>
                    <w:rPr>
                      <w:rFonts w:hint="eastAsia"/>
                      <w:sz w:val="21"/>
                      <w:szCs w:val="21"/>
                      <w:highlight w:val="none"/>
                      <w:lang w:val="en-US" w:eastAsia="zh-CN"/>
                    </w:rPr>
                    <w:t>罐区储存</w:t>
                  </w:r>
                </w:p>
              </w:tc>
              <w:tc>
                <w:tcPr>
                  <w:tcW w:w="665" w:type="pct"/>
                  <w:noWrap w:val="0"/>
                  <w:vAlign w:val="center"/>
                </w:tcPr>
                <w:p w14:paraId="2C0321F3">
                  <w:pPr>
                    <w:pStyle w:val="393"/>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color w:val="000000"/>
                      <w:sz w:val="21"/>
                      <w:szCs w:val="21"/>
                      <w:highlight w:val="none"/>
                      <w:lang w:val="en-US" w:eastAsia="zh-CN"/>
                    </w:rPr>
                  </w:pPr>
                  <w:r>
                    <w:rPr>
                      <w:rFonts w:hint="eastAsia"/>
                      <w:color w:val="000000"/>
                      <w:sz w:val="21"/>
                      <w:szCs w:val="21"/>
                      <w:highlight w:val="none"/>
                      <w:lang w:val="en-US" w:eastAsia="zh-CN"/>
                    </w:rPr>
                    <w:t>外销</w:t>
                  </w:r>
                </w:p>
              </w:tc>
            </w:tr>
          </w:tbl>
          <w:p w14:paraId="6455F95A">
            <w:pPr>
              <w:tabs>
                <w:tab w:val="left" w:pos="7600"/>
                <w:tab w:val="right" w:pos="14293"/>
              </w:tabs>
              <w:snapToGrid w:val="0"/>
              <w:spacing w:line="360" w:lineRule="auto"/>
              <w:ind w:firstLine="482" w:firstLineChars="200"/>
              <w:rPr>
                <w:b/>
                <w:color w:val="000000"/>
                <w:sz w:val="24"/>
                <w:szCs w:val="20"/>
              </w:rPr>
            </w:pPr>
            <w:r>
              <w:rPr>
                <w:b/>
                <w:color w:val="000000"/>
                <w:sz w:val="24"/>
                <w:szCs w:val="20"/>
              </w:rPr>
              <w:t>3.3原料来源</w:t>
            </w:r>
          </w:p>
          <w:p w14:paraId="647E21E4">
            <w:pPr>
              <w:tabs>
                <w:tab w:val="left" w:pos="7600"/>
                <w:tab w:val="right" w:pos="14293"/>
              </w:tabs>
              <w:snapToGrid w:val="0"/>
              <w:spacing w:line="360" w:lineRule="auto"/>
              <w:ind w:firstLine="480" w:firstLineChars="200"/>
              <w:rPr>
                <w:rFonts w:hint="default" w:eastAsia="宋体"/>
                <w:color w:val="000000"/>
                <w:sz w:val="24"/>
                <w:szCs w:val="20"/>
                <w:lang w:val="en-US" w:eastAsia="zh-CN"/>
              </w:rPr>
            </w:pPr>
            <w:r>
              <w:rPr>
                <w:color w:val="000000"/>
                <w:sz w:val="24"/>
                <w:szCs w:val="20"/>
              </w:rPr>
              <w:t>本项目主要原料</w:t>
            </w:r>
            <w:r>
              <w:rPr>
                <w:rFonts w:hint="eastAsia"/>
                <w:color w:val="000000"/>
                <w:sz w:val="24"/>
                <w:szCs w:val="20"/>
                <w:lang w:val="en-US" w:eastAsia="zh-CN"/>
              </w:rPr>
              <w:t>为</w:t>
            </w:r>
            <w:r>
              <w:rPr>
                <w:color w:val="000000"/>
                <w:sz w:val="24"/>
                <w:szCs w:val="20"/>
              </w:rPr>
              <w:t>内蒙古伊泰化工有限公司</w:t>
            </w:r>
            <w:r>
              <w:rPr>
                <w:rFonts w:hint="eastAsia"/>
                <w:color w:val="000000"/>
                <w:sz w:val="24"/>
                <w:szCs w:val="20"/>
                <w:lang w:val="en-US" w:eastAsia="zh-CN"/>
              </w:rPr>
              <w:t>120万吨/年精细化学品项目的费托合成轻质油</w:t>
            </w:r>
            <w:r>
              <w:rPr>
                <w:color w:val="000000"/>
                <w:sz w:val="24"/>
                <w:szCs w:val="20"/>
              </w:rPr>
              <w:t>，该</w:t>
            </w:r>
            <w:r>
              <w:rPr>
                <w:rFonts w:hint="eastAsia"/>
                <w:color w:val="000000"/>
                <w:sz w:val="24"/>
                <w:szCs w:val="20"/>
              </w:rPr>
              <w:t>项目</w:t>
            </w:r>
            <w:r>
              <w:rPr>
                <w:rFonts w:hint="eastAsia"/>
                <w:color w:val="000000"/>
                <w:sz w:val="24"/>
                <w:szCs w:val="20"/>
                <w:lang w:val="en-US" w:eastAsia="zh-CN"/>
              </w:rPr>
              <w:t>轻质油产生量</w:t>
            </w:r>
            <w:r>
              <w:rPr>
                <w:rFonts w:hint="eastAsia"/>
                <w:color w:val="000000"/>
                <w:sz w:val="24"/>
                <w:szCs w:val="20"/>
              </w:rPr>
              <w:t>为</w:t>
            </w:r>
            <w:r>
              <w:rPr>
                <w:rFonts w:hint="eastAsia"/>
                <w:color w:val="000000"/>
                <w:sz w:val="24"/>
                <w:szCs w:val="20"/>
                <w:lang w:val="en-US" w:eastAsia="zh-CN"/>
              </w:rPr>
              <w:t>36万t/a</w:t>
            </w:r>
            <w:r>
              <w:rPr>
                <w:color w:val="000000"/>
                <w:sz w:val="24"/>
                <w:szCs w:val="20"/>
              </w:rPr>
              <w:t>。</w:t>
            </w:r>
            <w:r>
              <w:rPr>
                <w:rFonts w:hint="eastAsia"/>
                <w:color w:val="000000"/>
                <w:sz w:val="24"/>
                <w:szCs w:val="20"/>
                <w:lang w:val="en-US" w:eastAsia="zh-CN"/>
              </w:rPr>
              <w:t>技改前轻质油直接送至油品加工装置生产稳定轻烃和柴油产品；技改后轻质油经提取C5烷烯烃后仍然送至油品加工装置生产稳定轻烃和柴油产品。</w:t>
            </w:r>
          </w:p>
          <w:p w14:paraId="0FF393E5">
            <w:pPr>
              <w:adjustRightInd w:val="0"/>
              <w:snapToGrid w:val="0"/>
              <w:spacing w:line="360" w:lineRule="auto"/>
              <w:ind w:firstLine="480" w:firstLineChars="200"/>
              <w:jc w:val="left"/>
              <w:rPr>
                <w:rFonts w:hint="eastAsia"/>
                <w:bCs/>
                <w:sz w:val="24"/>
              </w:rPr>
            </w:pPr>
            <w:r>
              <w:rPr>
                <w:rFonts w:hint="eastAsia"/>
                <w:bCs/>
                <w:sz w:val="24"/>
              </w:rPr>
              <w:t>本项目主要原材料消耗</w:t>
            </w:r>
            <w:r>
              <w:rPr>
                <w:rFonts w:hint="eastAsia"/>
                <w:bCs/>
                <w:sz w:val="24"/>
                <w:lang w:eastAsia="zh-CN"/>
              </w:rPr>
              <w:t>情况</w:t>
            </w:r>
            <w:r>
              <w:rPr>
                <w:rFonts w:hint="eastAsia"/>
                <w:bCs/>
                <w:sz w:val="24"/>
              </w:rPr>
              <w:t>见表2-</w:t>
            </w:r>
            <w:r>
              <w:rPr>
                <w:rFonts w:hint="eastAsia"/>
                <w:bCs/>
                <w:sz w:val="24"/>
                <w:lang w:val="en-US" w:eastAsia="zh-CN"/>
              </w:rPr>
              <w:t>4</w:t>
            </w:r>
            <w:r>
              <w:rPr>
                <w:rFonts w:hint="eastAsia"/>
                <w:bCs/>
                <w:sz w:val="24"/>
              </w:rPr>
              <w:t>。</w:t>
            </w:r>
          </w:p>
          <w:p w14:paraId="3820EF29">
            <w:pPr>
              <w:jc w:val="center"/>
              <w:rPr>
                <w:b/>
                <w:color w:val="000000"/>
                <w:sz w:val="24"/>
              </w:rPr>
            </w:pPr>
            <w:r>
              <w:rPr>
                <w:b/>
                <w:color w:val="000000"/>
                <w:sz w:val="24"/>
              </w:rPr>
              <w:t>表</w:t>
            </w:r>
            <w:r>
              <w:rPr>
                <w:rFonts w:hint="eastAsia"/>
                <w:b/>
                <w:color w:val="000000"/>
                <w:sz w:val="24"/>
              </w:rPr>
              <w:t>2-</w:t>
            </w:r>
            <w:r>
              <w:rPr>
                <w:rFonts w:hint="eastAsia"/>
                <w:b/>
                <w:color w:val="000000"/>
                <w:sz w:val="24"/>
                <w:lang w:val="en-US" w:eastAsia="zh-CN"/>
              </w:rPr>
              <w:t>4：</w:t>
            </w:r>
            <w:r>
              <w:rPr>
                <w:rFonts w:hint="eastAsia"/>
                <w:b/>
                <w:color w:val="000000"/>
                <w:sz w:val="24"/>
              </w:rPr>
              <w:t>主要</w:t>
            </w:r>
            <w:r>
              <w:rPr>
                <w:b/>
                <w:color w:val="000000"/>
                <w:sz w:val="24"/>
              </w:rPr>
              <w:t>原材料一览表</w:t>
            </w:r>
          </w:p>
          <w:tbl>
            <w:tblPr>
              <w:tblStyle w:val="41"/>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729"/>
              <w:gridCol w:w="2021"/>
              <w:gridCol w:w="1300"/>
              <w:gridCol w:w="1055"/>
              <w:gridCol w:w="2993"/>
            </w:tblGrid>
            <w:tr w14:paraId="7DA6C04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tblHeader/>
                <w:jc w:val="center"/>
              </w:trPr>
              <w:tc>
                <w:tcPr>
                  <w:tcW w:w="450" w:type="pct"/>
                  <w:tcBorders>
                    <w:top w:val="single" w:color="auto" w:sz="4" w:space="0"/>
                    <w:left w:val="single" w:color="auto" w:sz="0" w:space="0"/>
                  </w:tcBorders>
                  <w:noWrap w:val="0"/>
                  <w:vAlign w:val="center"/>
                </w:tcPr>
                <w:p w14:paraId="5F8B7E45">
                  <w:pPr>
                    <w:jc w:val="center"/>
                    <w:rPr>
                      <w:b/>
                      <w:bCs/>
                      <w:sz w:val="21"/>
                      <w:szCs w:val="21"/>
                    </w:rPr>
                  </w:pPr>
                  <w:r>
                    <w:rPr>
                      <w:b/>
                      <w:bCs/>
                      <w:sz w:val="21"/>
                      <w:szCs w:val="21"/>
                    </w:rPr>
                    <w:t>序号</w:t>
                  </w:r>
                </w:p>
              </w:tc>
              <w:tc>
                <w:tcPr>
                  <w:tcW w:w="1247" w:type="pct"/>
                  <w:tcBorders>
                    <w:top w:val="single" w:color="auto" w:sz="4" w:space="0"/>
                  </w:tcBorders>
                  <w:noWrap w:val="0"/>
                  <w:vAlign w:val="center"/>
                </w:tcPr>
                <w:p w14:paraId="2362B32F">
                  <w:pPr>
                    <w:jc w:val="center"/>
                    <w:rPr>
                      <w:b/>
                      <w:bCs/>
                      <w:sz w:val="21"/>
                      <w:szCs w:val="21"/>
                    </w:rPr>
                  </w:pPr>
                  <w:r>
                    <w:rPr>
                      <w:b/>
                      <w:bCs/>
                      <w:sz w:val="21"/>
                      <w:szCs w:val="21"/>
                    </w:rPr>
                    <w:t>名称</w:t>
                  </w:r>
                </w:p>
              </w:tc>
              <w:tc>
                <w:tcPr>
                  <w:tcW w:w="802" w:type="pct"/>
                  <w:tcBorders>
                    <w:top w:val="single" w:color="auto" w:sz="4" w:space="0"/>
                  </w:tcBorders>
                  <w:noWrap w:val="0"/>
                  <w:vAlign w:val="center"/>
                </w:tcPr>
                <w:p w14:paraId="505C9BE8">
                  <w:pPr>
                    <w:jc w:val="center"/>
                    <w:rPr>
                      <w:b/>
                      <w:bCs/>
                      <w:sz w:val="21"/>
                      <w:szCs w:val="21"/>
                    </w:rPr>
                  </w:pPr>
                  <w:r>
                    <w:rPr>
                      <w:b/>
                      <w:bCs/>
                      <w:sz w:val="21"/>
                      <w:szCs w:val="21"/>
                    </w:rPr>
                    <w:t>单位</w:t>
                  </w:r>
                </w:p>
              </w:tc>
              <w:tc>
                <w:tcPr>
                  <w:tcW w:w="651" w:type="pct"/>
                  <w:tcBorders>
                    <w:top w:val="single" w:color="auto" w:sz="4" w:space="0"/>
                  </w:tcBorders>
                  <w:noWrap w:val="0"/>
                  <w:vAlign w:val="center"/>
                </w:tcPr>
                <w:p w14:paraId="60AFEFC8">
                  <w:pPr>
                    <w:jc w:val="center"/>
                    <w:rPr>
                      <w:b/>
                      <w:bCs/>
                      <w:sz w:val="21"/>
                      <w:szCs w:val="21"/>
                    </w:rPr>
                  </w:pPr>
                  <w:r>
                    <w:rPr>
                      <w:rFonts w:hint="eastAsia"/>
                      <w:b/>
                      <w:bCs/>
                      <w:sz w:val="21"/>
                      <w:szCs w:val="21"/>
                    </w:rPr>
                    <w:t>数</w:t>
                  </w:r>
                  <w:r>
                    <w:rPr>
                      <w:b/>
                      <w:bCs/>
                      <w:sz w:val="21"/>
                      <w:szCs w:val="21"/>
                    </w:rPr>
                    <w:t>量</w:t>
                  </w:r>
                </w:p>
              </w:tc>
              <w:tc>
                <w:tcPr>
                  <w:tcW w:w="1847" w:type="pct"/>
                  <w:tcBorders>
                    <w:top w:val="single" w:color="auto" w:sz="4" w:space="0"/>
                    <w:right w:val="single" w:color="auto" w:sz="4" w:space="0"/>
                  </w:tcBorders>
                  <w:noWrap w:val="0"/>
                  <w:vAlign w:val="center"/>
                </w:tcPr>
                <w:p w14:paraId="6398E0C6">
                  <w:pPr>
                    <w:widowControl/>
                    <w:jc w:val="center"/>
                    <w:rPr>
                      <w:b/>
                      <w:bCs/>
                      <w:sz w:val="21"/>
                      <w:szCs w:val="21"/>
                    </w:rPr>
                  </w:pPr>
                  <w:r>
                    <w:rPr>
                      <w:b/>
                      <w:bCs/>
                      <w:sz w:val="21"/>
                      <w:szCs w:val="21"/>
                    </w:rPr>
                    <w:t>来源</w:t>
                  </w:r>
                </w:p>
              </w:tc>
            </w:tr>
            <w:tr w14:paraId="11C2449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50" w:type="pct"/>
                  <w:tcBorders>
                    <w:left w:val="single" w:color="auto" w:sz="4" w:space="0"/>
                    <w:bottom w:val="single" w:color="auto" w:sz="4" w:space="0"/>
                  </w:tcBorders>
                  <w:noWrap w:val="0"/>
                  <w:vAlign w:val="center"/>
                </w:tcPr>
                <w:p w14:paraId="36365E7E">
                  <w:pPr>
                    <w:jc w:val="center"/>
                    <w:rPr>
                      <w:sz w:val="21"/>
                      <w:szCs w:val="21"/>
                    </w:rPr>
                  </w:pPr>
                  <w:r>
                    <w:rPr>
                      <w:rFonts w:hint="eastAsia"/>
                      <w:sz w:val="21"/>
                      <w:szCs w:val="21"/>
                    </w:rPr>
                    <w:t>1</w:t>
                  </w:r>
                </w:p>
              </w:tc>
              <w:tc>
                <w:tcPr>
                  <w:tcW w:w="1247" w:type="pct"/>
                  <w:tcBorders>
                    <w:bottom w:val="single" w:color="auto" w:sz="4" w:space="0"/>
                  </w:tcBorders>
                  <w:noWrap w:val="0"/>
                  <w:vAlign w:val="center"/>
                </w:tcPr>
                <w:p w14:paraId="6300DF6F">
                  <w:pPr>
                    <w:widowControl/>
                    <w:spacing w:line="280" w:lineRule="exact"/>
                    <w:jc w:val="center"/>
                    <w:rPr>
                      <w:rFonts w:hint="default" w:eastAsia="宋体"/>
                      <w:color w:val="000000"/>
                      <w:kern w:val="0"/>
                      <w:sz w:val="21"/>
                      <w:szCs w:val="21"/>
                      <w:lang w:val="en-US" w:eastAsia="zh-CN"/>
                    </w:rPr>
                  </w:pPr>
                  <w:r>
                    <w:rPr>
                      <w:rFonts w:hint="eastAsia"/>
                      <w:color w:val="000000"/>
                      <w:kern w:val="0"/>
                      <w:sz w:val="21"/>
                      <w:szCs w:val="21"/>
                      <w:lang w:val="en-US" w:eastAsia="zh-CN"/>
                    </w:rPr>
                    <w:t>费托合成轻质油</w:t>
                  </w:r>
                </w:p>
              </w:tc>
              <w:tc>
                <w:tcPr>
                  <w:tcW w:w="802" w:type="pct"/>
                  <w:tcBorders>
                    <w:bottom w:val="single" w:color="auto" w:sz="4" w:space="0"/>
                  </w:tcBorders>
                  <w:noWrap w:val="0"/>
                  <w:vAlign w:val="center"/>
                </w:tcPr>
                <w:p w14:paraId="3FB6433B">
                  <w:pPr>
                    <w:spacing w:line="280" w:lineRule="exact"/>
                    <w:jc w:val="center"/>
                    <w:rPr>
                      <w:color w:val="000000"/>
                      <w:sz w:val="21"/>
                      <w:szCs w:val="21"/>
                    </w:rPr>
                  </w:pPr>
                  <w:r>
                    <w:rPr>
                      <w:rFonts w:hint="eastAsia"/>
                      <w:sz w:val="21"/>
                      <w:szCs w:val="21"/>
                    </w:rPr>
                    <w:t>万</w:t>
                  </w:r>
                  <w:r>
                    <w:rPr>
                      <w:sz w:val="21"/>
                      <w:szCs w:val="21"/>
                    </w:rPr>
                    <w:t>t/a</w:t>
                  </w:r>
                </w:p>
              </w:tc>
              <w:tc>
                <w:tcPr>
                  <w:tcW w:w="651" w:type="pct"/>
                  <w:tcBorders>
                    <w:bottom w:val="single" w:color="auto" w:sz="4" w:space="0"/>
                  </w:tcBorders>
                  <w:noWrap w:val="0"/>
                  <w:vAlign w:val="center"/>
                </w:tcPr>
                <w:p w14:paraId="140A7C44">
                  <w:pPr>
                    <w:jc w:val="center"/>
                    <w:rPr>
                      <w:rFonts w:hint="default" w:eastAsia="宋体"/>
                      <w:sz w:val="21"/>
                      <w:szCs w:val="21"/>
                      <w:lang w:val="en-US" w:eastAsia="zh-CN"/>
                    </w:rPr>
                  </w:pPr>
                  <w:r>
                    <w:rPr>
                      <w:rFonts w:hint="eastAsia"/>
                      <w:sz w:val="21"/>
                      <w:szCs w:val="21"/>
                      <w:lang w:val="en-US" w:eastAsia="zh-CN"/>
                    </w:rPr>
                    <w:t>36</w:t>
                  </w:r>
                </w:p>
              </w:tc>
              <w:tc>
                <w:tcPr>
                  <w:tcW w:w="1847" w:type="pct"/>
                  <w:tcBorders>
                    <w:bottom w:val="single" w:color="auto" w:sz="4" w:space="0"/>
                    <w:right w:val="single" w:color="auto" w:sz="4" w:space="0"/>
                  </w:tcBorders>
                  <w:noWrap w:val="0"/>
                  <w:vAlign w:val="center"/>
                </w:tcPr>
                <w:p w14:paraId="582A12A5">
                  <w:pPr>
                    <w:widowControl/>
                    <w:jc w:val="center"/>
                    <w:rPr>
                      <w:rFonts w:hint="default" w:eastAsia="宋体"/>
                      <w:color w:val="000000"/>
                      <w:sz w:val="21"/>
                      <w:szCs w:val="21"/>
                      <w:lang w:val="en-US" w:eastAsia="zh-CN"/>
                    </w:rPr>
                  </w:pPr>
                  <w:r>
                    <w:rPr>
                      <w:rFonts w:hint="eastAsia"/>
                      <w:color w:val="000000"/>
                      <w:sz w:val="21"/>
                      <w:szCs w:val="21"/>
                    </w:rPr>
                    <w:t>内供，来源为</w:t>
                  </w:r>
                  <w:r>
                    <w:rPr>
                      <w:rFonts w:hint="eastAsia"/>
                      <w:color w:val="000000"/>
                      <w:sz w:val="21"/>
                      <w:szCs w:val="21"/>
                      <w:lang w:val="en-US" w:eastAsia="zh-CN"/>
                    </w:rPr>
                    <w:t>费托合成单元。</w:t>
                  </w:r>
                </w:p>
              </w:tc>
            </w:tr>
          </w:tbl>
          <w:p w14:paraId="3F1265A6">
            <w:pPr>
              <w:jc w:val="center"/>
              <w:rPr>
                <w:b/>
                <w:color w:val="000000"/>
                <w:sz w:val="24"/>
              </w:rPr>
            </w:pPr>
            <w:r>
              <w:rPr>
                <w:b/>
                <w:color w:val="000000"/>
                <w:sz w:val="24"/>
              </w:rPr>
              <w:t>表</w:t>
            </w:r>
            <w:r>
              <w:rPr>
                <w:rFonts w:hint="eastAsia"/>
                <w:b/>
                <w:color w:val="000000"/>
                <w:sz w:val="24"/>
              </w:rPr>
              <w:t>2-</w:t>
            </w:r>
            <w:r>
              <w:rPr>
                <w:rFonts w:hint="eastAsia"/>
                <w:b/>
                <w:color w:val="000000"/>
                <w:sz w:val="24"/>
                <w:lang w:val="en-US" w:eastAsia="zh-CN"/>
              </w:rPr>
              <w:t>5：费托合成轻质油的</w:t>
            </w:r>
            <w:r>
              <w:rPr>
                <w:rFonts w:hint="eastAsia"/>
                <w:b/>
                <w:color w:val="000000"/>
                <w:sz w:val="24"/>
              </w:rPr>
              <w:t>主要成分</w:t>
            </w:r>
          </w:p>
          <w:tbl>
            <w:tblPr>
              <w:tblStyle w:val="41"/>
              <w:tblW w:w="4996" w:type="pct"/>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108" w:type="dxa"/>
                <w:bottom w:w="0" w:type="dxa"/>
                <w:right w:w="108" w:type="dxa"/>
              </w:tblCellMar>
            </w:tblPr>
            <w:tblGrid>
              <w:gridCol w:w="1008"/>
              <w:gridCol w:w="1008"/>
              <w:gridCol w:w="1011"/>
              <w:gridCol w:w="1011"/>
              <w:gridCol w:w="1011"/>
              <w:gridCol w:w="1014"/>
              <w:gridCol w:w="1016"/>
              <w:gridCol w:w="1017"/>
            </w:tblGrid>
            <w:tr w14:paraId="34B70B5D">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90" w:hRule="atLeast"/>
                <w:jc w:val="center"/>
              </w:trPr>
              <w:tc>
                <w:tcPr>
                  <w:tcW w:w="622" w:type="pct"/>
                  <w:tcBorders>
                    <w:top w:val="single" w:color="auto" w:sz="4" w:space="0"/>
                    <w:left w:val="single" w:color="auto" w:sz="0" w:space="0"/>
                  </w:tcBorders>
                  <w:noWrap w:val="0"/>
                  <w:vAlign w:val="center"/>
                </w:tcPr>
                <w:p w14:paraId="236F8796">
                  <w:pPr>
                    <w:spacing w:line="280" w:lineRule="exact"/>
                    <w:jc w:val="center"/>
                    <w:rPr>
                      <w:rFonts w:hint="default" w:ascii="Times New Roman" w:hAnsi="Times New Roman" w:eastAsia="宋体" w:cs="Times New Roman"/>
                      <w:b/>
                      <w:bCs/>
                      <w:sz w:val="21"/>
                      <w:szCs w:val="21"/>
                    </w:rPr>
                  </w:pPr>
                </w:p>
              </w:tc>
              <w:tc>
                <w:tcPr>
                  <w:tcW w:w="622" w:type="pct"/>
                  <w:tcBorders>
                    <w:top w:val="single" w:color="auto" w:sz="4" w:space="0"/>
                  </w:tcBorders>
                  <w:noWrap w:val="0"/>
                  <w:vAlign w:val="center"/>
                </w:tcPr>
                <w:p w14:paraId="35E622C0">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含氧化合物%</w:t>
                  </w:r>
                </w:p>
              </w:tc>
              <w:tc>
                <w:tcPr>
                  <w:tcW w:w="624" w:type="pct"/>
                  <w:tcBorders>
                    <w:top w:val="single" w:color="auto" w:sz="4" w:space="0"/>
                  </w:tcBorders>
                  <w:noWrap w:val="0"/>
                  <w:vAlign w:val="center"/>
                </w:tcPr>
                <w:p w14:paraId="7D56B9C0">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轻油进料</w:t>
                  </w:r>
                </w:p>
              </w:tc>
              <w:tc>
                <w:tcPr>
                  <w:tcW w:w="624" w:type="pct"/>
                  <w:tcBorders>
                    <w:top w:val="single" w:color="auto" w:sz="4" w:space="0"/>
                  </w:tcBorders>
                  <w:noWrap w:val="0"/>
                  <w:vAlign w:val="center"/>
                </w:tcPr>
                <w:p w14:paraId="577464C7">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异构烯烃%</w:t>
                  </w:r>
                </w:p>
              </w:tc>
              <w:tc>
                <w:tcPr>
                  <w:tcW w:w="624" w:type="pct"/>
                  <w:tcBorders>
                    <w:top w:val="single" w:color="auto" w:sz="4" w:space="0"/>
                  </w:tcBorders>
                  <w:noWrap w:val="0"/>
                  <w:vAlign w:val="center"/>
                </w:tcPr>
                <w:p w14:paraId="7D8ACA66">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异构烷烃%</w:t>
                  </w:r>
                </w:p>
              </w:tc>
              <w:tc>
                <w:tcPr>
                  <w:tcW w:w="626" w:type="pct"/>
                  <w:tcBorders>
                    <w:top w:val="single" w:color="auto" w:sz="4" w:space="0"/>
                  </w:tcBorders>
                  <w:noWrap w:val="0"/>
                  <w:vAlign w:val="center"/>
                </w:tcPr>
                <w:p w14:paraId="5C76A3C8">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正构烯烃%</w:t>
                  </w:r>
                </w:p>
              </w:tc>
              <w:tc>
                <w:tcPr>
                  <w:tcW w:w="627" w:type="pct"/>
                  <w:tcBorders>
                    <w:top w:val="single" w:color="auto" w:sz="4" w:space="0"/>
                  </w:tcBorders>
                  <w:noWrap w:val="0"/>
                  <w:vAlign w:val="center"/>
                </w:tcPr>
                <w:p w14:paraId="35F7B531">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正构烷烃%</w:t>
                  </w:r>
                </w:p>
              </w:tc>
              <w:tc>
                <w:tcPr>
                  <w:tcW w:w="628" w:type="pct"/>
                  <w:tcBorders>
                    <w:top w:val="single" w:color="auto" w:sz="4" w:space="0"/>
                    <w:right w:val="single" w:color="auto" w:sz="4" w:space="0"/>
                  </w:tcBorders>
                  <w:noWrap w:val="0"/>
                  <w:vAlign w:val="center"/>
                </w:tcPr>
                <w:p w14:paraId="44A5C231">
                  <w:pPr>
                    <w:spacing w:line="280" w:lineRule="exact"/>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总烃</w:t>
                  </w:r>
                </w:p>
              </w:tc>
            </w:tr>
            <w:tr w14:paraId="095D615C">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051AC8C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C1-Ox</w:t>
                  </w:r>
                </w:p>
              </w:tc>
              <w:tc>
                <w:tcPr>
                  <w:tcW w:w="622" w:type="pct"/>
                  <w:noWrap w:val="0"/>
                  <w:vAlign w:val="center"/>
                </w:tcPr>
                <w:p w14:paraId="6463C021">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284021C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w:t>
                  </w:r>
                </w:p>
              </w:tc>
              <w:tc>
                <w:tcPr>
                  <w:tcW w:w="624" w:type="pct"/>
                  <w:noWrap w:val="0"/>
                  <w:vAlign w:val="center"/>
                </w:tcPr>
                <w:p w14:paraId="22D83738">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1FBF206E">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4578CA6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7" w:type="pct"/>
                  <w:noWrap w:val="0"/>
                  <w:vAlign w:val="center"/>
                </w:tcPr>
                <w:p w14:paraId="436E492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8" w:type="pct"/>
                  <w:tcBorders>
                    <w:right w:val="single" w:color="auto" w:sz="4" w:space="0"/>
                  </w:tcBorders>
                  <w:noWrap w:val="0"/>
                  <w:vAlign w:val="center"/>
                </w:tcPr>
                <w:p w14:paraId="0FB2016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8E29D8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382DACA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C2-Ox</w:t>
                  </w:r>
                </w:p>
              </w:tc>
              <w:tc>
                <w:tcPr>
                  <w:tcW w:w="622" w:type="pct"/>
                  <w:noWrap w:val="0"/>
                  <w:vAlign w:val="center"/>
                </w:tcPr>
                <w:p w14:paraId="3B235B3D">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6CB8026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C2</w:t>
                  </w:r>
                </w:p>
              </w:tc>
              <w:tc>
                <w:tcPr>
                  <w:tcW w:w="624" w:type="pct"/>
                  <w:noWrap w:val="0"/>
                  <w:vAlign w:val="center"/>
                </w:tcPr>
                <w:p w14:paraId="60560641">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4E0E6A31">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1C7B29D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7" w:type="pct"/>
                  <w:noWrap w:val="0"/>
                  <w:vAlign w:val="center"/>
                </w:tcPr>
                <w:p w14:paraId="0DFBB25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8" w:type="pct"/>
                  <w:tcBorders>
                    <w:right w:val="single" w:color="auto" w:sz="4" w:space="0"/>
                  </w:tcBorders>
                  <w:noWrap w:val="0"/>
                  <w:vAlign w:val="center"/>
                </w:tcPr>
                <w:p w14:paraId="2085005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42DE099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17E9C16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C3-Ox</w:t>
                  </w:r>
                </w:p>
              </w:tc>
              <w:tc>
                <w:tcPr>
                  <w:tcW w:w="622" w:type="pct"/>
                  <w:noWrap w:val="0"/>
                  <w:vAlign w:val="center"/>
                </w:tcPr>
                <w:p w14:paraId="68B1C4E7">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702FFCC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C3</w:t>
                  </w:r>
                </w:p>
              </w:tc>
              <w:tc>
                <w:tcPr>
                  <w:tcW w:w="624" w:type="pct"/>
                  <w:noWrap w:val="0"/>
                  <w:vAlign w:val="center"/>
                </w:tcPr>
                <w:p w14:paraId="0B094716">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03C75552">
                  <w:pPr>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6608FA7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7" w:type="pct"/>
                  <w:noWrap w:val="0"/>
                  <w:vAlign w:val="center"/>
                </w:tcPr>
                <w:p w14:paraId="0AF0571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8" w:type="pct"/>
                  <w:tcBorders>
                    <w:right w:val="single" w:color="auto" w:sz="4" w:space="0"/>
                  </w:tcBorders>
                  <w:noWrap w:val="0"/>
                  <w:vAlign w:val="center"/>
                </w:tcPr>
                <w:p w14:paraId="63E3E6A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r>
            <w:tr w14:paraId="07D79A03">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50FB0BA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C4-Ox</w:t>
                  </w:r>
                </w:p>
              </w:tc>
              <w:tc>
                <w:tcPr>
                  <w:tcW w:w="622" w:type="pct"/>
                  <w:noWrap w:val="0"/>
                  <w:vAlign w:val="center"/>
                </w:tcPr>
                <w:p w14:paraId="3A670CC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0.2531</w:t>
                  </w:r>
                </w:p>
              </w:tc>
              <w:tc>
                <w:tcPr>
                  <w:tcW w:w="624" w:type="pct"/>
                  <w:noWrap w:val="0"/>
                  <w:vAlign w:val="center"/>
                </w:tcPr>
                <w:p w14:paraId="09FA41D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C4</w:t>
                  </w:r>
                </w:p>
              </w:tc>
              <w:tc>
                <w:tcPr>
                  <w:tcW w:w="624" w:type="pct"/>
                  <w:shd w:val="clear" w:color="auto" w:fill="auto"/>
                  <w:noWrap w:val="0"/>
                  <w:vAlign w:val="center"/>
                </w:tcPr>
                <w:p w14:paraId="1788A761">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25B74272">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5A6240A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1.0657</w:t>
                  </w:r>
                </w:p>
              </w:tc>
              <w:tc>
                <w:tcPr>
                  <w:tcW w:w="627" w:type="pct"/>
                  <w:noWrap w:val="0"/>
                  <w:vAlign w:val="center"/>
                </w:tcPr>
                <w:p w14:paraId="6443F65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0.5629</w:t>
                  </w:r>
                </w:p>
              </w:tc>
              <w:tc>
                <w:tcPr>
                  <w:tcW w:w="628" w:type="pct"/>
                  <w:tcBorders>
                    <w:right w:val="single" w:color="auto" w:sz="4" w:space="0"/>
                  </w:tcBorders>
                  <w:noWrap w:val="0"/>
                  <w:vAlign w:val="center"/>
                </w:tcPr>
                <w:p w14:paraId="2D5AA8D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1.6286</w:t>
                  </w:r>
                </w:p>
              </w:tc>
            </w:tr>
            <w:tr w14:paraId="67DDD6BF">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373ED50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C5-Ox</w:t>
                  </w:r>
                </w:p>
              </w:tc>
              <w:tc>
                <w:tcPr>
                  <w:tcW w:w="622" w:type="pct"/>
                  <w:noWrap w:val="0"/>
                  <w:vAlign w:val="center"/>
                </w:tcPr>
                <w:p w14:paraId="7FA1C1F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0.2671</w:t>
                  </w:r>
                </w:p>
              </w:tc>
              <w:tc>
                <w:tcPr>
                  <w:tcW w:w="624" w:type="pct"/>
                  <w:noWrap w:val="0"/>
                  <w:vAlign w:val="center"/>
                </w:tcPr>
                <w:p w14:paraId="0ABBEFA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C5</w:t>
                  </w:r>
                </w:p>
              </w:tc>
              <w:tc>
                <w:tcPr>
                  <w:tcW w:w="624" w:type="pct"/>
                  <w:shd w:val="clear" w:color="auto" w:fill="auto"/>
                  <w:noWrap w:val="0"/>
                  <w:vAlign w:val="center"/>
                </w:tcPr>
                <w:p w14:paraId="29D7F0C3">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3C786FFC">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58EBF3F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3.3628</w:t>
                  </w:r>
                </w:p>
              </w:tc>
              <w:tc>
                <w:tcPr>
                  <w:tcW w:w="627" w:type="pct"/>
                  <w:noWrap w:val="0"/>
                  <w:vAlign w:val="center"/>
                </w:tcPr>
                <w:p w14:paraId="26F7911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1.4627</w:t>
                  </w:r>
                </w:p>
              </w:tc>
              <w:tc>
                <w:tcPr>
                  <w:tcW w:w="628" w:type="pct"/>
                  <w:tcBorders>
                    <w:right w:val="single" w:color="auto" w:sz="4" w:space="0"/>
                  </w:tcBorders>
                  <w:noWrap w:val="0"/>
                  <w:vAlign w:val="center"/>
                </w:tcPr>
                <w:p w14:paraId="54081E5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4.8255</w:t>
                  </w:r>
                </w:p>
              </w:tc>
            </w:tr>
            <w:tr w14:paraId="5138290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7F8F9CD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C6-Ox</w:t>
                  </w:r>
                </w:p>
              </w:tc>
              <w:tc>
                <w:tcPr>
                  <w:tcW w:w="622" w:type="pct"/>
                  <w:noWrap w:val="0"/>
                  <w:vAlign w:val="center"/>
                </w:tcPr>
                <w:p w14:paraId="596160E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0.3386</w:t>
                  </w:r>
                </w:p>
              </w:tc>
              <w:tc>
                <w:tcPr>
                  <w:tcW w:w="624" w:type="pct"/>
                  <w:noWrap w:val="0"/>
                  <w:vAlign w:val="center"/>
                </w:tcPr>
                <w:p w14:paraId="15850FA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C6</w:t>
                  </w:r>
                </w:p>
              </w:tc>
              <w:tc>
                <w:tcPr>
                  <w:tcW w:w="624" w:type="pct"/>
                  <w:shd w:val="clear" w:color="auto" w:fill="auto"/>
                  <w:noWrap w:val="0"/>
                  <w:vAlign w:val="center"/>
                </w:tcPr>
                <w:p w14:paraId="2DE1CD12">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41E3E942">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626" w:type="pct"/>
                  <w:noWrap w:val="0"/>
                  <w:vAlign w:val="center"/>
                </w:tcPr>
                <w:p w14:paraId="5DA2CDA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5.7832</w:t>
                  </w:r>
                </w:p>
              </w:tc>
              <w:tc>
                <w:tcPr>
                  <w:tcW w:w="627" w:type="pct"/>
                  <w:noWrap w:val="0"/>
                  <w:vAlign w:val="center"/>
                </w:tcPr>
                <w:p w14:paraId="1984E98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2.0477</w:t>
                  </w:r>
                </w:p>
              </w:tc>
              <w:tc>
                <w:tcPr>
                  <w:tcW w:w="628" w:type="pct"/>
                  <w:tcBorders>
                    <w:right w:val="single" w:color="auto" w:sz="4" w:space="0"/>
                  </w:tcBorders>
                  <w:noWrap w:val="0"/>
                  <w:vAlign w:val="center"/>
                </w:tcPr>
                <w:p w14:paraId="7431754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7.8309</w:t>
                  </w:r>
                </w:p>
              </w:tc>
            </w:tr>
            <w:tr w14:paraId="5F7915F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268D58A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C7-Ox</w:t>
                  </w:r>
                </w:p>
              </w:tc>
              <w:tc>
                <w:tcPr>
                  <w:tcW w:w="622" w:type="pct"/>
                  <w:noWrap w:val="0"/>
                  <w:vAlign w:val="center"/>
                </w:tcPr>
                <w:p w14:paraId="32387FF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0.4366</w:t>
                  </w:r>
                </w:p>
              </w:tc>
              <w:tc>
                <w:tcPr>
                  <w:tcW w:w="624" w:type="pct"/>
                  <w:noWrap w:val="0"/>
                  <w:vAlign w:val="center"/>
                </w:tcPr>
                <w:p w14:paraId="653A74E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C7</w:t>
                  </w:r>
                </w:p>
              </w:tc>
              <w:tc>
                <w:tcPr>
                  <w:tcW w:w="624" w:type="pct"/>
                  <w:shd w:val="clear" w:color="auto" w:fill="auto"/>
                  <w:noWrap w:val="0"/>
                  <w:vAlign w:val="center"/>
                </w:tcPr>
                <w:p w14:paraId="72927046">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5BFAA825">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54CD00A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7.317</w:t>
                  </w:r>
                </w:p>
              </w:tc>
              <w:tc>
                <w:tcPr>
                  <w:tcW w:w="627" w:type="pct"/>
                  <w:noWrap w:val="0"/>
                  <w:vAlign w:val="center"/>
                </w:tcPr>
                <w:p w14:paraId="3455C20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2.3497</w:t>
                  </w:r>
                </w:p>
              </w:tc>
              <w:tc>
                <w:tcPr>
                  <w:tcW w:w="628" w:type="pct"/>
                  <w:tcBorders>
                    <w:right w:val="single" w:color="auto" w:sz="4" w:space="0"/>
                  </w:tcBorders>
                  <w:noWrap w:val="0"/>
                  <w:vAlign w:val="center"/>
                </w:tcPr>
                <w:p w14:paraId="1EEB518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9.6667</w:t>
                  </w:r>
                </w:p>
              </w:tc>
            </w:tr>
            <w:tr w14:paraId="01DC8BE9">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2A51494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C8-Ox</w:t>
                  </w:r>
                </w:p>
              </w:tc>
              <w:tc>
                <w:tcPr>
                  <w:tcW w:w="622" w:type="pct"/>
                  <w:noWrap w:val="0"/>
                  <w:vAlign w:val="center"/>
                </w:tcPr>
                <w:p w14:paraId="12355AA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0.5941</w:t>
                  </w:r>
                </w:p>
              </w:tc>
              <w:tc>
                <w:tcPr>
                  <w:tcW w:w="624" w:type="pct"/>
                  <w:noWrap w:val="0"/>
                  <w:vAlign w:val="center"/>
                </w:tcPr>
                <w:p w14:paraId="3C653AF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C8</w:t>
                  </w:r>
                </w:p>
              </w:tc>
              <w:tc>
                <w:tcPr>
                  <w:tcW w:w="624" w:type="pct"/>
                  <w:shd w:val="clear" w:color="auto" w:fill="auto"/>
                  <w:noWrap w:val="0"/>
                  <w:vAlign w:val="center"/>
                </w:tcPr>
                <w:p w14:paraId="5E48CAEE">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28A18455">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21C1743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8.0724</w:t>
                  </w:r>
                </w:p>
              </w:tc>
              <w:tc>
                <w:tcPr>
                  <w:tcW w:w="627" w:type="pct"/>
                  <w:noWrap w:val="0"/>
                  <w:vAlign w:val="center"/>
                </w:tcPr>
                <w:p w14:paraId="7EC7413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2.4343</w:t>
                  </w:r>
                </w:p>
              </w:tc>
              <w:tc>
                <w:tcPr>
                  <w:tcW w:w="628" w:type="pct"/>
                  <w:tcBorders>
                    <w:right w:val="single" w:color="auto" w:sz="4" w:space="0"/>
                  </w:tcBorders>
                  <w:noWrap w:val="0"/>
                  <w:vAlign w:val="center"/>
                </w:tcPr>
                <w:p w14:paraId="089CCEF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10.5067</w:t>
                  </w:r>
                </w:p>
              </w:tc>
            </w:tr>
            <w:tr w14:paraId="58C7141B">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487DBC0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C9-Ox</w:t>
                  </w:r>
                </w:p>
              </w:tc>
              <w:tc>
                <w:tcPr>
                  <w:tcW w:w="622" w:type="pct"/>
                  <w:noWrap w:val="0"/>
                  <w:vAlign w:val="center"/>
                </w:tcPr>
                <w:p w14:paraId="64E6C89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0.7558</w:t>
                  </w:r>
                </w:p>
              </w:tc>
              <w:tc>
                <w:tcPr>
                  <w:tcW w:w="624" w:type="pct"/>
                  <w:noWrap w:val="0"/>
                  <w:vAlign w:val="center"/>
                </w:tcPr>
                <w:p w14:paraId="0A37BB3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C9</w:t>
                  </w:r>
                </w:p>
              </w:tc>
              <w:tc>
                <w:tcPr>
                  <w:tcW w:w="624" w:type="pct"/>
                  <w:shd w:val="clear" w:color="auto" w:fill="auto"/>
                  <w:noWrap w:val="0"/>
                  <w:vAlign w:val="center"/>
                </w:tcPr>
                <w:p w14:paraId="7083BF3A">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24FF1B5F">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7B77691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8.1792</w:t>
                  </w:r>
                </w:p>
              </w:tc>
              <w:tc>
                <w:tcPr>
                  <w:tcW w:w="627" w:type="pct"/>
                  <w:noWrap w:val="0"/>
                  <w:vAlign w:val="center"/>
                </w:tcPr>
                <w:p w14:paraId="2EBE389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2.4225</w:t>
                  </w:r>
                </w:p>
              </w:tc>
              <w:tc>
                <w:tcPr>
                  <w:tcW w:w="628" w:type="pct"/>
                  <w:tcBorders>
                    <w:right w:val="single" w:color="auto" w:sz="4" w:space="0"/>
                  </w:tcBorders>
                  <w:noWrap w:val="0"/>
                  <w:vAlign w:val="center"/>
                </w:tcPr>
                <w:p w14:paraId="6A3CE70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10.6017</w:t>
                  </w:r>
                </w:p>
              </w:tc>
            </w:tr>
            <w:tr w14:paraId="08029173">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021EC87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C10-Ox</w:t>
                  </w:r>
                </w:p>
              </w:tc>
              <w:tc>
                <w:tcPr>
                  <w:tcW w:w="622" w:type="pct"/>
                  <w:noWrap w:val="0"/>
                  <w:vAlign w:val="center"/>
                </w:tcPr>
                <w:p w14:paraId="4DEDC98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0.8226</w:t>
                  </w:r>
                </w:p>
              </w:tc>
              <w:tc>
                <w:tcPr>
                  <w:tcW w:w="624" w:type="pct"/>
                  <w:noWrap w:val="0"/>
                  <w:vAlign w:val="center"/>
                </w:tcPr>
                <w:p w14:paraId="703B250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C10</w:t>
                  </w:r>
                </w:p>
              </w:tc>
              <w:tc>
                <w:tcPr>
                  <w:tcW w:w="624" w:type="pct"/>
                  <w:shd w:val="clear" w:color="auto" w:fill="auto"/>
                  <w:noWrap w:val="0"/>
                  <w:vAlign w:val="center"/>
                </w:tcPr>
                <w:p w14:paraId="75C502AA">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184A9C28">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4D595BA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7.8029</w:t>
                  </w:r>
                </w:p>
              </w:tc>
              <w:tc>
                <w:tcPr>
                  <w:tcW w:w="627" w:type="pct"/>
                  <w:noWrap w:val="0"/>
                  <w:vAlign w:val="center"/>
                </w:tcPr>
                <w:p w14:paraId="6EE1EA9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2.3582</w:t>
                  </w:r>
                </w:p>
              </w:tc>
              <w:tc>
                <w:tcPr>
                  <w:tcW w:w="628" w:type="pct"/>
                  <w:tcBorders>
                    <w:right w:val="single" w:color="auto" w:sz="4" w:space="0"/>
                  </w:tcBorders>
                  <w:noWrap w:val="0"/>
                  <w:vAlign w:val="center"/>
                </w:tcPr>
                <w:p w14:paraId="157E79F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10.1611</w:t>
                  </w:r>
                </w:p>
              </w:tc>
            </w:tr>
            <w:tr w14:paraId="5C7A92BC">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10BB919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C11-Ox</w:t>
                  </w:r>
                </w:p>
              </w:tc>
              <w:tc>
                <w:tcPr>
                  <w:tcW w:w="622" w:type="pct"/>
                  <w:noWrap w:val="0"/>
                  <w:vAlign w:val="center"/>
                </w:tcPr>
                <w:p w14:paraId="074C8EA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0.7788</w:t>
                  </w:r>
                </w:p>
              </w:tc>
              <w:tc>
                <w:tcPr>
                  <w:tcW w:w="624" w:type="pct"/>
                  <w:noWrap w:val="0"/>
                  <w:vAlign w:val="center"/>
                </w:tcPr>
                <w:p w14:paraId="367F710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C11</w:t>
                  </w:r>
                </w:p>
              </w:tc>
              <w:tc>
                <w:tcPr>
                  <w:tcW w:w="624" w:type="pct"/>
                  <w:shd w:val="clear" w:color="auto" w:fill="auto"/>
                  <w:noWrap w:val="0"/>
                  <w:vAlign w:val="center"/>
                </w:tcPr>
                <w:p w14:paraId="6EB6D4D1">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68AA2C74">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6" w:type="pct"/>
                  <w:noWrap w:val="0"/>
                  <w:vAlign w:val="center"/>
                </w:tcPr>
                <w:p w14:paraId="4B479A1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6.9936</w:t>
                  </w:r>
                </w:p>
              </w:tc>
              <w:tc>
                <w:tcPr>
                  <w:tcW w:w="627" w:type="pct"/>
                  <w:noWrap w:val="0"/>
                  <w:vAlign w:val="center"/>
                </w:tcPr>
                <w:p w14:paraId="44CEF19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2.2012</w:t>
                  </w:r>
                </w:p>
              </w:tc>
              <w:tc>
                <w:tcPr>
                  <w:tcW w:w="628" w:type="pct"/>
                  <w:tcBorders>
                    <w:right w:val="single" w:color="auto" w:sz="4" w:space="0"/>
                  </w:tcBorders>
                  <w:noWrap w:val="0"/>
                  <w:vAlign w:val="center"/>
                </w:tcPr>
                <w:p w14:paraId="52CE033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9.1948</w:t>
                  </w:r>
                </w:p>
              </w:tc>
            </w:tr>
            <w:tr w14:paraId="1099346E">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438D089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C12-Ox</w:t>
                  </w:r>
                </w:p>
              </w:tc>
              <w:tc>
                <w:tcPr>
                  <w:tcW w:w="622" w:type="pct"/>
                  <w:noWrap w:val="0"/>
                  <w:vAlign w:val="center"/>
                </w:tcPr>
                <w:p w14:paraId="7BB44CB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0.6767</w:t>
                  </w:r>
                </w:p>
              </w:tc>
              <w:tc>
                <w:tcPr>
                  <w:tcW w:w="624" w:type="pct"/>
                  <w:noWrap w:val="0"/>
                  <w:vAlign w:val="center"/>
                </w:tcPr>
                <w:p w14:paraId="02621FC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C12</w:t>
                  </w:r>
                </w:p>
              </w:tc>
              <w:tc>
                <w:tcPr>
                  <w:tcW w:w="624" w:type="pct"/>
                  <w:shd w:val="clear" w:color="auto" w:fill="auto"/>
                  <w:noWrap w:val="0"/>
                  <w:vAlign w:val="center"/>
                </w:tcPr>
                <w:p w14:paraId="5B403A13">
                  <w:pPr>
                    <w:jc w:val="center"/>
                    <w:rPr>
                      <w:rFonts w:hint="default" w:ascii="Times New Roman" w:hAnsi="Times New Roman" w:eastAsia="宋体" w:cs="Times New Roman"/>
                      <w:kern w:val="2"/>
                      <w:sz w:val="21"/>
                      <w:szCs w:val="21"/>
                      <w:lang w:val="en-US" w:eastAsia="zh-CN" w:bidi="ar-SA"/>
                    </w:rPr>
                  </w:pPr>
                  <w:r>
                    <w:rPr>
                      <w:rFonts w:hint="eastAsia" w:cs="Times New Roman"/>
                      <w:sz w:val="21"/>
                      <w:szCs w:val="21"/>
                      <w:lang w:val="en-US" w:eastAsia="zh-CN"/>
                    </w:rPr>
                    <w:t>/</w:t>
                  </w:r>
                </w:p>
              </w:tc>
              <w:tc>
                <w:tcPr>
                  <w:tcW w:w="624" w:type="pct"/>
                  <w:shd w:val="clear" w:color="auto" w:fill="auto"/>
                  <w:noWrap w:val="0"/>
                  <w:vAlign w:val="center"/>
                </w:tcPr>
                <w:p w14:paraId="1C819963">
                  <w:pPr>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626" w:type="pct"/>
                  <w:noWrap w:val="0"/>
                  <w:vAlign w:val="center"/>
                </w:tcPr>
                <w:p w14:paraId="7066A4D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5.8925</w:t>
                  </w:r>
                </w:p>
              </w:tc>
              <w:tc>
                <w:tcPr>
                  <w:tcW w:w="627" w:type="pct"/>
                  <w:noWrap w:val="0"/>
                  <w:vAlign w:val="center"/>
                </w:tcPr>
                <w:p w14:paraId="59A1B9C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1.9777</w:t>
                  </w:r>
                </w:p>
              </w:tc>
              <w:tc>
                <w:tcPr>
                  <w:tcW w:w="628" w:type="pct"/>
                  <w:tcBorders>
                    <w:right w:val="single" w:color="auto" w:sz="4" w:space="0"/>
                  </w:tcBorders>
                  <w:noWrap w:val="0"/>
                  <w:vAlign w:val="center"/>
                </w:tcPr>
                <w:p w14:paraId="4C77A37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7.8702</w:t>
                  </w:r>
                </w:p>
              </w:tc>
            </w:tr>
            <w:tr w14:paraId="57882DD1">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3FE7C2C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C13-Ox</w:t>
                  </w:r>
                </w:p>
              </w:tc>
              <w:tc>
                <w:tcPr>
                  <w:tcW w:w="622" w:type="pct"/>
                  <w:noWrap w:val="0"/>
                  <w:vAlign w:val="center"/>
                </w:tcPr>
                <w:p w14:paraId="05E589F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0.5737</w:t>
                  </w:r>
                </w:p>
              </w:tc>
              <w:tc>
                <w:tcPr>
                  <w:tcW w:w="624" w:type="pct"/>
                  <w:noWrap w:val="0"/>
                  <w:vAlign w:val="center"/>
                </w:tcPr>
                <w:p w14:paraId="768B876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C13</w:t>
                  </w:r>
                </w:p>
              </w:tc>
              <w:tc>
                <w:tcPr>
                  <w:tcW w:w="624" w:type="pct"/>
                  <w:noWrap w:val="0"/>
                  <w:vAlign w:val="center"/>
                </w:tcPr>
                <w:p w14:paraId="64112D2E">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2BAFA6CA">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44FB1EF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4.5289</w:t>
                  </w:r>
                </w:p>
              </w:tc>
              <w:tc>
                <w:tcPr>
                  <w:tcW w:w="627" w:type="pct"/>
                  <w:noWrap w:val="0"/>
                  <w:vAlign w:val="center"/>
                </w:tcPr>
                <w:p w14:paraId="3A5C78C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1.6555</w:t>
                  </w:r>
                </w:p>
              </w:tc>
              <w:tc>
                <w:tcPr>
                  <w:tcW w:w="628" w:type="pct"/>
                  <w:tcBorders>
                    <w:right w:val="single" w:color="auto" w:sz="4" w:space="0"/>
                  </w:tcBorders>
                  <w:noWrap w:val="0"/>
                  <w:vAlign w:val="center"/>
                </w:tcPr>
                <w:p w14:paraId="3D77263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6.1844</w:t>
                  </w:r>
                </w:p>
              </w:tc>
            </w:tr>
            <w:tr w14:paraId="4A01BDB8">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1151BD2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C14-Ox</w:t>
                  </w:r>
                </w:p>
              </w:tc>
              <w:tc>
                <w:tcPr>
                  <w:tcW w:w="622" w:type="pct"/>
                  <w:noWrap w:val="0"/>
                  <w:vAlign w:val="center"/>
                </w:tcPr>
                <w:p w14:paraId="22D4BB5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0.4492</w:t>
                  </w:r>
                </w:p>
              </w:tc>
              <w:tc>
                <w:tcPr>
                  <w:tcW w:w="624" w:type="pct"/>
                  <w:noWrap w:val="0"/>
                  <w:vAlign w:val="center"/>
                </w:tcPr>
                <w:p w14:paraId="6FC6DC7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C14</w:t>
                  </w:r>
                </w:p>
              </w:tc>
              <w:tc>
                <w:tcPr>
                  <w:tcW w:w="624" w:type="pct"/>
                  <w:noWrap w:val="0"/>
                  <w:vAlign w:val="center"/>
                </w:tcPr>
                <w:p w14:paraId="033F9F2E">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noWrap w:val="0"/>
                  <w:vAlign w:val="center"/>
                </w:tcPr>
                <w:p w14:paraId="6E96531B">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112A757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3.2166</w:t>
                  </w:r>
                </w:p>
              </w:tc>
              <w:tc>
                <w:tcPr>
                  <w:tcW w:w="627" w:type="pct"/>
                  <w:noWrap w:val="0"/>
                  <w:vAlign w:val="center"/>
                </w:tcPr>
                <w:p w14:paraId="6C4DE29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1.2908</w:t>
                  </w:r>
                </w:p>
              </w:tc>
              <w:tc>
                <w:tcPr>
                  <w:tcW w:w="628" w:type="pct"/>
                  <w:tcBorders>
                    <w:right w:val="single" w:color="auto" w:sz="4" w:space="0"/>
                  </w:tcBorders>
                  <w:noWrap w:val="0"/>
                  <w:vAlign w:val="center"/>
                </w:tcPr>
                <w:p w14:paraId="350F87E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4.5074</w:t>
                  </w:r>
                </w:p>
              </w:tc>
            </w:tr>
            <w:tr w14:paraId="2B770D75">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0806CD7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C15-Ox</w:t>
                  </w:r>
                </w:p>
              </w:tc>
              <w:tc>
                <w:tcPr>
                  <w:tcW w:w="622" w:type="pct"/>
                  <w:noWrap w:val="0"/>
                  <w:vAlign w:val="center"/>
                </w:tcPr>
                <w:p w14:paraId="0D028E6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0.1231</w:t>
                  </w:r>
                </w:p>
              </w:tc>
              <w:tc>
                <w:tcPr>
                  <w:tcW w:w="624" w:type="pct"/>
                  <w:noWrap w:val="0"/>
                  <w:vAlign w:val="center"/>
                </w:tcPr>
                <w:p w14:paraId="478968E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C15</w:t>
                  </w:r>
                </w:p>
              </w:tc>
              <w:tc>
                <w:tcPr>
                  <w:tcW w:w="624" w:type="pct"/>
                  <w:noWrap w:val="0"/>
                  <w:vAlign w:val="center"/>
                </w:tcPr>
                <w:p w14:paraId="7BC40CB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0.0424</w:t>
                  </w:r>
                </w:p>
              </w:tc>
              <w:tc>
                <w:tcPr>
                  <w:tcW w:w="624" w:type="pct"/>
                  <w:noWrap w:val="0"/>
                  <w:vAlign w:val="center"/>
                </w:tcPr>
                <w:p w14:paraId="37F3243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0.1796</w:t>
                  </w:r>
                </w:p>
              </w:tc>
              <w:tc>
                <w:tcPr>
                  <w:tcW w:w="626" w:type="pct"/>
                  <w:noWrap w:val="0"/>
                  <w:vAlign w:val="center"/>
                </w:tcPr>
                <w:p w14:paraId="19AA504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2.113</w:t>
                  </w:r>
                </w:p>
              </w:tc>
              <w:tc>
                <w:tcPr>
                  <w:tcW w:w="627" w:type="pct"/>
                  <w:noWrap w:val="0"/>
                  <w:vAlign w:val="center"/>
                </w:tcPr>
                <w:p w14:paraId="308F27A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0.964</w:t>
                  </w:r>
                </w:p>
              </w:tc>
              <w:tc>
                <w:tcPr>
                  <w:tcW w:w="628" w:type="pct"/>
                  <w:tcBorders>
                    <w:right w:val="single" w:color="auto" w:sz="4" w:space="0"/>
                  </w:tcBorders>
                  <w:noWrap w:val="0"/>
                  <w:vAlign w:val="center"/>
                </w:tcPr>
                <w:p w14:paraId="0308C66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3.299</w:t>
                  </w:r>
                </w:p>
              </w:tc>
            </w:tr>
            <w:tr w14:paraId="58F82E61">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5C81165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C16-Ox</w:t>
                  </w:r>
                </w:p>
              </w:tc>
              <w:tc>
                <w:tcPr>
                  <w:tcW w:w="622" w:type="pct"/>
                  <w:noWrap w:val="0"/>
                  <w:vAlign w:val="center"/>
                </w:tcPr>
                <w:p w14:paraId="6607494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0.0825</w:t>
                  </w:r>
                </w:p>
              </w:tc>
              <w:tc>
                <w:tcPr>
                  <w:tcW w:w="624" w:type="pct"/>
                  <w:noWrap w:val="0"/>
                  <w:vAlign w:val="center"/>
                </w:tcPr>
                <w:p w14:paraId="728EFDE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C16</w:t>
                  </w:r>
                </w:p>
              </w:tc>
              <w:tc>
                <w:tcPr>
                  <w:tcW w:w="624" w:type="pct"/>
                  <w:noWrap w:val="0"/>
                  <w:vAlign w:val="center"/>
                </w:tcPr>
                <w:p w14:paraId="5C77483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0.0317</w:t>
                  </w:r>
                </w:p>
              </w:tc>
              <w:tc>
                <w:tcPr>
                  <w:tcW w:w="624" w:type="pct"/>
                  <w:noWrap w:val="0"/>
                  <w:vAlign w:val="center"/>
                </w:tcPr>
                <w:p w14:paraId="4B9219F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0.1188</w:t>
                  </w:r>
                </w:p>
              </w:tc>
              <w:tc>
                <w:tcPr>
                  <w:tcW w:w="626" w:type="pct"/>
                  <w:noWrap w:val="0"/>
                  <w:vAlign w:val="center"/>
                </w:tcPr>
                <w:p w14:paraId="5CAC17A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1.3221</w:t>
                  </w:r>
                </w:p>
              </w:tc>
              <w:tc>
                <w:tcPr>
                  <w:tcW w:w="627" w:type="pct"/>
                  <w:noWrap w:val="0"/>
                  <w:vAlign w:val="center"/>
                </w:tcPr>
                <w:p w14:paraId="618514D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0.6968</w:t>
                  </w:r>
                </w:p>
              </w:tc>
              <w:tc>
                <w:tcPr>
                  <w:tcW w:w="628" w:type="pct"/>
                  <w:tcBorders>
                    <w:right w:val="single" w:color="auto" w:sz="4" w:space="0"/>
                  </w:tcBorders>
                  <w:noWrap w:val="0"/>
                  <w:vAlign w:val="center"/>
                </w:tcPr>
                <w:p w14:paraId="59F3D67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2.1694</w:t>
                  </w:r>
                </w:p>
              </w:tc>
            </w:tr>
            <w:tr w14:paraId="50DA953D">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229C018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C17-Ox</w:t>
                  </w:r>
                </w:p>
              </w:tc>
              <w:tc>
                <w:tcPr>
                  <w:tcW w:w="622" w:type="pct"/>
                  <w:noWrap w:val="0"/>
                  <w:vAlign w:val="center"/>
                </w:tcPr>
                <w:p w14:paraId="030658CC">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0.1159</w:t>
                  </w:r>
                </w:p>
              </w:tc>
              <w:tc>
                <w:tcPr>
                  <w:tcW w:w="624" w:type="pct"/>
                  <w:noWrap w:val="0"/>
                  <w:vAlign w:val="center"/>
                </w:tcPr>
                <w:p w14:paraId="0FE618A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C17</w:t>
                  </w:r>
                </w:p>
              </w:tc>
              <w:tc>
                <w:tcPr>
                  <w:tcW w:w="624" w:type="pct"/>
                  <w:noWrap w:val="0"/>
                  <w:vAlign w:val="center"/>
                </w:tcPr>
                <w:p w14:paraId="7D822D9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0.0362</w:t>
                  </w:r>
                </w:p>
              </w:tc>
              <w:tc>
                <w:tcPr>
                  <w:tcW w:w="624" w:type="pct"/>
                  <w:noWrap w:val="0"/>
                  <w:vAlign w:val="center"/>
                </w:tcPr>
                <w:p w14:paraId="52463A8D">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6CD75710">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0.8097</w:t>
                  </w:r>
                </w:p>
              </w:tc>
              <w:tc>
                <w:tcPr>
                  <w:tcW w:w="627" w:type="pct"/>
                  <w:noWrap w:val="0"/>
                  <w:vAlign w:val="center"/>
                </w:tcPr>
                <w:p w14:paraId="28057A9E">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0.5812</w:t>
                  </w:r>
                </w:p>
              </w:tc>
              <w:tc>
                <w:tcPr>
                  <w:tcW w:w="628" w:type="pct"/>
                  <w:tcBorders>
                    <w:right w:val="single" w:color="auto" w:sz="4" w:space="0"/>
                  </w:tcBorders>
                  <w:noWrap w:val="0"/>
                  <w:vAlign w:val="center"/>
                </w:tcPr>
                <w:p w14:paraId="097ECB1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1.4271</w:t>
                  </w:r>
                </w:p>
              </w:tc>
            </w:tr>
            <w:tr w14:paraId="638B8673">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tcBorders>
                  <w:noWrap w:val="0"/>
                  <w:vAlign w:val="center"/>
                </w:tcPr>
                <w:p w14:paraId="44175F5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C18-Ox</w:t>
                  </w:r>
                </w:p>
              </w:tc>
              <w:tc>
                <w:tcPr>
                  <w:tcW w:w="622" w:type="pct"/>
                  <w:noWrap w:val="0"/>
                  <w:vAlign w:val="center"/>
                </w:tcPr>
                <w:p w14:paraId="6EDF633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0.0877</w:t>
                  </w:r>
                </w:p>
              </w:tc>
              <w:tc>
                <w:tcPr>
                  <w:tcW w:w="624" w:type="pct"/>
                  <w:noWrap w:val="0"/>
                  <w:vAlign w:val="center"/>
                </w:tcPr>
                <w:p w14:paraId="780BB30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C18</w:t>
                  </w:r>
                </w:p>
              </w:tc>
              <w:tc>
                <w:tcPr>
                  <w:tcW w:w="624" w:type="pct"/>
                  <w:noWrap w:val="0"/>
                  <w:vAlign w:val="center"/>
                </w:tcPr>
                <w:p w14:paraId="1127B00B">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0.0139</w:t>
                  </w:r>
                </w:p>
              </w:tc>
              <w:tc>
                <w:tcPr>
                  <w:tcW w:w="624" w:type="pct"/>
                  <w:noWrap w:val="0"/>
                  <w:vAlign w:val="center"/>
                </w:tcPr>
                <w:p w14:paraId="7F6F9415">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noWrap w:val="0"/>
                  <w:vAlign w:val="center"/>
                </w:tcPr>
                <w:p w14:paraId="42DDAB2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0.4946</w:t>
                  </w:r>
                </w:p>
              </w:tc>
              <w:tc>
                <w:tcPr>
                  <w:tcW w:w="627" w:type="pct"/>
                  <w:noWrap w:val="0"/>
                  <w:vAlign w:val="center"/>
                </w:tcPr>
                <w:p w14:paraId="4707AC1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0.3652</w:t>
                  </w:r>
                </w:p>
              </w:tc>
              <w:tc>
                <w:tcPr>
                  <w:tcW w:w="628" w:type="pct"/>
                  <w:tcBorders>
                    <w:right w:val="single" w:color="auto" w:sz="4" w:space="0"/>
                  </w:tcBorders>
                  <w:noWrap w:val="0"/>
                  <w:vAlign w:val="center"/>
                </w:tcPr>
                <w:p w14:paraId="29197996">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0.8737</w:t>
                  </w:r>
                </w:p>
              </w:tc>
            </w:tr>
            <w:tr w14:paraId="006F21E8">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bottom w:val="single" w:color="auto" w:sz="4" w:space="0"/>
                  </w:tcBorders>
                  <w:noWrap w:val="0"/>
                  <w:vAlign w:val="center"/>
                </w:tcPr>
                <w:p w14:paraId="3FF63DF1">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C19-Ox</w:t>
                  </w:r>
                </w:p>
              </w:tc>
              <w:tc>
                <w:tcPr>
                  <w:tcW w:w="622" w:type="pct"/>
                  <w:tcBorders>
                    <w:bottom w:val="single" w:color="auto" w:sz="4" w:space="0"/>
                  </w:tcBorders>
                  <w:noWrap w:val="0"/>
                  <w:vAlign w:val="center"/>
                </w:tcPr>
                <w:p w14:paraId="162509F9">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0.1198</w:t>
                  </w:r>
                </w:p>
              </w:tc>
              <w:tc>
                <w:tcPr>
                  <w:tcW w:w="624" w:type="pct"/>
                  <w:tcBorders>
                    <w:bottom w:val="single" w:color="auto" w:sz="4" w:space="0"/>
                  </w:tcBorders>
                  <w:noWrap w:val="0"/>
                  <w:vAlign w:val="center"/>
                </w:tcPr>
                <w:p w14:paraId="7D1C3BD3">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C19</w:t>
                  </w:r>
                </w:p>
              </w:tc>
              <w:tc>
                <w:tcPr>
                  <w:tcW w:w="624" w:type="pct"/>
                  <w:tcBorders>
                    <w:bottom w:val="single" w:color="auto" w:sz="4" w:space="0"/>
                  </w:tcBorders>
                  <w:noWrap w:val="0"/>
                  <w:vAlign w:val="center"/>
                </w:tcPr>
                <w:p w14:paraId="4EF4D821">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tcBorders>
                    <w:bottom w:val="single" w:color="auto" w:sz="4" w:space="0"/>
                  </w:tcBorders>
                  <w:noWrap w:val="0"/>
                  <w:vAlign w:val="center"/>
                </w:tcPr>
                <w:p w14:paraId="561FF74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0.0154</w:t>
                  </w:r>
                </w:p>
              </w:tc>
              <w:tc>
                <w:tcPr>
                  <w:tcW w:w="626" w:type="pct"/>
                  <w:tcBorders>
                    <w:bottom w:val="single" w:color="auto" w:sz="4" w:space="0"/>
                  </w:tcBorders>
                  <w:noWrap w:val="0"/>
                  <w:vAlign w:val="center"/>
                </w:tcPr>
                <w:p w14:paraId="289F4CE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0.3053</w:t>
                  </w:r>
                </w:p>
              </w:tc>
              <w:tc>
                <w:tcPr>
                  <w:tcW w:w="627" w:type="pct"/>
                  <w:tcBorders>
                    <w:bottom w:val="single" w:color="auto" w:sz="4" w:space="0"/>
                  </w:tcBorders>
                  <w:noWrap w:val="0"/>
                  <w:vAlign w:val="center"/>
                </w:tcPr>
                <w:p w14:paraId="25386DDD">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0.2735</w:t>
                  </w:r>
                </w:p>
              </w:tc>
              <w:tc>
                <w:tcPr>
                  <w:tcW w:w="628" w:type="pct"/>
                  <w:tcBorders>
                    <w:bottom w:val="single" w:color="auto" w:sz="4" w:space="0"/>
                    <w:right w:val="single" w:color="auto" w:sz="4" w:space="0"/>
                  </w:tcBorders>
                  <w:noWrap w:val="0"/>
                  <w:vAlign w:val="center"/>
                </w:tcPr>
                <w:p w14:paraId="5FFC23C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0.5942</w:t>
                  </w:r>
                </w:p>
              </w:tc>
            </w:tr>
            <w:tr w14:paraId="2A334757">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top w:val="single" w:color="auto" w:sz="4" w:space="0"/>
                    <w:left w:val="single" w:color="auto" w:sz="4" w:space="0"/>
                  </w:tcBorders>
                  <w:noWrap w:val="0"/>
                  <w:vAlign w:val="center"/>
                </w:tcPr>
                <w:p w14:paraId="664B187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≥C20-Ox</w:t>
                  </w:r>
                </w:p>
              </w:tc>
              <w:tc>
                <w:tcPr>
                  <w:tcW w:w="622" w:type="pct"/>
                  <w:tcBorders>
                    <w:top w:val="single" w:color="auto" w:sz="4" w:space="0"/>
                  </w:tcBorders>
                  <w:noWrap w:val="0"/>
                  <w:vAlign w:val="center"/>
                </w:tcPr>
                <w:p w14:paraId="0F476025">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p>
              </w:tc>
              <w:tc>
                <w:tcPr>
                  <w:tcW w:w="624" w:type="pct"/>
                  <w:tcBorders>
                    <w:top w:val="single" w:color="auto" w:sz="4" w:space="0"/>
                  </w:tcBorders>
                  <w:noWrap w:val="0"/>
                  <w:vAlign w:val="center"/>
                </w:tcPr>
                <w:p w14:paraId="0020914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≥C20</w:t>
                  </w:r>
                </w:p>
              </w:tc>
              <w:tc>
                <w:tcPr>
                  <w:tcW w:w="624" w:type="pct"/>
                  <w:tcBorders>
                    <w:top w:val="single" w:color="auto" w:sz="4" w:space="0"/>
                  </w:tcBorders>
                  <w:noWrap w:val="0"/>
                  <w:vAlign w:val="center"/>
                </w:tcPr>
                <w:p w14:paraId="11503019">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4" w:type="pct"/>
                  <w:tcBorders>
                    <w:top w:val="single" w:color="auto" w:sz="4" w:space="0"/>
                  </w:tcBorders>
                  <w:noWrap w:val="0"/>
                  <w:vAlign w:val="center"/>
                </w:tcPr>
                <w:p w14:paraId="1534A8E3">
                  <w:pPr>
                    <w:jc w:val="center"/>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26" w:type="pct"/>
                  <w:tcBorders>
                    <w:top w:val="single" w:color="auto" w:sz="4" w:space="0"/>
                  </w:tcBorders>
                  <w:noWrap w:val="0"/>
                  <w:vAlign w:val="center"/>
                </w:tcPr>
                <w:p w14:paraId="3C80FCE8">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2.1833</w:t>
                  </w:r>
                </w:p>
              </w:tc>
              <w:tc>
                <w:tcPr>
                  <w:tcW w:w="627" w:type="pct"/>
                  <w:tcBorders>
                    <w:top w:val="single" w:color="auto" w:sz="4" w:space="0"/>
                  </w:tcBorders>
                  <w:noWrap w:val="0"/>
                  <w:vAlign w:val="center"/>
                </w:tcPr>
                <w:p w14:paraId="4FC909B6">
                  <w:pPr>
                    <w:jc w:val="center"/>
                    <w:rPr>
                      <w:rFonts w:hint="default" w:ascii="Times New Roman" w:hAnsi="Times New Roman" w:eastAsia="宋体" w:cs="Times New Roman"/>
                      <w:sz w:val="21"/>
                      <w:szCs w:val="21"/>
                    </w:rPr>
                  </w:pPr>
                </w:p>
              </w:tc>
              <w:tc>
                <w:tcPr>
                  <w:tcW w:w="628" w:type="pct"/>
                  <w:tcBorders>
                    <w:top w:val="single" w:color="auto" w:sz="4" w:space="0"/>
                    <w:right w:val="single" w:color="auto" w:sz="4" w:space="0"/>
                  </w:tcBorders>
                  <w:noWrap w:val="0"/>
                  <w:vAlign w:val="center"/>
                </w:tcPr>
                <w:p w14:paraId="6C9D5E3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2.1833</w:t>
                  </w:r>
                </w:p>
              </w:tc>
            </w:tr>
            <w:tr w14:paraId="2D0A046A">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97" w:hRule="atLeast"/>
                <w:jc w:val="center"/>
              </w:trPr>
              <w:tc>
                <w:tcPr>
                  <w:tcW w:w="622" w:type="pct"/>
                  <w:tcBorders>
                    <w:left w:val="single" w:color="auto" w:sz="4" w:space="0"/>
                    <w:bottom w:val="single" w:color="auto" w:sz="4" w:space="0"/>
                  </w:tcBorders>
                  <w:noWrap w:val="0"/>
                  <w:vAlign w:val="center"/>
                </w:tcPr>
                <w:p w14:paraId="631CAFB4">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SUM</w:t>
                  </w:r>
                </w:p>
              </w:tc>
              <w:tc>
                <w:tcPr>
                  <w:tcW w:w="622" w:type="pct"/>
                  <w:tcBorders>
                    <w:bottom w:val="single" w:color="auto" w:sz="4" w:space="0"/>
                  </w:tcBorders>
                  <w:noWrap w:val="0"/>
                  <w:vAlign w:val="center"/>
                </w:tcPr>
                <w:p w14:paraId="781F682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6.4753</w:t>
                  </w:r>
                </w:p>
              </w:tc>
              <w:tc>
                <w:tcPr>
                  <w:tcW w:w="624" w:type="pct"/>
                  <w:tcBorders>
                    <w:bottom w:val="single" w:color="auto" w:sz="4" w:space="0"/>
                  </w:tcBorders>
                  <w:noWrap w:val="0"/>
                  <w:vAlign w:val="center"/>
                </w:tcPr>
                <w:p w14:paraId="5C25338F">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SUM</w:t>
                  </w:r>
                </w:p>
              </w:tc>
              <w:tc>
                <w:tcPr>
                  <w:tcW w:w="624" w:type="pct"/>
                  <w:tcBorders>
                    <w:bottom w:val="single" w:color="auto" w:sz="4" w:space="0"/>
                  </w:tcBorders>
                  <w:noWrap w:val="0"/>
                  <w:vAlign w:val="center"/>
                </w:tcPr>
                <w:p w14:paraId="5EF49C5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0.1242</w:t>
                  </w:r>
                </w:p>
              </w:tc>
              <w:tc>
                <w:tcPr>
                  <w:tcW w:w="624" w:type="pct"/>
                  <w:tcBorders>
                    <w:bottom w:val="single" w:color="auto" w:sz="4" w:space="0"/>
                  </w:tcBorders>
                  <w:noWrap w:val="0"/>
                  <w:vAlign w:val="center"/>
                </w:tcPr>
                <w:p w14:paraId="35E868EA">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0.3138</w:t>
                  </w:r>
                </w:p>
              </w:tc>
              <w:tc>
                <w:tcPr>
                  <w:tcW w:w="626" w:type="pct"/>
                  <w:tcBorders>
                    <w:bottom w:val="single" w:color="auto" w:sz="4" w:space="0"/>
                  </w:tcBorders>
                  <w:noWrap w:val="0"/>
                  <w:vAlign w:val="center"/>
                </w:tcPr>
                <w:p w14:paraId="37F44C6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69.4428</w:t>
                  </w:r>
                </w:p>
              </w:tc>
              <w:tc>
                <w:tcPr>
                  <w:tcW w:w="627" w:type="pct"/>
                  <w:tcBorders>
                    <w:bottom w:val="single" w:color="auto" w:sz="4" w:space="0"/>
                  </w:tcBorders>
                  <w:noWrap w:val="0"/>
                  <w:vAlign w:val="center"/>
                </w:tcPr>
                <w:p w14:paraId="4E77B117">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23.6439</w:t>
                  </w:r>
                </w:p>
              </w:tc>
              <w:tc>
                <w:tcPr>
                  <w:tcW w:w="628" w:type="pct"/>
                  <w:tcBorders>
                    <w:bottom w:val="single" w:color="auto" w:sz="4" w:space="0"/>
                    <w:right w:val="single" w:color="auto" w:sz="4" w:space="0"/>
                  </w:tcBorders>
                  <w:noWrap w:val="0"/>
                  <w:vAlign w:val="center"/>
                </w:tcPr>
                <w:p w14:paraId="6BB98CF2">
                  <w:pPr>
                    <w:keepNext w:val="0"/>
                    <w:keepLines w:val="0"/>
                    <w:widowControl/>
                    <w:suppressLineNumbers w:val="0"/>
                    <w:jc w:val="center"/>
                    <w:textAlignment w:val="center"/>
                    <w:rPr>
                      <w:rFonts w:hint="default" w:ascii="Times New Roman" w:hAnsi="Times New Roman" w:eastAsia="宋体" w:cs="Times New Roman"/>
                      <w:sz w:val="21"/>
                      <w:szCs w:val="21"/>
                    </w:rPr>
                  </w:pPr>
                  <w:r>
                    <w:rPr>
                      <w:rFonts w:hint="default" w:ascii="Times New Roman" w:hAnsi="Times New Roman" w:eastAsia="宋体" w:cs="Times New Roman"/>
                      <w:i w:val="0"/>
                      <w:iCs w:val="0"/>
                      <w:color w:val="000000"/>
                      <w:kern w:val="0"/>
                      <w:sz w:val="21"/>
                      <w:szCs w:val="21"/>
                      <w:u w:val="none"/>
                      <w:lang w:val="en-US" w:eastAsia="zh-CN" w:bidi="ar"/>
                    </w:rPr>
                    <w:t>93.5247</w:t>
                  </w:r>
                </w:p>
              </w:tc>
            </w:tr>
          </w:tbl>
          <w:p w14:paraId="6091AB60">
            <w:pPr>
              <w:snapToGrid w:val="0"/>
              <w:ind w:firstLine="241" w:firstLineChars="100"/>
              <w:jc w:val="center"/>
              <w:rPr>
                <w:b/>
                <w:bCs/>
                <w:color w:val="000000"/>
                <w:sz w:val="24"/>
              </w:rPr>
            </w:pPr>
            <w:r>
              <w:rPr>
                <w:b/>
                <w:bCs/>
                <w:color w:val="000000"/>
                <w:sz w:val="24"/>
              </w:rPr>
              <w:t>表2-</w:t>
            </w:r>
            <w:r>
              <w:rPr>
                <w:rFonts w:hint="eastAsia"/>
                <w:b/>
                <w:bCs/>
                <w:color w:val="000000"/>
                <w:sz w:val="24"/>
                <w:lang w:val="en-US" w:eastAsia="zh-CN"/>
              </w:rPr>
              <w:t>6：</w:t>
            </w:r>
            <w:r>
              <w:rPr>
                <w:rFonts w:hint="eastAsia"/>
                <w:b/>
                <w:bCs/>
                <w:color w:val="000000"/>
                <w:sz w:val="24"/>
              </w:rPr>
              <w:t>公用工程消耗</w:t>
            </w:r>
            <w:r>
              <w:rPr>
                <w:b/>
                <w:bCs/>
                <w:color w:val="000000"/>
                <w:sz w:val="24"/>
              </w:rPr>
              <w:t>一览表</w:t>
            </w:r>
          </w:p>
          <w:tbl>
            <w:tblPr>
              <w:tblStyle w:val="41"/>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0"/>
              <w:gridCol w:w="1661"/>
              <w:gridCol w:w="1661"/>
              <w:gridCol w:w="1661"/>
              <w:gridCol w:w="1661"/>
            </w:tblGrid>
            <w:tr w14:paraId="6B8F15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0" w:type="dxa"/>
                  <w:tcBorders>
                    <w:top w:val="single" w:color="auto" w:sz="4" w:space="0"/>
                    <w:left w:val="single" w:color="auto" w:sz="0" w:space="0"/>
                  </w:tcBorders>
                  <w:noWrap w:val="0"/>
                  <w:vAlign w:val="center"/>
                </w:tcPr>
                <w:p w14:paraId="5E33E970">
                  <w:pPr>
                    <w:widowControl/>
                    <w:snapToGrid w:val="0"/>
                    <w:jc w:val="center"/>
                    <w:rPr>
                      <w:b/>
                      <w:bCs/>
                      <w:color w:val="000000"/>
                      <w:kern w:val="0"/>
                      <w:sz w:val="21"/>
                      <w:szCs w:val="21"/>
                    </w:rPr>
                  </w:pPr>
                  <w:r>
                    <w:rPr>
                      <w:b/>
                      <w:bCs/>
                      <w:color w:val="000000"/>
                      <w:kern w:val="0"/>
                      <w:sz w:val="21"/>
                      <w:szCs w:val="21"/>
                    </w:rPr>
                    <w:t>序号</w:t>
                  </w:r>
                </w:p>
              </w:tc>
              <w:tc>
                <w:tcPr>
                  <w:tcW w:w="1661" w:type="dxa"/>
                  <w:tcBorders>
                    <w:top w:val="single" w:color="auto" w:sz="4" w:space="0"/>
                  </w:tcBorders>
                  <w:noWrap w:val="0"/>
                  <w:vAlign w:val="center"/>
                </w:tcPr>
                <w:p w14:paraId="7D81EA42">
                  <w:pPr>
                    <w:widowControl/>
                    <w:snapToGrid w:val="0"/>
                    <w:jc w:val="center"/>
                    <w:rPr>
                      <w:b/>
                      <w:bCs/>
                      <w:color w:val="000000"/>
                      <w:kern w:val="0"/>
                      <w:sz w:val="21"/>
                      <w:szCs w:val="21"/>
                    </w:rPr>
                  </w:pPr>
                  <w:r>
                    <w:rPr>
                      <w:b/>
                      <w:bCs/>
                      <w:color w:val="000000"/>
                      <w:kern w:val="0"/>
                      <w:sz w:val="21"/>
                      <w:szCs w:val="21"/>
                    </w:rPr>
                    <w:t>名称</w:t>
                  </w:r>
                </w:p>
              </w:tc>
              <w:tc>
                <w:tcPr>
                  <w:tcW w:w="1661" w:type="dxa"/>
                  <w:tcBorders>
                    <w:top w:val="single" w:color="auto" w:sz="4" w:space="0"/>
                  </w:tcBorders>
                  <w:noWrap w:val="0"/>
                  <w:vAlign w:val="center"/>
                </w:tcPr>
                <w:p w14:paraId="3265528D">
                  <w:pPr>
                    <w:snapToGrid w:val="0"/>
                    <w:jc w:val="center"/>
                    <w:rPr>
                      <w:rFonts w:hint="eastAsia"/>
                      <w:b/>
                      <w:bCs/>
                      <w:color w:val="000000"/>
                      <w:sz w:val="21"/>
                      <w:szCs w:val="21"/>
                    </w:rPr>
                  </w:pPr>
                  <w:r>
                    <w:rPr>
                      <w:rFonts w:hint="eastAsia"/>
                      <w:b/>
                      <w:bCs/>
                      <w:color w:val="000000"/>
                      <w:sz w:val="21"/>
                      <w:szCs w:val="21"/>
                    </w:rPr>
                    <w:t>单位</w:t>
                  </w:r>
                </w:p>
              </w:tc>
              <w:tc>
                <w:tcPr>
                  <w:tcW w:w="1661" w:type="dxa"/>
                  <w:tcBorders>
                    <w:top w:val="single" w:color="auto" w:sz="4" w:space="0"/>
                  </w:tcBorders>
                  <w:noWrap w:val="0"/>
                  <w:vAlign w:val="center"/>
                </w:tcPr>
                <w:p w14:paraId="2FB5186E">
                  <w:pPr>
                    <w:snapToGrid w:val="0"/>
                    <w:jc w:val="center"/>
                    <w:rPr>
                      <w:rFonts w:hint="eastAsia"/>
                      <w:b/>
                      <w:bCs/>
                      <w:color w:val="000000"/>
                      <w:sz w:val="21"/>
                      <w:szCs w:val="21"/>
                    </w:rPr>
                  </w:pPr>
                  <w:r>
                    <w:rPr>
                      <w:rFonts w:hint="eastAsia"/>
                      <w:b/>
                      <w:bCs/>
                      <w:color w:val="000000"/>
                      <w:sz w:val="21"/>
                      <w:szCs w:val="21"/>
                    </w:rPr>
                    <w:t>消耗量</w:t>
                  </w:r>
                </w:p>
              </w:tc>
              <w:tc>
                <w:tcPr>
                  <w:tcW w:w="1661" w:type="dxa"/>
                  <w:tcBorders>
                    <w:top w:val="single" w:color="auto" w:sz="4" w:space="0"/>
                    <w:right w:val="single" w:color="auto" w:sz="4" w:space="0"/>
                  </w:tcBorders>
                  <w:noWrap w:val="0"/>
                  <w:vAlign w:val="center"/>
                </w:tcPr>
                <w:p w14:paraId="547436EC">
                  <w:pPr>
                    <w:snapToGrid w:val="0"/>
                    <w:jc w:val="center"/>
                    <w:rPr>
                      <w:rFonts w:hint="eastAsia"/>
                      <w:b/>
                      <w:bCs/>
                      <w:color w:val="000000"/>
                      <w:sz w:val="21"/>
                      <w:szCs w:val="21"/>
                    </w:rPr>
                  </w:pPr>
                  <w:r>
                    <w:rPr>
                      <w:rFonts w:hint="eastAsia"/>
                      <w:b/>
                      <w:bCs/>
                      <w:color w:val="000000"/>
                      <w:sz w:val="21"/>
                      <w:szCs w:val="21"/>
                    </w:rPr>
                    <w:t>来源</w:t>
                  </w:r>
                </w:p>
              </w:tc>
            </w:tr>
            <w:tr w14:paraId="20F3A3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0" w:type="dxa"/>
                  <w:tcBorders>
                    <w:left w:val="single" w:color="auto" w:sz="4" w:space="0"/>
                  </w:tcBorders>
                  <w:noWrap w:val="0"/>
                  <w:vAlign w:val="center"/>
                </w:tcPr>
                <w:p w14:paraId="39493ACA">
                  <w:pPr>
                    <w:snapToGrid w:val="0"/>
                    <w:jc w:val="center"/>
                    <w:rPr>
                      <w:rFonts w:hint="eastAsia"/>
                      <w:color w:val="000000"/>
                      <w:sz w:val="21"/>
                      <w:szCs w:val="21"/>
                    </w:rPr>
                  </w:pPr>
                  <w:r>
                    <w:rPr>
                      <w:rFonts w:hint="eastAsia"/>
                      <w:color w:val="000000"/>
                      <w:sz w:val="21"/>
                      <w:szCs w:val="21"/>
                    </w:rPr>
                    <w:t>1</w:t>
                  </w:r>
                </w:p>
              </w:tc>
              <w:tc>
                <w:tcPr>
                  <w:tcW w:w="1661" w:type="dxa"/>
                  <w:noWrap w:val="0"/>
                  <w:vAlign w:val="center"/>
                </w:tcPr>
                <w:p w14:paraId="3F235A24">
                  <w:pPr>
                    <w:snapToGrid w:val="0"/>
                    <w:jc w:val="center"/>
                    <w:rPr>
                      <w:rFonts w:hint="eastAsia"/>
                      <w:color w:val="000000"/>
                      <w:sz w:val="21"/>
                      <w:szCs w:val="21"/>
                    </w:rPr>
                  </w:pPr>
                  <w:r>
                    <w:rPr>
                      <w:rFonts w:hint="eastAsia"/>
                      <w:color w:val="000000"/>
                      <w:sz w:val="21"/>
                      <w:szCs w:val="21"/>
                    </w:rPr>
                    <w:t>循环水</w:t>
                  </w:r>
                </w:p>
              </w:tc>
              <w:tc>
                <w:tcPr>
                  <w:tcW w:w="1661" w:type="dxa"/>
                  <w:noWrap w:val="0"/>
                  <w:vAlign w:val="center"/>
                </w:tcPr>
                <w:p w14:paraId="1C78BB91">
                  <w:pPr>
                    <w:snapToGrid w:val="0"/>
                    <w:jc w:val="center"/>
                    <w:rPr>
                      <w:color w:val="000000"/>
                      <w:sz w:val="21"/>
                      <w:szCs w:val="21"/>
                    </w:rPr>
                  </w:pPr>
                  <w:r>
                    <w:rPr>
                      <w:rFonts w:hint="eastAsia"/>
                      <w:color w:val="000000"/>
                      <w:sz w:val="21"/>
                      <w:szCs w:val="21"/>
                    </w:rPr>
                    <w:t>t/h</w:t>
                  </w:r>
                </w:p>
              </w:tc>
              <w:tc>
                <w:tcPr>
                  <w:tcW w:w="1661" w:type="dxa"/>
                  <w:noWrap w:val="0"/>
                  <w:vAlign w:val="center"/>
                </w:tcPr>
                <w:p w14:paraId="72A6B155">
                  <w:pPr>
                    <w:snapToGrid w:val="0"/>
                    <w:jc w:val="center"/>
                    <w:rPr>
                      <w:rFonts w:hint="default"/>
                      <w:color w:val="000000"/>
                      <w:sz w:val="21"/>
                      <w:szCs w:val="21"/>
                      <w:lang w:val="en-US" w:eastAsia="zh-CN"/>
                    </w:rPr>
                  </w:pPr>
                  <w:r>
                    <w:rPr>
                      <w:rFonts w:hint="eastAsia"/>
                      <w:color w:val="000000"/>
                      <w:sz w:val="21"/>
                      <w:szCs w:val="21"/>
                      <w:lang w:val="en-US" w:eastAsia="zh-CN"/>
                    </w:rPr>
                    <w:t>192.6</w:t>
                  </w:r>
                </w:p>
              </w:tc>
              <w:tc>
                <w:tcPr>
                  <w:tcW w:w="1661" w:type="dxa"/>
                  <w:vMerge w:val="restart"/>
                  <w:tcBorders>
                    <w:right w:val="single" w:color="auto" w:sz="4" w:space="0"/>
                  </w:tcBorders>
                  <w:noWrap w:val="0"/>
                  <w:vAlign w:val="center"/>
                </w:tcPr>
                <w:p w14:paraId="392969DF">
                  <w:pPr>
                    <w:snapToGrid w:val="0"/>
                    <w:jc w:val="center"/>
                    <w:rPr>
                      <w:color w:val="000000"/>
                      <w:sz w:val="21"/>
                      <w:szCs w:val="21"/>
                    </w:rPr>
                  </w:pPr>
                  <w:r>
                    <w:rPr>
                      <w:rFonts w:hint="eastAsia"/>
                      <w:color w:val="000000"/>
                      <w:sz w:val="21"/>
                      <w:szCs w:val="21"/>
                    </w:rPr>
                    <w:t>依托伊泰现有</w:t>
                  </w:r>
                </w:p>
              </w:tc>
            </w:tr>
            <w:tr w14:paraId="30DB12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0" w:type="dxa"/>
                  <w:tcBorders>
                    <w:left w:val="single" w:color="auto" w:sz="4" w:space="0"/>
                  </w:tcBorders>
                  <w:noWrap w:val="0"/>
                  <w:vAlign w:val="center"/>
                </w:tcPr>
                <w:p w14:paraId="37C5C60A">
                  <w:pPr>
                    <w:snapToGrid w:val="0"/>
                    <w:jc w:val="center"/>
                    <w:rPr>
                      <w:rFonts w:hint="eastAsia"/>
                      <w:color w:val="000000"/>
                      <w:sz w:val="21"/>
                      <w:szCs w:val="21"/>
                    </w:rPr>
                  </w:pPr>
                  <w:r>
                    <w:rPr>
                      <w:rFonts w:hint="eastAsia"/>
                      <w:color w:val="000000"/>
                      <w:sz w:val="21"/>
                      <w:szCs w:val="21"/>
                    </w:rPr>
                    <w:t>2</w:t>
                  </w:r>
                </w:p>
              </w:tc>
              <w:tc>
                <w:tcPr>
                  <w:tcW w:w="1661" w:type="dxa"/>
                  <w:noWrap w:val="0"/>
                  <w:vAlign w:val="center"/>
                </w:tcPr>
                <w:p w14:paraId="5415F596">
                  <w:pPr>
                    <w:snapToGrid w:val="0"/>
                    <w:jc w:val="center"/>
                    <w:rPr>
                      <w:rFonts w:hint="eastAsia"/>
                      <w:color w:val="000000"/>
                      <w:sz w:val="21"/>
                      <w:szCs w:val="21"/>
                    </w:rPr>
                  </w:pPr>
                  <w:r>
                    <w:rPr>
                      <w:rFonts w:hint="eastAsia"/>
                      <w:color w:val="000000"/>
                      <w:sz w:val="21"/>
                      <w:szCs w:val="21"/>
                    </w:rPr>
                    <w:t>蒸汽</w:t>
                  </w:r>
                </w:p>
              </w:tc>
              <w:tc>
                <w:tcPr>
                  <w:tcW w:w="1661" w:type="dxa"/>
                  <w:noWrap w:val="0"/>
                  <w:vAlign w:val="center"/>
                </w:tcPr>
                <w:p w14:paraId="688AA347">
                  <w:pPr>
                    <w:snapToGrid w:val="0"/>
                    <w:jc w:val="center"/>
                    <w:rPr>
                      <w:color w:val="000000"/>
                      <w:sz w:val="21"/>
                      <w:szCs w:val="21"/>
                    </w:rPr>
                  </w:pPr>
                  <w:r>
                    <w:rPr>
                      <w:rFonts w:hint="eastAsia"/>
                      <w:color w:val="000000"/>
                      <w:sz w:val="21"/>
                      <w:szCs w:val="21"/>
                    </w:rPr>
                    <w:t>t/h</w:t>
                  </w:r>
                </w:p>
              </w:tc>
              <w:tc>
                <w:tcPr>
                  <w:tcW w:w="1661" w:type="dxa"/>
                  <w:noWrap w:val="0"/>
                  <w:vAlign w:val="center"/>
                </w:tcPr>
                <w:p w14:paraId="0948A136">
                  <w:pPr>
                    <w:snapToGrid w:val="0"/>
                    <w:jc w:val="center"/>
                    <w:rPr>
                      <w:rFonts w:hint="default" w:eastAsia="宋体"/>
                      <w:color w:val="000000"/>
                      <w:sz w:val="21"/>
                      <w:szCs w:val="21"/>
                      <w:lang w:val="en-US" w:eastAsia="zh-CN"/>
                    </w:rPr>
                  </w:pPr>
                  <w:r>
                    <w:rPr>
                      <w:rFonts w:hint="eastAsia"/>
                      <w:color w:val="000000"/>
                      <w:sz w:val="21"/>
                      <w:szCs w:val="21"/>
                      <w:lang w:val="en-US" w:eastAsia="zh-CN"/>
                    </w:rPr>
                    <w:t>7.6</w:t>
                  </w:r>
                </w:p>
              </w:tc>
              <w:tc>
                <w:tcPr>
                  <w:tcW w:w="1661" w:type="dxa"/>
                  <w:vMerge w:val="continue"/>
                  <w:tcBorders>
                    <w:right w:val="single" w:color="auto" w:sz="4" w:space="0"/>
                  </w:tcBorders>
                  <w:noWrap w:val="0"/>
                  <w:vAlign w:val="center"/>
                </w:tcPr>
                <w:p w14:paraId="24EA96EE">
                  <w:pPr>
                    <w:snapToGrid w:val="0"/>
                    <w:jc w:val="center"/>
                    <w:rPr>
                      <w:color w:val="000000"/>
                      <w:sz w:val="21"/>
                      <w:szCs w:val="21"/>
                    </w:rPr>
                  </w:pPr>
                </w:p>
              </w:tc>
            </w:tr>
            <w:tr w14:paraId="380500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0" w:type="dxa"/>
                  <w:tcBorders>
                    <w:left w:val="single" w:color="auto" w:sz="4" w:space="0"/>
                  </w:tcBorders>
                  <w:noWrap w:val="0"/>
                  <w:vAlign w:val="center"/>
                </w:tcPr>
                <w:p w14:paraId="5BFDC3B8">
                  <w:pPr>
                    <w:snapToGrid w:val="0"/>
                    <w:jc w:val="center"/>
                    <w:rPr>
                      <w:rFonts w:hint="eastAsia"/>
                      <w:color w:val="000000"/>
                      <w:sz w:val="21"/>
                      <w:szCs w:val="21"/>
                    </w:rPr>
                  </w:pPr>
                  <w:r>
                    <w:rPr>
                      <w:rFonts w:hint="eastAsia"/>
                      <w:color w:val="000000"/>
                      <w:sz w:val="21"/>
                      <w:szCs w:val="21"/>
                    </w:rPr>
                    <w:t>3</w:t>
                  </w:r>
                </w:p>
              </w:tc>
              <w:tc>
                <w:tcPr>
                  <w:tcW w:w="1661" w:type="dxa"/>
                  <w:noWrap w:val="0"/>
                  <w:vAlign w:val="center"/>
                </w:tcPr>
                <w:p w14:paraId="2249C054">
                  <w:pPr>
                    <w:snapToGrid w:val="0"/>
                    <w:jc w:val="center"/>
                    <w:rPr>
                      <w:rFonts w:hint="eastAsia"/>
                      <w:color w:val="000000"/>
                      <w:sz w:val="21"/>
                      <w:szCs w:val="21"/>
                    </w:rPr>
                  </w:pPr>
                  <w:r>
                    <w:rPr>
                      <w:rFonts w:hint="eastAsia"/>
                      <w:color w:val="000000"/>
                      <w:sz w:val="21"/>
                      <w:szCs w:val="21"/>
                    </w:rPr>
                    <w:t>电</w:t>
                  </w:r>
                </w:p>
              </w:tc>
              <w:tc>
                <w:tcPr>
                  <w:tcW w:w="1661" w:type="dxa"/>
                  <w:noWrap w:val="0"/>
                  <w:vAlign w:val="center"/>
                </w:tcPr>
                <w:p w14:paraId="14AC3B94">
                  <w:pPr>
                    <w:snapToGrid w:val="0"/>
                    <w:jc w:val="center"/>
                    <w:rPr>
                      <w:rFonts w:hint="eastAsia" w:eastAsia="宋体"/>
                      <w:color w:val="000000"/>
                      <w:sz w:val="21"/>
                      <w:szCs w:val="21"/>
                      <w:lang w:val="en-US" w:eastAsia="zh-CN"/>
                    </w:rPr>
                  </w:pPr>
                  <w:r>
                    <w:rPr>
                      <w:rFonts w:hint="eastAsia"/>
                      <w:color w:val="000000"/>
                      <w:sz w:val="21"/>
                      <w:szCs w:val="21"/>
                    </w:rPr>
                    <w:t>KW</w:t>
                  </w:r>
                  <w:r>
                    <w:rPr>
                      <w:rFonts w:hint="eastAsia"/>
                      <w:color w:val="000000"/>
                      <w:sz w:val="21"/>
                      <w:szCs w:val="21"/>
                      <w:lang w:val="en-US" w:eastAsia="zh-CN"/>
                    </w:rPr>
                    <w:t>/h</w:t>
                  </w:r>
                </w:p>
              </w:tc>
              <w:tc>
                <w:tcPr>
                  <w:tcW w:w="1661" w:type="dxa"/>
                  <w:noWrap w:val="0"/>
                  <w:vAlign w:val="center"/>
                </w:tcPr>
                <w:p w14:paraId="51C1370E">
                  <w:pPr>
                    <w:snapToGrid w:val="0"/>
                    <w:jc w:val="center"/>
                    <w:rPr>
                      <w:rFonts w:hint="default" w:eastAsia="宋体"/>
                      <w:color w:val="000000"/>
                      <w:sz w:val="21"/>
                      <w:szCs w:val="21"/>
                      <w:lang w:val="en-US" w:eastAsia="zh-CN"/>
                    </w:rPr>
                  </w:pPr>
                  <w:r>
                    <w:rPr>
                      <w:rFonts w:hint="eastAsia"/>
                      <w:color w:val="000000"/>
                      <w:sz w:val="21"/>
                      <w:szCs w:val="21"/>
                      <w:lang w:val="en-US" w:eastAsia="zh-CN"/>
                    </w:rPr>
                    <w:t>190.94</w:t>
                  </w:r>
                </w:p>
              </w:tc>
              <w:tc>
                <w:tcPr>
                  <w:tcW w:w="1661" w:type="dxa"/>
                  <w:vMerge w:val="continue"/>
                  <w:tcBorders>
                    <w:right w:val="single" w:color="auto" w:sz="4" w:space="0"/>
                  </w:tcBorders>
                  <w:noWrap w:val="0"/>
                  <w:vAlign w:val="center"/>
                </w:tcPr>
                <w:p w14:paraId="0A9284C7">
                  <w:pPr>
                    <w:snapToGrid w:val="0"/>
                    <w:jc w:val="center"/>
                    <w:rPr>
                      <w:color w:val="000000"/>
                      <w:sz w:val="21"/>
                      <w:szCs w:val="21"/>
                    </w:rPr>
                  </w:pPr>
                </w:p>
              </w:tc>
            </w:tr>
            <w:tr w14:paraId="04CA69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0" w:type="dxa"/>
                  <w:tcBorders>
                    <w:left w:val="single" w:color="auto" w:sz="4" w:space="0"/>
                    <w:bottom w:val="single" w:color="auto" w:sz="4" w:space="0"/>
                  </w:tcBorders>
                  <w:noWrap w:val="0"/>
                  <w:vAlign w:val="center"/>
                </w:tcPr>
                <w:p w14:paraId="5E4D1103">
                  <w:pPr>
                    <w:snapToGrid w:val="0"/>
                    <w:jc w:val="center"/>
                    <w:rPr>
                      <w:rFonts w:hint="eastAsia"/>
                      <w:color w:val="000000"/>
                      <w:sz w:val="21"/>
                      <w:szCs w:val="21"/>
                    </w:rPr>
                  </w:pPr>
                  <w:r>
                    <w:rPr>
                      <w:rFonts w:hint="eastAsia"/>
                      <w:color w:val="000000"/>
                      <w:sz w:val="21"/>
                      <w:szCs w:val="21"/>
                    </w:rPr>
                    <w:t>4</w:t>
                  </w:r>
                </w:p>
              </w:tc>
              <w:tc>
                <w:tcPr>
                  <w:tcW w:w="1661" w:type="dxa"/>
                  <w:tcBorders>
                    <w:bottom w:val="single" w:color="auto" w:sz="4" w:space="0"/>
                  </w:tcBorders>
                  <w:noWrap w:val="0"/>
                  <w:vAlign w:val="center"/>
                </w:tcPr>
                <w:p w14:paraId="722C8943">
                  <w:pPr>
                    <w:snapToGrid w:val="0"/>
                    <w:jc w:val="center"/>
                    <w:rPr>
                      <w:rFonts w:hint="eastAsia"/>
                      <w:color w:val="000000"/>
                      <w:sz w:val="21"/>
                      <w:szCs w:val="21"/>
                    </w:rPr>
                  </w:pPr>
                  <w:r>
                    <w:rPr>
                      <w:rFonts w:hint="eastAsia"/>
                      <w:color w:val="000000"/>
                      <w:sz w:val="21"/>
                      <w:szCs w:val="21"/>
                    </w:rPr>
                    <w:t>氮气</w:t>
                  </w:r>
                </w:p>
              </w:tc>
              <w:tc>
                <w:tcPr>
                  <w:tcW w:w="1661" w:type="dxa"/>
                  <w:tcBorders>
                    <w:bottom w:val="single" w:color="auto" w:sz="4" w:space="0"/>
                  </w:tcBorders>
                  <w:noWrap w:val="0"/>
                  <w:vAlign w:val="center"/>
                </w:tcPr>
                <w:p w14:paraId="0B66113D">
                  <w:pPr>
                    <w:snapToGrid w:val="0"/>
                    <w:jc w:val="center"/>
                    <w:rPr>
                      <w:color w:val="000000"/>
                      <w:sz w:val="21"/>
                      <w:szCs w:val="21"/>
                    </w:rPr>
                  </w:pPr>
                  <w:r>
                    <w:rPr>
                      <w:rFonts w:hint="eastAsia"/>
                      <w:color w:val="000000"/>
                      <w:sz w:val="21"/>
                      <w:szCs w:val="21"/>
                    </w:rPr>
                    <w:t>m</w:t>
                  </w:r>
                  <w:r>
                    <w:rPr>
                      <w:rFonts w:hint="eastAsia"/>
                      <w:color w:val="000000"/>
                      <w:sz w:val="21"/>
                      <w:szCs w:val="21"/>
                      <w:vertAlign w:val="superscript"/>
                    </w:rPr>
                    <w:t>3</w:t>
                  </w:r>
                  <w:r>
                    <w:rPr>
                      <w:rFonts w:hint="eastAsia"/>
                      <w:color w:val="000000"/>
                      <w:sz w:val="21"/>
                      <w:szCs w:val="21"/>
                    </w:rPr>
                    <w:t>/h</w:t>
                  </w:r>
                </w:p>
              </w:tc>
              <w:tc>
                <w:tcPr>
                  <w:tcW w:w="1661" w:type="dxa"/>
                  <w:tcBorders>
                    <w:bottom w:val="single" w:color="auto" w:sz="4" w:space="0"/>
                  </w:tcBorders>
                  <w:noWrap w:val="0"/>
                  <w:vAlign w:val="center"/>
                </w:tcPr>
                <w:p w14:paraId="5C530354">
                  <w:pPr>
                    <w:snapToGrid w:val="0"/>
                    <w:jc w:val="center"/>
                    <w:rPr>
                      <w:rFonts w:hint="default" w:eastAsia="宋体"/>
                      <w:color w:val="000000"/>
                      <w:sz w:val="21"/>
                      <w:szCs w:val="21"/>
                      <w:lang w:val="en-US" w:eastAsia="zh-CN"/>
                    </w:rPr>
                  </w:pPr>
                  <w:r>
                    <w:rPr>
                      <w:rFonts w:hint="eastAsia"/>
                      <w:color w:val="000000"/>
                      <w:sz w:val="21"/>
                      <w:szCs w:val="21"/>
                      <w:lang w:val="en-US" w:eastAsia="zh-CN"/>
                    </w:rPr>
                    <w:t>100</w:t>
                  </w:r>
                </w:p>
              </w:tc>
              <w:tc>
                <w:tcPr>
                  <w:tcW w:w="1661" w:type="dxa"/>
                  <w:vMerge w:val="continue"/>
                  <w:tcBorders>
                    <w:right w:val="single" w:color="auto" w:sz="4" w:space="0"/>
                  </w:tcBorders>
                  <w:noWrap w:val="0"/>
                  <w:vAlign w:val="center"/>
                </w:tcPr>
                <w:p w14:paraId="340D2E41">
                  <w:pPr>
                    <w:snapToGrid w:val="0"/>
                    <w:jc w:val="center"/>
                    <w:rPr>
                      <w:color w:val="000000"/>
                      <w:sz w:val="21"/>
                      <w:szCs w:val="21"/>
                    </w:rPr>
                  </w:pPr>
                </w:p>
              </w:tc>
            </w:tr>
          </w:tbl>
          <w:p w14:paraId="6221C086">
            <w:pPr>
              <w:spacing w:line="360" w:lineRule="auto"/>
              <w:ind w:firstLine="470" w:firstLineChars="195"/>
              <w:rPr>
                <w:b/>
                <w:color w:val="000000"/>
                <w:sz w:val="24"/>
              </w:rPr>
            </w:pPr>
            <w:r>
              <w:rPr>
                <w:b/>
                <w:color w:val="000000"/>
                <w:sz w:val="24"/>
              </w:rPr>
              <w:t>3.4主要设备</w:t>
            </w:r>
          </w:p>
          <w:p w14:paraId="1865CEA5">
            <w:pPr>
              <w:tabs>
                <w:tab w:val="left" w:pos="7600"/>
                <w:tab w:val="right" w:pos="14293"/>
              </w:tabs>
              <w:snapToGrid w:val="0"/>
              <w:spacing w:line="360" w:lineRule="auto"/>
              <w:ind w:firstLine="480" w:firstLineChars="200"/>
              <w:rPr>
                <w:color w:val="000000"/>
                <w:sz w:val="24"/>
                <w:szCs w:val="20"/>
              </w:rPr>
            </w:pPr>
            <w:r>
              <w:rPr>
                <w:color w:val="000000"/>
                <w:sz w:val="24"/>
                <w:szCs w:val="20"/>
              </w:rPr>
              <w:t>本项目生产设备见表2-</w:t>
            </w:r>
            <w:r>
              <w:rPr>
                <w:rFonts w:hint="eastAsia"/>
                <w:color w:val="000000"/>
                <w:sz w:val="24"/>
                <w:szCs w:val="20"/>
                <w:lang w:val="en-US" w:eastAsia="zh-CN"/>
              </w:rPr>
              <w:t>7</w:t>
            </w:r>
            <w:r>
              <w:rPr>
                <w:color w:val="000000"/>
                <w:sz w:val="24"/>
                <w:szCs w:val="20"/>
              </w:rPr>
              <w:t>。</w:t>
            </w:r>
          </w:p>
          <w:p w14:paraId="01931699">
            <w:pPr>
              <w:snapToGrid w:val="0"/>
              <w:ind w:firstLine="482" w:firstLineChars="200"/>
              <w:jc w:val="center"/>
              <w:rPr>
                <w:b/>
                <w:bCs/>
                <w:color w:val="000000"/>
                <w:sz w:val="24"/>
                <w:highlight w:val="none"/>
              </w:rPr>
            </w:pPr>
            <w:r>
              <w:rPr>
                <w:b/>
                <w:bCs/>
                <w:color w:val="000000"/>
                <w:sz w:val="24"/>
                <w:highlight w:val="none"/>
              </w:rPr>
              <w:t>表2-</w:t>
            </w:r>
            <w:r>
              <w:rPr>
                <w:rFonts w:hint="eastAsia"/>
                <w:b/>
                <w:bCs/>
                <w:color w:val="000000"/>
                <w:sz w:val="24"/>
                <w:highlight w:val="none"/>
                <w:lang w:val="en-US" w:eastAsia="zh-CN"/>
              </w:rPr>
              <w:t>7：</w:t>
            </w:r>
            <w:r>
              <w:rPr>
                <w:b/>
                <w:bCs/>
                <w:color w:val="000000"/>
                <w:sz w:val="24"/>
                <w:highlight w:val="none"/>
              </w:rPr>
              <w:t>项目主要生产设备一览表</w:t>
            </w:r>
          </w:p>
          <w:tbl>
            <w:tblPr>
              <w:tblStyle w:val="41"/>
              <w:tblW w:w="810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421"/>
              <w:gridCol w:w="630"/>
              <w:gridCol w:w="1665"/>
              <w:gridCol w:w="630"/>
              <w:gridCol w:w="675"/>
              <w:gridCol w:w="690"/>
              <w:gridCol w:w="720"/>
              <w:gridCol w:w="1304"/>
              <w:gridCol w:w="1366"/>
            </w:tblGrid>
            <w:tr w14:paraId="49F3F7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340" w:hRule="atLeast"/>
                <w:jc w:val="center"/>
              </w:trPr>
              <w:tc>
                <w:tcPr>
                  <w:tcW w:w="421" w:type="dxa"/>
                  <w:vMerge w:val="restart"/>
                  <w:tcBorders>
                    <w:top w:val="single" w:color="auto" w:sz="4" w:space="0"/>
                    <w:left w:val="single" w:color="auto" w:sz="0" w:space="0"/>
                    <w:bottom w:val="single" w:color="auto" w:sz="4" w:space="0"/>
                  </w:tcBorders>
                  <w:noWrap w:val="0"/>
                  <w:vAlign w:val="center"/>
                </w:tcPr>
                <w:p w14:paraId="3E7DEF39">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ascii="Times New Roman" w:hAnsi="Times New Roman" w:eastAsia="宋体" w:cs="Times New Roman"/>
                      <w:b/>
                      <w:bCs w:val="0"/>
                      <w:color w:val="auto"/>
                      <w:kern w:val="0"/>
                      <w:sz w:val="21"/>
                      <w:szCs w:val="21"/>
                      <w:lang w:val="zh-CN" w:bidi="zh-CN"/>
                    </w:rPr>
                    <w:t>序号</w:t>
                  </w:r>
                </w:p>
              </w:tc>
              <w:tc>
                <w:tcPr>
                  <w:tcW w:w="630" w:type="dxa"/>
                  <w:vMerge w:val="restart"/>
                  <w:tcBorders>
                    <w:top w:val="single" w:color="auto" w:sz="4" w:space="0"/>
                    <w:bottom w:val="single" w:color="auto" w:sz="4" w:space="0"/>
                  </w:tcBorders>
                  <w:noWrap w:val="0"/>
                  <w:vAlign w:val="center"/>
                </w:tcPr>
                <w:p w14:paraId="7995EAB8">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ascii="Times New Roman" w:hAnsi="Times New Roman" w:eastAsia="宋体" w:cs="Times New Roman"/>
                      <w:b/>
                      <w:bCs w:val="0"/>
                      <w:color w:val="auto"/>
                      <w:kern w:val="0"/>
                      <w:sz w:val="21"/>
                      <w:szCs w:val="21"/>
                      <w:lang w:val="zh-CN" w:bidi="zh-CN"/>
                    </w:rPr>
                    <w:t>设备或材料名称</w:t>
                  </w:r>
                </w:p>
              </w:tc>
              <w:tc>
                <w:tcPr>
                  <w:tcW w:w="1665" w:type="dxa"/>
                  <w:vMerge w:val="restart"/>
                  <w:tcBorders>
                    <w:top w:val="single" w:color="auto" w:sz="4" w:space="0"/>
                    <w:bottom w:val="single" w:color="auto" w:sz="4" w:space="0"/>
                  </w:tcBorders>
                  <w:noWrap w:val="0"/>
                  <w:vAlign w:val="center"/>
                </w:tcPr>
                <w:p w14:paraId="4BF3C408">
                  <w:pPr>
                    <w:tabs>
                      <w:tab w:val="left" w:pos="606"/>
                      <w:tab w:val="left" w:pos="1086"/>
                      <w:tab w:val="left" w:pos="1566"/>
                    </w:tabs>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ascii="Times New Roman" w:hAnsi="Times New Roman" w:eastAsia="宋体" w:cs="Times New Roman"/>
                      <w:b/>
                      <w:bCs w:val="0"/>
                      <w:color w:val="auto"/>
                      <w:kern w:val="0"/>
                      <w:sz w:val="21"/>
                      <w:szCs w:val="21"/>
                      <w:lang w:val="zh-CN" w:bidi="zh-CN"/>
                    </w:rPr>
                    <w:t>技术规格</w:t>
                  </w:r>
                </w:p>
              </w:tc>
              <w:tc>
                <w:tcPr>
                  <w:tcW w:w="630" w:type="dxa"/>
                  <w:vMerge w:val="restart"/>
                  <w:tcBorders>
                    <w:top w:val="single" w:color="auto" w:sz="4" w:space="0"/>
                    <w:bottom w:val="single" w:color="auto" w:sz="4" w:space="0"/>
                  </w:tcBorders>
                  <w:noWrap w:val="0"/>
                  <w:vAlign w:val="center"/>
                </w:tcPr>
                <w:p w14:paraId="099A3D1A">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ascii="Times New Roman" w:hAnsi="Times New Roman" w:eastAsia="宋体" w:cs="Times New Roman"/>
                      <w:b/>
                      <w:bCs w:val="0"/>
                      <w:color w:val="auto"/>
                      <w:kern w:val="0"/>
                      <w:sz w:val="21"/>
                      <w:szCs w:val="21"/>
                      <w:lang w:val="zh-CN" w:bidi="zh-CN"/>
                    </w:rPr>
                    <w:t>单位</w:t>
                  </w:r>
                </w:p>
              </w:tc>
              <w:tc>
                <w:tcPr>
                  <w:tcW w:w="675" w:type="dxa"/>
                  <w:vMerge w:val="restart"/>
                  <w:tcBorders>
                    <w:top w:val="single" w:color="auto" w:sz="4" w:space="0"/>
                    <w:bottom w:val="single" w:color="auto" w:sz="4" w:space="0"/>
                  </w:tcBorders>
                  <w:noWrap w:val="0"/>
                  <w:vAlign w:val="center"/>
                </w:tcPr>
                <w:p w14:paraId="3227648D">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ascii="Times New Roman" w:hAnsi="Times New Roman" w:eastAsia="宋体" w:cs="Times New Roman"/>
                      <w:b/>
                      <w:bCs w:val="0"/>
                      <w:color w:val="auto"/>
                      <w:kern w:val="0"/>
                      <w:sz w:val="21"/>
                      <w:szCs w:val="21"/>
                      <w:lang w:val="zh-CN" w:bidi="zh-CN"/>
                    </w:rPr>
                    <w:t>数量</w:t>
                  </w:r>
                </w:p>
              </w:tc>
              <w:tc>
                <w:tcPr>
                  <w:tcW w:w="1410" w:type="dxa"/>
                  <w:gridSpan w:val="2"/>
                  <w:tcBorders>
                    <w:top w:val="single" w:color="auto" w:sz="4" w:space="0"/>
                    <w:bottom w:val="single" w:color="auto" w:sz="4" w:space="0"/>
                  </w:tcBorders>
                  <w:noWrap w:val="0"/>
                  <w:vAlign w:val="center"/>
                </w:tcPr>
                <w:p w14:paraId="611CE575">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hint="eastAsia" w:ascii="Times New Roman" w:hAnsi="Times New Roman" w:eastAsia="宋体" w:cs="Times New Roman"/>
                      <w:b/>
                      <w:bCs w:val="0"/>
                      <w:color w:val="auto"/>
                      <w:kern w:val="0"/>
                      <w:sz w:val="21"/>
                      <w:szCs w:val="21"/>
                      <w:lang w:bidi="zh-CN"/>
                    </w:rPr>
                    <w:t>操作条件</w:t>
                  </w:r>
                </w:p>
              </w:tc>
              <w:tc>
                <w:tcPr>
                  <w:tcW w:w="1304" w:type="dxa"/>
                  <w:vMerge w:val="restart"/>
                  <w:tcBorders>
                    <w:top w:val="single" w:color="auto" w:sz="4" w:space="0"/>
                    <w:bottom w:val="single" w:color="auto" w:sz="4" w:space="0"/>
                  </w:tcBorders>
                  <w:noWrap w:val="0"/>
                  <w:vAlign w:val="center"/>
                </w:tcPr>
                <w:p w14:paraId="35DC27CB">
                  <w:pPr>
                    <w:tabs>
                      <w:tab w:val="left" w:pos="543"/>
                    </w:tabs>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r>
                    <w:rPr>
                      <w:rFonts w:hint="eastAsia" w:ascii="Times New Roman" w:hAnsi="Times New Roman" w:eastAsia="宋体" w:cs="Times New Roman"/>
                      <w:b/>
                      <w:bCs w:val="0"/>
                      <w:color w:val="auto"/>
                      <w:kern w:val="0"/>
                      <w:sz w:val="21"/>
                      <w:szCs w:val="21"/>
                      <w:lang w:bidi="zh-CN"/>
                    </w:rPr>
                    <w:t>介质</w:t>
                  </w:r>
                </w:p>
              </w:tc>
              <w:tc>
                <w:tcPr>
                  <w:tcW w:w="1366" w:type="dxa"/>
                  <w:vMerge w:val="restart"/>
                  <w:tcBorders>
                    <w:top w:val="single" w:color="auto" w:sz="4" w:space="0"/>
                    <w:bottom w:val="single" w:color="auto" w:sz="4" w:space="0"/>
                    <w:right w:val="single" w:color="auto" w:sz="4" w:space="0"/>
                  </w:tcBorders>
                  <w:noWrap w:val="0"/>
                  <w:vAlign w:val="center"/>
                </w:tcPr>
                <w:p w14:paraId="4CD67604">
                  <w:pPr>
                    <w:tabs>
                      <w:tab w:val="left" w:pos="543"/>
                    </w:tabs>
                    <w:autoSpaceDE w:val="0"/>
                    <w:autoSpaceDN w:val="0"/>
                    <w:spacing w:line="240" w:lineRule="exact"/>
                    <w:jc w:val="center"/>
                    <w:rPr>
                      <w:rFonts w:hint="default" w:ascii="Times New Roman" w:hAnsi="Times New Roman" w:eastAsia="宋体" w:cs="Times New Roman"/>
                      <w:b/>
                      <w:bCs w:val="0"/>
                      <w:color w:val="auto"/>
                      <w:kern w:val="0"/>
                      <w:sz w:val="21"/>
                      <w:szCs w:val="21"/>
                      <w:lang w:val="en-US" w:bidi="zh-CN"/>
                    </w:rPr>
                  </w:pPr>
                  <w:r>
                    <w:rPr>
                      <w:rFonts w:hint="eastAsia" w:ascii="Times New Roman" w:hAnsi="Times New Roman" w:eastAsia="宋体" w:cs="Times New Roman"/>
                      <w:b/>
                      <w:bCs w:val="0"/>
                      <w:color w:val="auto"/>
                      <w:kern w:val="0"/>
                      <w:sz w:val="21"/>
                      <w:szCs w:val="21"/>
                      <w:lang w:val="en-US" w:bidi="zh-CN"/>
                    </w:rPr>
                    <w:t>备注</w:t>
                  </w:r>
                </w:p>
              </w:tc>
            </w:tr>
            <w:tr w14:paraId="31688E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vMerge w:val="continue"/>
                  <w:tcBorders>
                    <w:top w:val="single" w:color="auto" w:sz="4" w:space="0"/>
                    <w:left w:val="single" w:color="auto" w:sz="4" w:space="0"/>
                  </w:tcBorders>
                  <w:noWrap w:val="0"/>
                  <w:vAlign w:val="center"/>
                </w:tcPr>
                <w:p w14:paraId="22516F68">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c>
                <w:tcPr>
                  <w:tcW w:w="630" w:type="dxa"/>
                  <w:vMerge w:val="continue"/>
                  <w:tcBorders>
                    <w:top w:val="single" w:color="auto" w:sz="4" w:space="0"/>
                  </w:tcBorders>
                  <w:noWrap w:val="0"/>
                  <w:vAlign w:val="center"/>
                </w:tcPr>
                <w:p w14:paraId="26836930">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c>
                <w:tcPr>
                  <w:tcW w:w="1665" w:type="dxa"/>
                  <w:vMerge w:val="continue"/>
                  <w:tcBorders>
                    <w:top w:val="single" w:color="auto" w:sz="4" w:space="0"/>
                  </w:tcBorders>
                  <w:noWrap w:val="0"/>
                  <w:vAlign w:val="center"/>
                </w:tcPr>
                <w:p w14:paraId="49E2CC4A">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c>
                <w:tcPr>
                  <w:tcW w:w="630" w:type="dxa"/>
                  <w:vMerge w:val="continue"/>
                  <w:tcBorders>
                    <w:top w:val="single" w:color="auto" w:sz="4" w:space="0"/>
                  </w:tcBorders>
                  <w:noWrap w:val="0"/>
                  <w:vAlign w:val="center"/>
                </w:tcPr>
                <w:p w14:paraId="557A0924">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c>
                <w:tcPr>
                  <w:tcW w:w="675" w:type="dxa"/>
                  <w:vMerge w:val="continue"/>
                  <w:tcBorders>
                    <w:top w:val="single" w:color="auto" w:sz="4" w:space="0"/>
                  </w:tcBorders>
                  <w:noWrap w:val="0"/>
                  <w:vAlign w:val="center"/>
                </w:tcPr>
                <w:p w14:paraId="0B3B0E1A">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c>
                <w:tcPr>
                  <w:tcW w:w="690" w:type="dxa"/>
                  <w:tcBorders>
                    <w:top w:val="single" w:color="auto" w:sz="4" w:space="0"/>
                  </w:tcBorders>
                  <w:noWrap w:val="0"/>
                  <w:vAlign w:val="center"/>
                </w:tcPr>
                <w:p w14:paraId="73AEFC0D">
                  <w:pPr>
                    <w:autoSpaceDE w:val="0"/>
                    <w:autoSpaceDN w:val="0"/>
                    <w:spacing w:line="240" w:lineRule="exact"/>
                    <w:jc w:val="center"/>
                    <w:rPr>
                      <w:rFonts w:ascii="Times New Roman" w:hAnsi="Times New Roman" w:eastAsia="宋体" w:cs="Times New Roman"/>
                      <w:b/>
                      <w:bCs w:val="0"/>
                      <w:color w:val="auto"/>
                      <w:kern w:val="0"/>
                      <w:sz w:val="21"/>
                      <w:szCs w:val="21"/>
                      <w:lang w:bidi="zh-CN"/>
                    </w:rPr>
                  </w:pPr>
                  <w:r>
                    <w:rPr>
                      <w:rFonts w:hint="eastAsia" w:ascii="Times New Roman" w:hAnsi="Times New Roman" w:eastAsia="宋体" w:cs="Times New Roman"/>
                      <w:b/>
                      <w:bCs w:val="0"/>
                      <w:color w:val="auto"/>
                      <w:kern w:val="0"/>
                      <w:sz w:val="21"/>
                      <w:szCs w:val="21"/>
                      <w:lang w:bidi="zh-CN"/>
                    </w:rPr>
                    <w:t>温度℃</w:t>
                  </w:r>
                </w:p>
              </w:tc>
              <w:tc>
                <w:tcPr>
                  <w:tcW w:w="720" w:type="dxa"/>
                  <w:tcBorders>
                    <w:top w:val="single" w:color="auto" w:sz="4" w:space="0"/>
                  </w:tcBorders>
                  <w:noWrap w:val="0"/>
                  <w:vAlign w:val="center"/>
                </w:tcPr>
                <w:p w14:paraId="18A9E913">
                  <w:pPr>
                    <w:autoSpaceDE w:val="0"/>
                    <w:autoSpaceDN w:val="0"/>
                    <w:spacing w:line="240" w:lineRule="exact"/>
                    <w:jc w:val="center"/>
                    <w:rPr>
                      <w:rFonts w:ascii="Times New Roman" w:hAnsi="Times New Roman" w:eastAsia="宋体" w:cs="Times New Roman"/>
                      <w:b/>
                      <w:bCs w:val="0"/>
                      <w:color w:val="auto"/>
                      <w:kern w:val="0"/>
                      <w:sz w:val="21"/>
                      <w:szCs w:val="21"/>
                      <w:lang w:bidi="zh-CN"/>
                    </w:rPr>
                  </w:pPr>
                  <w:r>
                    <w:rPr>
                      <w:rFonts w:hint="eastAsia" w:ascii="Times New Roman" w:hAnsi="Times New Roman" w:eastAsia="宋体" w:cs="Times New Roman"/>
                      <w:b/>
                      <w:bCs w:val="0"/>
                      <w:color w:val="auto"/>
                      <w:kern w:val="0"/>
                      <w:sz w:val="21"/>
                      <w:szCs w:val="21"/>
                      <w:lang w:bidi="zh-CN"/>
                    </w:rPr>
                    <w:t>压力MPaG</w:t>
                  </w:r>
                </w:p>
              </w:tc>
              <w:tc>
                <w:tcPr>
                  <w:tcW w:w="1304" w:type="dxa"/>
                  <w:vMerge w:val="continue"/>
                  <w:tcBorders>
                    <w:top w:val="single" w:color="auto" w:sz="4" w:space="0"/>
                  </w:tcBorders>
                  <w:noWrap w:val="0"/>
                  <w:vAlign w:val="center"/>
                </w:tcPr>
                <w:p w14:paraId="089D68CF">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c>
                <w:tcPr>
                  <w:tcW w:w="1366" w:type="dxa"/>
                  <w:vMerge w:val="continue"/>
                  <w:tcBorders>
                    <w:top w:val="single" w:color="auto" w:sz="4" w:space="0"/>
                    <w:right w:val="single" w:color="auto" w:sz="4" w:space="0"/>
                  </w:tcBorders>
                  <w:noWrap w:val="0"/>
                  <w:vAlign w:val="center"/>
                </w:tcPr>
                <w:p w14:paraId="76AF90B5">
                  <w:pPr>
                    <w:autoSpaceDE w:val="0"/>
                    <w:autoSpaceDN w:val="0"/>
                    <w:spacing w:line="240" w:lineRule="exact"/>
                    <w:jc w:val="center"/>
                    <w:rPr>
                      <w:rFonts w:ascii="Times New Roman" w:hAnsi="Times New Roman" w:eastAsia="宋体" w:cs="Times New Roman"/>
                      <w:b/>
                      <w:bCs w:val="0"/>
                      <w:color w:val="auto"/>
                      <w:kern w:val="0"/>
                      <w:sz w:val="21"/>
                      <w:szCs w:val="21"/>
                      <w:lang w:val="zh-CN" w:bidi="zh-CN"/>
                    </w:rPr>
                  </w:pPr>
                </w:p>
              </w:tc>
            </w:tr>
            <w:tr w14:paraId="4B545B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8"/>
                <w:wAfter w:w="7680" w:type="dxa"/>
                <w:trHeight w:val="340" w:hRule="atLeast"/>
                <w:jc w:val="center"/>
              </w:trPr>
              <w:tc>
                <w:tcPr>
                  <w:tcW w:w="421" w:type="dxa"/>
                  <w:noWrap w:val="0"/>
                  <w:vAlign w:val="center"/>
                </w:tcPr>
                <w:p w14:paraId="1456F12E">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一</w:t>
                  </w:r>
                  <w:r>
                    <w:rPr>
                      <w:rFonts w:hint="eastAsia" w:cs="Times New Roman"/>
                      <w:b w:val="0"/>
                      <w:color w:val="auto"/>
                      <w:kern w:val="0"/>
                      <w:sz w:val="21"/>
                      <w:szCs w:val="21"/>
                      <w:lang w:val="zh-CN" w:bidi="zh-CN"/>
                    </w:rPr>
                    <w:t>、</w:t>
                  </w:r>
                </w:p>
              </w:tc>
            </w:tr>
            <w:tr w14:paraId="7B4DDD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top w:val="single" w:color="auto" w:sz="4" w:space="0"/>
                    <w:left w:val="single" w:color="auto" w:sz="4" w:space="0"/>
                  </w:tcBorders>
                  <w:noWrap w:val="0"/>
                  <w:vAlign w:val="center"/>
                </w:tcPr>
                <w:p w14:paraId="1574146D">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1</w:t>
                  </w:r>
                </w:p>
              </w:tc>
              <w:tc>
                <w:tcPr>
                  <w:tcW w:w="630" w:type="dxa"/>
                  <w:tcBorders>
                    <w:top w:val="single" w:color="auto" w:sz="4" w:space="0"/>
                  </w:tcBorders>
                  <w:noWrap w:val="0"/>
                  <w:vAlign w:val="center"/>
                </w:tcPr>
                <w:p w14:paraId="39995515">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脱重塔</w:t>
                  </w:r>
                </w:p>
              </w:tc>
              <w:tc>
                <w:tcPr>
                  <w:tcW w:w="1665" w:type="dxa"/>
                  <w:tcBorders>
                    <w:top w:val="single" w:color="auto" w:sz="4" w:space="0"/>
                  </w:tcBorders>
                  <w:noWrap w:val="0"/>
                  <w:vAlign w:val="center"/>
                </w:tcPr>
                <w:p w14:paraId="22645C40">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630" w:type="dxa"/>
                  <w:tcBorders>
                    <w:top w:val="single" w:color="auto" w:sz="4" w:space="0"/>
                  </w:tcBorders>
                  <w:noWrap w:val="0"/>
                  <w:vAlign w:val="center"/>
                </w:tcPr>
                <w:p w14:paraId="3E5E577A">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台</w:t>
                  </w:r>
                </w:p>
              </w:tc>
              <w:tc>
                <w:tcPr>
                  <w:tcW w:w="675" w:type="dxa"/>
                  <w:tcBorders>
                    <w:top w:val="single" w:color="auto" w:sz="4" w:space="0"/>
                  </w:tcBorders>
                  <w:noWrap w:val="0"/>
                  <w:vAlign w:val="center"/>
                </w:tcPr>
                <w:p w14:paraId="3A29470C">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1</w:t>
                  </w:r>
                </w:p>
              </w:tc>
              <w:tc>
                <w:tcPr>
                  <w:tcW w:w="690" w:type="dxa"/>
                  <w:tcBorders>
                    <w:top w:val="single" w:color="auto" w:sz="4" w:space="0"/>
                  </w:tcBorders>
                  <w:noWrap w:val="0"/>
                  <w:vAlign w:val="center"/>
                </w:tcPr>
                <w:p w14:paraId="402793F1">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kern w:val="0"/>
                      <w:sz w:val="21"/>
                      <w:szCs w:val="21"/>
                      <w:lang w:val="en-US" w:eastAsia="zh-CN"/>
                    </w:rPr>
                    <w:t>250</w:t>
                  </w:r>
                </w:p>
              </w:tc>
              <w:tc>
                <w:tcPr>
                  <w:tcW w:w="720" w:type="dxa"/>
                  <w:tcBorders>
                    <w:top w:val="single" w:color="auto" w:sz="4" w:space="0"/>
                  </w:tcBorders>
                  <w:noWrap w:val="0"/>
                  <w:vAlign w:val="center"/>
                </w:tcPr>
                <w:p w14:paraId="79614AF5">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kern w:val="0"/>
                      <w:sz w:val="21"/>
                      <w:szCs w:val="21"/>
                      <w:lang w:val="en-US" w:eastAsia="zh-CN"/>
                    </w:rPr>
                    <w:t>0.5</w:t>
                  </w:r>
                </w:p>
              </w:tc>
              <w:tc>
                <w:tcPr>
                  <w:tcW w:w="1304" w:type="dxa"/>
                  <w:tcBorders>
                    <w:top w:val="single" w:color="auto" w:sz="4" w:space="0"/>
                  </w:tcBorders>
                  <w:noWrap w:val="0"/>
                  <w:vAlign w:val="center"/>
                </w:tcPr>
                <w:p w14:paraId="6A943563">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1366" w:type="dxa"/>
                  <w:tcBorders>
                    <w:top w:val="single" w:color="auto" w:sz="4" w:space="0"/>
                    <w:right w:val="single" w:color="auto" w:sz="4" w:space="0"/>
                  </w:tcBorders>
                  <w:noWrap w:val="0"/>
                  <w:vAlign w:val="center"/>
                </w:tcPr>
                <w:p w14:paraId="691E1C85">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bidi="zh-CN"/>
                    </w:rPr>
                    <w:t>依托原</w:t>
                  </w:r>
                  <w:r>
                    <w:rPr>
                      <w:rFonts w:hint="eastAsia" w:ascii="Times New Roman" w:hAnsi="Times New Roman" w:eastAsia="宋体" w:cs="Times New Roman"/>
                      <w:b w:val="0"/>
                      <w:color w:val="auto"/>
                      <w:kern w:val="0"/>
                      <w:sz w:val="21"/>
                      <w:szCs w:val="21"/>
                      <w:lang w:val="en-US" w:bidi="zh-CN"/>
                    </w:rPr>
                    <w:t>萃取精馏塔</w:t>
                  </w:r>
                </w:p>
              </w:tc>
            </w:tr>
            <w:tr w14:paraId="361905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04" w:hRule="atLeast"/>
                <w:jc w:val="center"/>
              </w:trPr>
              <w:tc>
                <w:tcPr>
                  <w:tcW w:w="421" w:type="dxa"/>
                  <w:tcBorders>
                    <w:left w:val="single" w:color="auto" w:sz="4" w:space="0"/>
                    <w:bottom w:val="single" w:color="auto" w:sz="4" w:space="0"/>
                  </w:tcBorders>
                  <w:noWrap w:val="0"/>
                  <w:vAlign w:val="center"/>
                </w:tcPr>
                <w:p w14:paraId="0CC6CF1C">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2</w:t>
                  </w:r>
                </w:p>
              </w:tc>
              <w:tc>
                <w:tcPr>
                  <w:tcW w:w="630" w:type="dxa"/>
                  <w:tcBorders>
                    <w:bottom w:val="single" w:color="auto" w:sz="4" w:space="0"/>
                  </w:tcBorders>
                  <w:noWrap w:val="0"/>
                  <w:vAlign w:val="center"/>
                </w:tcPr>
                <w:p w14:paraId="595EF57A">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C5精馏塔</w:t>
                  </w:r>
                </w:p>
              </w:tc>
              <w:tc>
                <w:tcPr>
                  <w:tcW w:w="1665" w:type="dxa"/>
                  <w:tcBorders>
                    <w:bottom w:val="single" w:color="auto" w:sz="4" w:space="0"/>
                  </w:tcBorders>
                  <w:noWrap w:val="0"/>
                  <w:vAlign w:val="center"/>
                </w:tcPr>
                <w:p w14:paraId="30FE2406">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630" w:type="dxa"/>
                  <w:tcBorders>
                    <w:bottom w:val="single" w:color="auto" w:sz="4" w:space="0"/>
                  </w:tcBorders>
                  <w:noWrap w:val="0"/>
                  <w:vAlign w:val="center"/>
                </w:tcPr>
                <w:p w14:paraId="6DEC33BD">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台</w:t>
                  </w:r>
                </w:p>
              </w:tc>
              <w:tc>
                <w:tcPr>
                  <w:tcW w:w="675" w:type="dxa"/>
                  <w:tcBorders>
                    <w:bottom w:val="single" w:color="auto" w:sz="4" w:space="0"/>
                  </w:tcBorders>
                  <w:noWrap w:val="0"/>
                  <w:vAlign w:val="center"/>
                </w:tcPr>
                <w:p w14:paraId="58D33DDF">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1</w:t>
                  </w:r>
                </w:p>
              </w:tc>
              <w:tc>
                <w:tcPr>
                  <w:tcW w:w="690" w:type="dxa"/>
                  <w:tcBorders>
                    <w:bottom w:val="single" w:color="auto" w:sz="4" w:space="0"/>
                  </w:tcBorders>
                  <w:noWrap w:val="0"/>
                  <w:vAlign w:val="center"/>
                </w:tcPr>
                <w:p w14:paraId="7C151AB9">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kern w:val="0"/>
                      <w:sz w:val="21"/>
                      <w:szCs w:val="21"/>
                      <w:lang w:val="en-US" w:eastAsia="zh-CN"/>
                    </w:rPr>
                    <w:t>200</w:t>
                  </w:r>
                </w:p>
              </w:tc>
              <w:tc>
                <w:tcPr>
                  <w:tcW w:w="720" w:type="dxa"/>
                  <w:tcBorders>
                    <w:bottom w:val="single" w:color="auto" w:sz="4" w:space="0"/>
                  </w:tcBorders>
                  <w:noWrap w:val="0"/>
                  <w:vAlign w:val="center"/>
                </w:tcPr>
                <w:p w14:paraId="00543B2B">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kern w:val="0"/>
                      <w:sz w:val="21"/>
                      <w:szCs w:val="21"/>
                      <w:lang w:val="en-US" w:eastAsia="zh-CN"/>
                    </w:rPr>
                    <w:t>0.9</w:t>
                  </w:r>
                </w:p>
              </w:tc>
              <w:tc>
                <w:tcPr>
                  <w:tcW w:w="1304" w:type="dxa"/>
                  <w:tcBorders>
                    <w:bottom w:val="single" w:color="auto" w:sz="4" w:space="0"/>
                  </w:tcBorders>
                  <w:noWrap w:val="0"/>
                  <w:vAlign w:val="center"/>
                </w:tcPr>
                <w:p w14:paraId="002990D0">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1366" w:type="dxa"/>
                  <w:tcBorders>
                    <w:bottom w:val="single" w:color="auto" w:sz="4" w:space="0"/>
                    <w:right w:val="single" w:color="auto" w:sz="4" w:space="0"/>
                  </w:tcBorders>
                  <w:noWrap w:val="0"/>
                  <w:vAlign w:val="center"/>
                </w:tcPr>
                <w:p w14:paraId="05937EE4">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bidi="zh-CN"/>
                    </w:rPr>
                    <w:t>依托原</w:t>
                  </w:r>
                  <w:r>
                    <w:rPr>
                      <w:rFonts w:hint="eastAsia" w:ascii="Times New Roman" w:hAnsi="Times New Roman" w:eastAsia="宋体" w:cs="Times New Roman"/>
                      <w:b w:val="0"/>
                      <w:color w:val="auto"/>
                      <w:kern w:val="0"/>
                      <w:sz w:val="21"/>
                      <w:szCs w:val="21"/>
                      <w:lang w:val="en-US" w:bidi="zh-CN"/>
                    </w:rPr>
                    <w:t>乙二醇回收塔</w:t>
                  </w:r>
                </w:p>
              </w:tc>
            </w:tr>
            <w:tr w14:paraId="5E4D04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gridAfter w:val="8"/>
                <w:wAfter w:w="7680" w:type="dxa"/>
                <w:trHeight w:val="340" w:hRule="atLeast"/>
                <w:jc w:val="center"/>
              </w:trPr>
              <w:tc>
                <w:tcPr>
                  <w:tcW w:w="421" w:type="dxa"/>
                  <w:noWrap w:val="0"/>
                  <w:vAlign w:val="center"/>
                </w:tcPr>
                <w:p w14:paraId="5007C900">
                  <w:pPr>
                    <w:autoSpaceDE w:val="0"/>
                    <w:autoSpaceDN w:val="0"/>
                    <w:spacing w:line="240" w:lineRule="exact"/>
                    <w:jc w:val="center"/>
                    <w:rPr>
                      <w:rFonts w:hint="eastAsia" w:cs="Times New Roman"/>
                      <w:b w:val="0"/>
                      <w:color w:val="auto"/>
                      <w:kern w:val="0"/>
                      <w:sz w:val="21"/>
                      <w:szCs w:val="21"/>
                      <w:lang w:val="zh-CN" w:bidi="zh-CN"/>
                    </w:rPr>
                  </w:pPr>
                  <w:r>
                    <w:rPr>
                      <w:rFonts w:hint="eastAsia" w:cs="Times New Roman"/>
                      <w:b w:val="0"/>
                      <w:color w:val="auto"/>
                      <w:kern w:val="0"/>
                      <w:sz w:val="21"/>
                      <w:szCs w:val="21"/>
                      <w:lang w:val="zh-CN" w:bidi="zh-CN"/>
                    </w:rPr>
                    <w:t>二、</w:t>
                  </w:r>
                </w:p>
              </w:tc>
            </w:tr>
            <w:tr w14:paraId="7552FC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top w:val="single" w:color="auto" w:sz="4" w:space="0"/>
                    <w:left w:val="single" w:color="auto" w:sz="4" w:space="0"/>
                  </w:tcBorders>
                  <w:noWrap w:val="0"/>
                  <w:vAlign w:val="center"/>
                </w:tcPr>
                <w:p w14:paraId="23775058">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hint="eastAsia" w:ascii="Times New Roman" w:hAnsi="Times New Roman" w:eastAsia="宋体" w:cs="Times New Roman"/>
                      <w:b w:val="0"/>
                      <w:color w:val="auto"/>
                      <w:kern w:val="0"/>
                      <w:sz w:val="21"/>
                      <w:szCs w:val="21"/>
                      <w:lang w:val="en-US" w:bidi="zh-CN"/>
                    </w:rPr>
                    <w:t>1</w:t>
                  </w:r>
                </w:p>
              </w:tc>
              <w:tc>
                <w:tcPr>
                  <w:tcW w:w="630" w:type="dxa"/>
                  <w:tcBorders>
                    <w:top w:val="single" w:color="auto" w:sz="4" w:space="0"/>
                  </w:tcBorders>
                  <w:noWrap w:val="0"/>
                  <w:vAlign w:val="center"/>
                </w:tcPr>
                <w:p w14:paraId="5F14F4FA">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水洗沉降罐</w:t>
                  </w:r>
                </w:p>
              </w:tc>
              <w:tc>
                <w:tcPr>
                  <w:tcW w:w="1665" w:type="dxa"/>
                  <w:tcBorders>
                    <w:top w:val="single" w:color="auto" w:sz="4" w:space="0"/>
                  </w:tcBorders>
                  <w:noWrap w:val="0"/>
                  <w:vAlign w:val="center"/>
                </w:tcPr>
                <w:p w14:paraId="6E1AEA25">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630" w:type="dxa"/>
                  <w:tcBorders>
                    <w:top w:val="single" w:color="auto" w:sz="4" w:space="0"/>
                  </w:tcBorders>
                  <w:noWrap w:val="0"/>
                  <w:vAlign w:val="center"/>
                </w:tcPr>
                <w:p w14:paraId="0935CC76">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台</w:t>
                  </w:r>
                </w:p>
              </w:tc>
              <w:tc>
                <w:tcPr>
                  <w:tcW w:w="675" w:type="dxa"/>
                  <w:tcBorders>
                    <w:top w:val="single" w:color="auto" w:sz="4" w:space="0"/>
                  </w:tcBorders>
                  <w:noWrap w:val="0"/>
                  <w:vAlign w:val="center"/>
                </w:tcPr>
                <w:p w14:paraId="1D42E89A">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1</w:t>
                  </w:r>
                </w:p>
              </w:tc>
              <w:tc>
                <w:tcPr>
                  <w:tcW w:w="690" w:type="dxa"/>
                  <w:tcBorders>
                    <w:top w:val="single" w:color="auto" w:sz="4" w:space="0"/>
                  </w:tcBorders>
                  <w:noWrap w:val="0"/>
                  <w:vAlign w:val="center"/>
                </w:tcPr>
                <w:p w14:paraId="25011FC2">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720" w:type="dxa"/>
                  <w:tcBorders>
                    <w:top w:val="single" w:color="auto" w:sz="4" w:space="0"/>
                  </w:tcBorders>
                  <w:noWrap w:val="0"/>
                  <w:vAlign w:val="center"/>
                </w:tcPr>
                <w:p w14:paraId="20E5B41D">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cs="Times New Roman"/>
                      <w:b w:val="0"/>
                      <w:color w:val="auto"/>
                      <w:kern w:val="0"/>
                      <w:sz w:val="21"/>
                      <w:szCs w:val="21"/>
                      <w:lang w:val="en-US" w:eastAsia="zh-CN" w:bidi="zh-CN"/>
                    </w:rPr>
                    <w:t>/</w:t>
                  </w:r>
                </w:p>
              </w:tc>
              <w:tc>
                <w:tcPr>
                  <w:tcW w:w="1304" w:type="dxa"/>
                  <w:tcBorders>
                    <w:top w:val="single" w:color="auto" w:sz="4" w:space="0"/>
                  </w:tcBorders>
                  <w:noWrap w:val="0"/>
                  <w:vAlign w:val="center"/>
                </w:tcPr>
                <w:p w14:paraId="5C134E22">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1366" w:type="dxa"/>
                  <w:tcBorders>
                    <w:top w:val="single" w:color="auto" w:sz="4" w:space="0"/>
                    <w:right w:val="single" w:color="auto" w:sz="4" w:space="0"/>
                  </w:tcBorders>
                  <w:noWrap w:val="0"/>
                  <w:vAlign w:val="center"/>
                </w:tcPr>
                <w:p w14:paraId="5924A569">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sz w:val="21"/>
                      <w:szCs w:val="21"/>
                      <w:lang w:val="en-US" w:eastAsia="zh-CN"/>
                    </w:rPr>
                    <w:t>新建</w:t>
                  </w:r>
                  <w:r>
                    <w:rPr>
                      <w:rFonts w:hint="eastAsia" w:cs="Times New Roman"/>
                      <w:b w:val="0"/>
                      <w:color w:val="auto"/>
                      <w:sz w:val="21"/>
                      <w:szCs w:val="21"/>
                      <w:lang w:val="en-US" w:eastAsia="zh-CN"/>
                    </w:rPr>
                    <w:t>（密封）</w:t>
                  </w:r>
                </w:p>
              </w:tc>
            </w:tr>
            <w:tr w14:paraId="254357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58D4D897">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ascii="Times New Roman" w:hAnsi="Times New Roman" w:eastAsia="宋体" w:cs="Times New Roman"/>
                      <w:b w:val="0"/>
                      <w:color w:val="auto"/>
                      <w:kern w:val="0"/>
                      <w:sz w:val="21"/>
                      <w:szCs w:val="21"/>
                      <w:lang w:val="zh-CN" w:bidi="zh-CN"/>
                    </w:rPr>
                    <w:t>2</w:t>
                  </w:r>
                </w:p>
              </w:tc>
              <w:tc>
                <w:tcPr>
                  <w:tcW w:w="630" w:type="dxa"/>
                  <w:noWrap w:val="0"/>
                  <w:vAlign w:val="center"/>
                </w:tcPr>
                <w:p w14:paraId="1C342B4A">
                  <w:pPr>
                    <w:autoSpaceDE w:val="0"/>
                    <w:autoSpaceDN w:val="0"/>
                    <w:spacing w:line="240" w:lineRule="exact"/>
                    <w:jc w:val="center"/>
                    <w:rPr>
                      <w:rFonts w:hint="eastAsia"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原料油缓冲罐</w:t>
                  </w:r>
                </w:p>
              </w:tc>
              <w:tc>
                <w:tcPr>
                  <w:tcW w:w="1665" w:type="dxa"/>
                  <w:noWrap w:val="0"/>
                  <w:vAlign w:val="center"/>
                </w:tcPr>
                <w:p w14:paraId="0908FC56">
                  <w:pPr>
                    <w:autoSpaceDE w:val="0"/>
                    <w:autoSpaceDN w:val="0"/>
                    <w:spacing w:line="240" w:lineRule="exact"/>
                    <w:jc w:val="center"/>
                    <w:rPr>
                      <w:rFonts w:hint="eastAsia" w:ascii="Times New Roman" w:hAnsi="Times New Roman" w:eastAsia="宋体" w:cs="Times New Roman"/>
                      <w:b w:val="0"/>
                      <w:color w:val="auto"/>
                      <w:kern w:val="0"/>
                      <w:sz w:val="21"/>
                      <w:szCs w:val="21"/>
                      <w:lang w:val="zh-CN" w:bidi="zh-CN"/>
                    </w:rPr>
                  </w:pPr>
                  <w:r>
                    <w:rPr>
                      <w:rFonts w:hint="eastAsia" w:ascii="Times New Roman" w:hAnsi="Times New Roman" w:eastAsia="宋体" w:cs="Times New Roman"/>
                      <w:b w:val="0"/>
                      <w:color w:val="auto"/>
                      <w:kern w:val="0"/>
                      <w:sz w:val="21"/>
                      <w:szCs w:val="21"/>
                      <w:lang w:val="en-US" w:bidi="zh-CN"/>
                    </w:rPr>
                    <w:t>Φ2400*</w:t>
                  </w:r>
                  <w:r>
                    <w:rPr>
                      <w:rFonts w:hint="eastAsia" w:cs="Times New Roman"/>
                      <w:b w:val="0"/>
                      <w:color w:val="auto"/>
                      <w:kern w:val="0"/>
                      <w:sz w:val="21"/>
                      <w:szCs w:val="21"/>
                      <w:lang w:val="en-US" w:bidi="zh-CN"/>
                    </w:rPr>
                    <w:t>74</w:t>
                  </w:r>
                  <w:r>
                    <w:rPr>
                      <w:rFonts w:hint="eastAsia" w:ascii="Times New Roman" w:hAnsi="Times New Roman" w:eastAsia="宋体" w:cs="Times New Roman"/>
                      <w:b w:val="0"/>
                      <w:color w:val="auto"/>
                      <w:kern w:val="0"/>
                      <w:sz w:val="21"/>
                      <w:szCs w:val="21"/>
                      <w:lang w:val="en-US" w:bidi="zh-CN"/>
                    </w:rPr>
                    <w:t>00</w:t>
                  </w:r>
                </w:p>
              </w:tc>
              <w:tc>
                <w:tcPr>
                  <w:tcW w:w="630" w:type="dxa"/>
                  <w:noWrap w:val="0"/>
                  <w:vAlign w:val="center"/>
                </w:tcPr>
                <w:p w14:paraId="6DE8633D">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台</w:t>
                  </w:r>
                </w:p>
              </w:tc>
              <w:tc>
                <w:tcPr>
                  <w:tcW w:w="675" w:type="dxa"/>
                  <w:noWrap w:val="0"/>
                  <w:vAlign w:val="center"/>
                </w:tcPr>
                <w:p w14:paraId="67EF1BFB">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1</w:t>
                  </w:r>
                </w:p>
              </w:tc>
              <w:tc>
                <w:tcPr>
                  <w:tcW w:w="690" w:type="dxa"/>
                  <w:noWrap w:val="0"/>
                  <w:vAlign w:val="center"/>
                </w:tcPr>
                <w:p w14:paraId="426303A1">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720" w:type="dxa"/>
                  <w:noWrap w:val="0"/>
                  <w:vAlign w:val="center"/>
                </w:tcPr>
                <w:p w14:paraId="5360C737">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cs="Times New Roman"/>
                      <w:b w:val="0"/>
                      <w:color w:val="auto"/>
                      <w:kern w:val="0"/>
                      <w:sz w:val="21"/>
                      <w:szCs w:val="21"/>
                      <w:lang w:val="en-US" w:eastAsia="zh-CN" w:bidi="zh-CN"/>
                    </w:rPr>
                    <w:t>/</w:t>
                  </w:r>
                </w:p>
              </w:tc>
              <w:tc>
                <w:tcPr>
                  <w:tcW w:w="1304" w:type="dxa"/>
                  <w:noWrap w:val="0"/>
                  <w:vAlign w:val="center"/>
                </w:tcPr>
                <w:p w14:paraId="730DA30B">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cs="Times New Roman"/>
                      <w:b w:val="0"/>
                      <w:color w:val="auto"/>
                      <w:kern w:val="0"/>
                      <w:sz w:val="21"/>
                      <w:szCs w:val="21"/>
                      <w:lang w:val="en-US" w:bidi="zh-CN"/>
                    </w:rPr>
                    <w:t>/</w:t>
                  </w:r>
                </w:p>
              </w:tc>
              <w:tc>
                <w:tcPr>
                  <w:tcW w:w="1366" w:type="dxa"/>
                  <w:tcBorders>
                    <w:right w:val="single" w:color="auto" w:sz="4" w:space="0"/>
                  </w:tcBorders>
                  <w:noWrap w:val="0"/>
                  <w:vAlign w:val="center"/>
                </w:tcPr>
                <w:p w14:paraId="7B346633">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新建</w:t>
                  </w:r>
                  <w:r>
                    <w:rPr>
                      <w:rFonts w:hint="eastAsia" w:cs="Times New Roman"/>
                      <w:b w:val="0"/>
                      <w:color w:val="auto"/>
                      <w:sz w:val="21"/>
                      <w:szCs w:val="21"/>
                      <w:lang w:val="en-US" w:eastAsia="zh-CN"/>
                    </w:rPr>
                    <w:t>（承压储罐密封）</w:t>
                  </w:r>
                </w:p>
              </w:tc>
            </w:tr>
            <w:tr w14:paraId="46D953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0B30ADE1">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hint="eastAsia" w:ascii="Times New Roman" w:hAnsi="Times New Roman" w:eastAsia="宋体" w:cs="Times New Roman"/>
                      <w:b w:val="0"/>
                      <w:color w:val="auto"/>
                      <w:kern w:val="0"/>
                      <w:sz w:val="21"/>
                      <w:szCs w:val="21"/>
                      <w:lang w:val="en-US" w:bidi="zh-CN"/>
                    </w:rPr>
                    <w:t>3</w:t>
                  </w:r>
                </w:p>
              </w:tc>
              <w:tc>
                <w:tcPr>
                  <w:tcW w:w="630" w:type="dxa"/>
                  <w:noWrap w:val="0"/>
                  <w:vAlign w:val="center"/>
                </w:tcPr>
                <w:p w14:paraId="354533C3">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脱重塔顶回流罐</w:t>
                  </w:r>
                </w:p>
              </w:tc>
              <w:tc>
                <w:tcPr>
                  <w:tcW w:w="1665" w:type="dxa"/>
                  <w:noWrap w:val="0"/>
                  <w:vAlign w:val="center"/>
                </w:tcPr>
                <w:p w14:paraId="586A96FC">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Φ1200*2400</w:t>
                  </w:r>
                </w:p>
              </w:tc>
              <w:tc>
                <w:tcPr>
                  <w:tcW w:w="630" w:type="dxa"/>
                  <w:noWrap w:val="0"/>
                  <w:vAlign w:val="center"/>
                </w:tcPr>
                <w:p w14:paraId="31E0A333">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台</w:t>
                  </w:r>
                </w:p>
              </w:tc>
              <w:tc>
                <w:tcPr>
                  <w:tcW w:w="675" w:type="dxa"/>
                  <w:noWrap w:val="0"/>
                  <w:vAlign w:val="center"/>
                </w:tcPr>
                <w:p w14:paraId="126F1832">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1</w:t>
                  </w:r>
                </w:p>
              </w:tc>
              <w:tc>
                <w:tcPr>
                  <w:tcW w:w="690" w:type="dxa"/>
                  <w:noWrap w:val="0"/>
                  <w:vAlign w:val="center"/>
                </w:tcPr>
                <w:p w14:paraId="21B6869F">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150</w:t>
                  </w:r>
                </w:p>
              </w:tc>
              <w:tc>
                <w:tcPr>
                  <w:tcW w:w="720" w:type="dxa"/>
                  <w:noWrap w:val="0"/>
                  <w:vAlign w:val="center"/>
                </w:tcPr>
                <w:p w14:paraId="4457E71C">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0.5</w:t>
                  </w:r>
                </w:p>
              </w:tc>
              <w:tc>
                <w:tcPr>
                  <w:tcW w:w="1304" w:type="dxa"/>
                  <w:noWrap w:val="0"/>
                  <w:vAlign w:val="center"/>
                </w:tcPr>
                <w:p w14:paraId="4A7782CC">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C4~C5、少量有机醇、醛、酸等</w:t>
                  </w:r>
                </w:p>
              </w:tc>
              <w:tc>
                <w:tcPr>
                  <w:tcW w:w="1366" w:type="dxa"/>
                  <w:tcBorders>
                    <w:right w:val="single" w:color="auto" w:sz="4" w:space="0"/>
                  </w:tcBorders>
                  <w:noWrap w:val="0"/>
                  <w:vAlign w:val="center"/>
                </w:tcPr>
                <w:p w14:paraId="025330A3">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sz w:val="21"/>
                      <w:szCs w:val="21"/>
                    </w:rPr>
                    <w:t>依托原</w:t>
                  </w:r>
                  <w:r>
                    <w:rPr>
                      <w:rFonts w:hint="eastAsia" w:ascii="Times New Roman" w:hAnsi="Times New Roman" w:eastAsia="宋体" w:cs="Times New Roman"/>
                      <w:b w:val="0"/>
                      <w:color w:val="auto"/>
                      <w:sz w:val="21"/>
                      <w:szCs w:val="21"/>
                      <w:lang w:val="en-US" w:eastAsia="zh-CN"/>
                    </w:rPr>
                    <w:t>萃取精馏塔顶回流罐</w:t>
                  </w:r>
                  <w:r>
                    <w:rPr>
                      <w:rFonts w:hint="eastAsia" w:cs="Times New Roman"/>
                      <w:b w:val="0"/>
                      <w:color w:val="auto"/>
                      <w:sz w:val="21"/>
                      <w:szCs w:val="21"/>
                      <w:lang w:val="en-US" w:eastAsia="zh-CN"/>
                    </w:rPr>
                    <w:t>（密封）</w:t>
                  </w:r>
                </w:p>
              </w:tc>
            </w:tr>
            <w:tr w14:paraId="3BC8F3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5CE3BC99">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4</w:t>
                  </w:r>
                </w:p>
              </w:tc>
              <w:tc>
                <w:tcPr>
                  <w:tcW w:w="630" w:type="dxa"/>
                  <w:noWrap w:val="0"/>
                  <w:vAlign w:val="center"/>
                </w:tcPr>
                <w:p w14:paraId="37F4460E">
                  <w:pPr>
                    <w:autoSpaceDE w:val="0"/>
                    <w:autoSpaceDN w:val="0"/>
                    <w:spacing w:line="240" w:lineRule="exact"/>
                    <w:jc w:val="center"/>
                    <w:rPr>
                      <w:rFonts w:hint="default" w:ascii="Times New Roman" w:hAnsi="Times New Roman" w:eastAsia="宋体" w:cs="Times New Roman"/>
                      <w:b w:val="0"/>
                      <w:color w:val="auto"/>
                      <w:kern w:val="0"/>
                      <w:sz w:val="21"/>
                      <w:szCs w:val="21"/>
                      <w:highlight w:val="none"/>
                      <w:lang w:val="en-US" w:bidi="zh-CN"/>
                    </w:rPr>
                  </w:pPr>
                  <w:r>
                    <w:rPr>
                      <w:rFonts w:hint="eastAsia" w:ascii="Times New Roman" w:hAnsi="Times New Roman" w:eastAsia="宋体" w:cs="Times New Roman"/>
                      <w:b w:val="0"/>
                      <w:color w:val="auto"/>
                      <w:kern w:val="0"/>
                      <w:sz w:val="21"/>
                      <w:szCs w:val="21"/>
                      <w:highlight w:val="none"/>
                      <w:lang w:val="en-US" w:bidi="zh-CN"/>
                    </w:rPr>
                    <w:t>脱重塔底分水罐</w:t>
                  </w:r>
                </w:p>
              </w:tc>
              <w:tc>
                <w:tcPr>
                  <w:tcW w:w="1665" w:type="dxa"/>
                  <w:noWrap w:val="0"/>
                  <w:vAlign w:val="center"/>
                </w:tcPr>
                <w:p w14:paraId="4724D38F">
                  <w:pPr>
                    <w:autoSpaceDE w:val="0"/>
                    <w:autoSpaceDN w:val="0"/>
                    <w:spacing w:line="240" w:lineRule="exact"/>
                    <w:jc w:val="center"/>
                    <w:rPr>
                      <w:rFonts w:hint="eastAsia" w:ascii="Times New Roman" w:hAnsi="Times New Roman" w:eastAsia="宋体" w:cs="Times New Roman"/>
                      <w:b w:val="0"/>
                      <w:color w:val="auto"/>
                      <w:kern w:val="0"/>
                      <w:sz w:val="21"/>
                      <w:szCs w:val="21"/>
                      <w:lang w:val="zh-CN" w:bidi="zh-CN"/>
                    </w:rPr>
                  </w:pPr>
                  <w:r>
                    <w:rPr>
                      <w:rFonts w:hint="eastAsia" w:ascii="Times New Roman" w:hAnsi="Times New Roman" w:eastAsia="宋体" w:cs="Times New Roman"/>
                      <w:b w:val="0"/>
                      <w:color w:val="auto"/>
                      <w:kern w:val="0"/>
                      <w:sz w:val="21"/>
                      <w:szCs w:val="21"/>
                      <w:lang w:val="en-US" w:bidi="zh-CN"/>
                    </w:rPr>
                    <w:t>Φ1200*2000</w:t>
                  </w:r>
                </w:p>
              </w:tc>
              <w:tc>
                <w:tcPr>
                  <w:tcW w:w="630" w:type="dxa"/>
                  <w:noWrap w:val="0"/>
                  <w:vAlign w:val="center"/>
                </w:tcPr>
                <w:p w14:paraId="0B0780C6">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台</w:t>
                  </w:r>
                </w:p>
              </w:tc>
              <w:tc>
                <w:tcPr>
                  <w:tcW w:w="675" w:type="dxa"/>
                  <w:noWrap w:val="0"/>
                  <w:vAlign w:val="center"/>
                </w:tcPr>
                <w:p w14:paraId="449B1105">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1</w:t>
                  </w:r>
                </w:p>
              </w:tc>
              <w:tc>
                <w:tcPr>
                  <w:tcW w:w="690" w:type="dxa"/>
                  <w:noWrap w:val="0"/>
                  <w:vAlign w:val="center"/>
                </w:tcPr>
                <w:p w14:paraId="33747B18">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300</w:t>
                  </w:r>
                </w:p>
              </w:tc>
              <w:tc>
                <w:tcPr>
                  <w:tcW w:w="720" w:type="dxa"/>
                  <w:noWrap w:val="0"/>
                  <w:vAlign w:val="center"/>
                </w:tcPr>
                <w:p w14:paraId="0A061D02">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1.8</w:t>
                  </w:r>
                </w:p>
              </w:tc>
              <w:tc>
                <w:tcPr>
                  <w:tcW w:w="1304" w:type="dxa"/>
                  <w:noWrap w:val="0"/>
                  <w:vAlign w:val="center"/>
                </w:tcPr>
                <w:p w14:paraId="68001E21">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1.5MPa蒸汽、凝结水</w:t>
                  </w:r>
                </w:p>
              </w:tc>
              <w:tc>
                <w:tcPr>
                  <w:tcW w:w="1366" w:type="dxa"/>
                  <w:tcBorders>
                    <w:right w:val="single" w:color="auto" w:sz="4" w:space="0"/>
                  </w:tcBorders>
                  <w:noWrap w:val="0"/>
                  <w:vAlign w:val="center"/>
                </w:tcPr>
                <w:p w14:paraId="49787195">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sz w:val="21"/>
                      <w:szCs w:val="21"/>
                    </w:rPr>
                    <w:t>依托</w:t>
                  </w:r>
                  <w:r>
                    <w:rPr>
                      <w:rFonts w:hint="eastAsia" w:ascii="Times New Roman" w:hAnsi="Times New Roman" w:eastAsia="宋体" w:cs="Times New Roman"/>
                      <w:b w:val="0"/>
                      <w:color w:val="auto"/>
                      <w:kern w:val="2"/>
                      <w:sz w:val="21"/>
                      <w:szCs w:val="21"/>
                    </w:rPr>
                    <w:t>原</w:t>
                  </w:r>
                  <w:r>
                    <w:rPr>
                      <w:rFonts w:hint="eastAsia" w:ascii="Times New Roman" w:hAnsi="Times New Roman" w:eastAsia="宋体" w:cs="Times New Roman"/>
                      <w:b w:val="0"/>
                      <w:color w:val="auto"/>
                      <w:kern w:val="2"/>
                      <w:sz w:val="21"/>
                      <w:szCs w:val="21"/>
                      <w:lang w:val="en-US" w:eastAsia="zh-CN"/>
                    </w:rPr>
                    <w:t>萃取精馏塔底分水罐</w:t>
                  </w:r>
                  <w:r>
                    <w:rPr>
                      <w:rFonts w:hint="eastAsia" w:cs="Times New Roman"/>
                      <w:b w:val="0"/>
                      <w:color w:val="auto"/>
                      <w:kern w:val="2"/>
                      <w:sz w:val="21"/>
                      <w:szCs w:val="21"/>
                      <w:lang w:val="en-US" w:eastAsia="zh-CN"/>
                    </w:rPr>
                    <w:t>（密封）</w:t>
                  </w:r>
                </w:p>
              </w:tc>
            </w:tr>
            <w:tr w14:paraId="055D22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bottom w:val="single" w:color="auto" w:sz="4" w:space="0"/>
                  </w:tcBorders>
                  <w:noWrap w:val="0"/>
                  <w:vAlign w:val="center"/>
                </w:tcPr>
                <w:p w14:paraId="2DAADC58">
                  <w:pPr>
                    <w:autoSpaceDE w:val="0"/>
                    <w:autoSpaceDN w:val="0"/>
                    <w:spacing w:line="240" w:lineRule="exact"/>
                    <w:jc w:val="center"/>
                    <w:rPr>
                      <w:rFonts w:ascii="Times New Roman" w:hAnsi="Times New Roman" w:eastAsia="宋体" w:cs="Times New Roman"/>
                      <w:b w:val="0"/>
                      <w:color w:val="auto"/>
                      <w:kern w:val="0"/>
                      <w:sz w:val="21"/>
                      <w:szCs w:val="21"/>
                      <w:lang w:bidi="zh-CN"/>
                    </w:rPr>
                  </w:pPr>
                  <w:r>
                    <w:rPr>
                      <w:rFonts w:hint="eastAsia" w:ascii="Times New Roman" w:hAnsi="Times New Roman" w:eastAsia="宋体" w:cs="Times New Roman"/>
                      <w:b w:val="0"/>
                      <w:color w:val="auto"/>
                      <w:kern w:val="0"/>
                      <w:sz w:val="21"/>
                      <w:szCs w:val="21"/>
                      <w:lang w:bidi="zh-CN"/>
                    </w:rPr>
                    <w:t>5</w:t>
                  </w:r>
                </w:p>
              </w:tc>
              <w:tc>
                <w:tcPr>
                  <w:tcW w:w="630" w:type="dxa"/>
                  <w:tcBorders>
                    <w:bottom w:val="single" w:color="auto" w:sz="4" w:space="0"/>
                  </w:tcBorders>
                  <w:noWrap w:val="0"/>
                  <w:vAlign w:val="center"/>
                </w:tcPr>
                <w:p w14:paraId="456D7247">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C5精馏塔顶分液罐</w:t>
                  </w:r>
                </w:p>
              </w:tc>
              <w:tc>
                <w:tcPr>
                  <w:tcW w:w="1665" w:type="dxa"/>
                  <w:tcBorders>
                    <w:bottom w:val="single" w:color="auto" w:sz="4" w:space="0"/>
                  </w:tcBorders>
                  <w:noWrap w:val="0"/>
                  <w:vAlign w:val="center"/>
                </w:tcPr>
                <w:p w14:paraId="438EF5E5">
                  <w:pPr>
                    <w:autoSpaceDE w:val="0"/>
                    <w:autoSpaceDN w:val="0"/>
                    <w:spacing w:line="240" w:lineRule="exact"/>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Φ1800*6400</w:t>
                  </w:r>
                </w:p>
              </w:tc>
              <w:tc>
                <w:tcPr>
                  <w:tcW w:w="630" w:type="dxa"/>
                  <w:tcBorders>
                    <w:bottom w:val="single" w:color="auto" w:sz="4" w:space="0"/>
                  </w:tcBorders>
                  <w:noWrap w:val="0"/>
                  <w:vAlign w:val="center"/>
                </w:tcPr>
                <w:p w14:paraId="44B80388">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hint="eastAsia" w:ascii="Times New Roman" w:hAnsi="Times New Roman" w:eastAsia="宋体" w:cs="Times New Roman"/>
                      <w:b w:val="0"/>
                      <w:color w:val="auto"/>
                      <w:kern w:val="0"/>
                      <w:sz w:val="21"/>
                      <w:szCs w:val="21"/>
                      <w:lang w:val="en-US" w:bidi="zh-CN"/>
                    </w:rPr>
                    <w:t>台</w:t>
                  </w:r>
                </w:p>
              </w:tc>
              <w:tc>
                <w:tcPr>
                  <w:tcW w:w="675" w:type="dxa"/>
                  <w:tcBorders>
                    <w:bottom w:val="single" w:color="auto" w:sz="4" w:space="0"/>
                  </w:tcBorders>
                  <w:noWrap w:val="0"/>
                  <w:vAlign w:val="center"/>
                </w:tcPr>
                <w:p w14:paraId="3DFA67DE">
                  <w:pPr>
                    <w:autoSpaceDE w:val="0"/>
                    <w:autoSpaceDN w:val="0"/>
                    <w:spacing w:line="240" w:lineRule="exact"/>
                    <w:jc w:val="center"/>
                    <w:rPr>
                      <w:rFonts w:ascii="Times New Roman" w:hAnsi="Times New Roman" w:eastAsia="宋体" w:cs="Times New Roman"/>
                      <w:b w:val="0"/>
                      <w:color w:val="auto"/>
                      <w:kern w:val="0"/>
                      <w:sz w:val="21"/>
                      <w:szCs w:val="21"/>
                      <w:lang w:bidi="zh-CN"/>
                    </w:rPr>
                  </w:pPr>
                  <w:r>
                    <w:rPr>
                      <w:rFonts w:hint="eastAsia" w:ascii="Times New Roman" w:hAnsi="Times New Roman" w:eastAsia="宋体" w:cs="Times New Roman"/>
                      <w:b w:val="0"/>
                      <w:color w:val="auto"/>
                      <w:kern w:val="0"/>
                      <w:sz w:val="21"/>
                      <w:szCs w:val="21"/>
                      <w:lang w:val="en-US" w:bidi="zh-CN"/>
                    </w:rPr>
                    <w:t>1</w:t>
                  </w:r>
                </w:p>
              </w:tc>
              <w:tc>
                <w:tcPr>
                  <w:tcW w:w="690" w:type="dxa"/>
                  <w:tcBorders>
                    <w:bottom w:val="single" w:color="auto" w:sz="4" w:space="0"/>
                  </w:tcBorders>
                  <w:noWrap w:val="0"/>
                  <w:vAlign w:val="center"/>
                </w:tcPr>
                <w:p w14:paraId="3CEED256">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150</w:t>
                  </w:r>
                </w:p>
              </w:tc>
              <w:tc>
                <w:tcPr>
                  <w:tcW w:w="720" w:type="dxa"/>
                  <w:tcBorders>
                    <w:bottom w:val="single" w:color="auto" w:sz="4" w:space="0"/>
                  </w:tcBorders>
                  <w:noWrap w:val="0"/>
                  <w:vAlign w:val="center"/>
                </w:tcPr>
                <w:p w14:paraId="6A267534">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0.9</w:t>
                  </w:r>
                </w:p>
              </w:tc>
              <w:tc>
                <w:tcPr>
                  <w:tcW w:w="1304" w:type="dxa"/>
                  <w:tcBorders>
                    <w:bottom w:val="single" w:color="auto" w:sz="4" w:space="0"/>
                  </w:tcBorders>
                  <w:noWrap w:val="0"/>
                  <w:vAlign w:val="center"/>
                </w:tcPr>
                <w:p w14:paraId="51831946">
                  <w:pPr>
                    <w:widowControl w:val="0"/>
                    <w:adjustRightInd w:val="0"/>
                    <w:snapToGrid w:val="0"/>
                    <w:jc w:val="center"/>
                    <w:rPr>
                      <w:rFonts w:hint="default" w:ascii="Times New Roman" w:hAnsi="Times New Roman" w:eastAsia="宋体" w:cs="Times New Roman"/>
                      <w:b w:val="0"/>
                      <w:color w:val="auto"/>
                      <w:kern w:val="0"/>
                      <w:sz w:val="21"/>
                      <w:szCs w:val="21"/>
                      <w:lang w:val="en-US" w:bidi="zh-CN"/>
                    </w:rPr>
                  </w:pPr>
                  <w:r>
                    <w:rPr>
                      <w:rFonts w:hint="eastAsia" w:ascii="Times New Roman" w:hAnsi="Times New Roman" w:eastAsia="宋体" w:cs="Times New Roman"/>
                      <w:b w:val="0"/>
                      <w:color w:val="auto"/>
                      <w:kern w:val="0"/>
                      <w:sz w:val="21"/>
                      <w:szCs w:val="21"/>
                      <w:lang w:val="en-US" w:bidi="zh-CN"/>
                    </w:rPr>
                    <w:t>C4、C5烷烯烃、水</w:t>
                  </w:r>
                </w:p>
              </w:tc>
              <w:tc>
                <w:tcPr>
                  <w:tcW w:w="1366" w:type="dxa"/>
                  <w:tcBorders>
                    <w:bottom w:val="single" w:color="auto" w:sz="4" w:space="0"/>
                    <w:right w:val="single" w:color="auto" w:sz="4" w:space="0"/>
                  </w:tcBorders>
                  <w:noWrap w:val="0"/>
                  <w:vAlign w:val="center"/>
                </w:tcPr>
                <w:p w14:paraId="73D88B24">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zh-CN"/>
                    </w:rPr>
                  </w:pPr>
                  <w:r>
                    <w:rPr>
                      <w:rFonts w:hint="eastAsia" w:ascii="Times New Roman" w:hAnsi="Times New Roman" w:eastAsia="宋体" w:cs="Times New Roman"/>
                      <w:b w:val="0"/>
                      <w:color w:val="auto"/>
                      <w:sz w:val="21"/>
                      <w:szCs w:val="21"/>
                    </w:rPr>
                    <w:t>依托</w:t>
                  </w:r>
                  <w:r>
                    <w:rPr>
                      <w:rFonts w:hint="eastAsia" w:ascii="Times New Roman" w:hAnsi="Times New Roman" w:eastAsia="宋体" w:cs="Times New Roman"/>
                      <w:b w:val="0"/>
                      <w:color w:val="auto"/>
                      <w:kern w:val="2"/>
                      <w:sz w:val="21"/>
                      <w:szCs w:val="21"/>
                    </w:rPr>
                    <w:t>原</w:t>
                  </w:r>
                  <w:r>
                    <w:rPr>
                      <w:rFonts w:hint="eastAsia" w:ascii="Times New Roman" w:hAnsi="Times New Roman" w:eastAsia="宋体" w:cs="Times New Roman"/>
                      <w:b w:val="0"/>
                      <w:color w:val="auto"/>
                      <w:kern w:val="2"/>
                      <w:sz w:val="21"/>
                      <w:szCs w:val="21"/>
                      <w:lang w:val="en-US" w:eastAsia="zh-CN"/>
                    </w:rPr>
                    <w:t>重醇分水罐</w:t>
                  </w:r>
                  <w:r>
                    <w:rPr>
                      <w:rFonts w:hint="eastAsia" w:cs="Times New Roman"/>
                      <w:b w:val="0"/>
                      <w:color w:val="auto"/>
                      <w:kern w:val="2"/>
                      <w:sz w:val="21"/>
                      <w:szCs w:val="21"/>
                      <w:lang w:val="en-US" w:eastAsia="zh-CN"/>
                    </w:rPr>
                    <w:t>（密封）</w:t>
                  </w:r>
                </w:p>
              </w:tc>
            </w:tr>
            <w:tr w14:paraId="6612C5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101" w:type="dxa"/>
                  <w:gridSpan w:val="9"/>
                  <w:tcBorders>
                    <w:top w:val="single" w:color="auto" w:sz="4" w:space="0"/>
                    <w:left w:val="single" w:color="auto" w:sz="4" w:space="0"/>
                    <w:bottom w:val="single" w:color="auto" w:sz="4" w:space="0"/>
                    <w:right w:val="single" w:color="auto" w:sz="4" w:space="0"/>
                  </w:tcBorders>
                  <w:noWrap w:val="0"/>
                  <w:vAlign w:val="center"/>
                </w:tcPr>
                <w:p w14:paraId="4239B6F2">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hint="eastAsia" w:cs="Times New Roman"/>
                      <w:b w:val="0"/>
                      <w:color w:val="auto"/>
                      <w:kern w:val="0"/>
                      <w:sz w:val="21"/>
                      <w:szCs w:val="21"/>
                      <w:lang w:bidi="zh-CN"/>
                    </w:rPr>
                    <w:t>三、</w:t>
                  </w:r>
                  <w:r>
                    <w:rPr>
                      <w:rFonts w:hint="eastAsia" w:ascii="Times New Roman" w:hAnsi="Times New Roman" w:eastAsia="宋体" w:cs="Times New Roman"/>
                      <w:b w:val="0"/>
                      <w:color w:val="auto"/>
                      <w:kern w:val="0"/>
                      <w:sz w:val="21"/>
                      <w:szCs w:val="21"/>
                      <w:lang w:bidi="zh-CN"/>
                    </w:rPr>
                    <w:t>换热器类</w:t>
                  </w:r>
                </w:p>
              </w:tc>
            </w:tr>
            <w:tr w14:paraId="4ECF25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top w:val="single" w:color="auto" w:sz="4" w:space="0"/>
                    <w:left w:val="single" w:color="auto" w:sz="4" w:space="0"/>
                  </w:tcBorders>
                  <w:noWrap w:val="0"/>
                  <w:vAlign w:val="center"/>
                </w:tcPr>
                <w:p w14:paraId="6B842293">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1</w:t>
                  </w:r>
                </w:p>
              </w:tc>
              <w:tc>
                <w:tcPr>
                  <w:tcW w:w="630" w:type="dxa"/>
                  <w:tcBorders>
                    <w:top w:val="single" w:color="auto" w:sz="4" w:space="0"/>
                  </w:tcBorders>
                  <w:noWrap w:val="0"/>
                  <w:vAlign w:val="center"/>
                </w:tcPr>
                <w:p w14:paraId="56D1006D">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原料-脱重塔底油换热器</w:t>
                  </w:r>
                </w:p>
              </w:tc>
              <w:tc>
                <w:tcPr>
                  <w:tcW w:w="1665" w:type="dxa"/>
                  <w:tcBorders>
                    <w:top w:val="single" w:color="auto" w:sz="4" w:space="0"/>
                  </w:tcBorders>
                  <w:noWrap w:val="0"/>
                  <w:vAlign w:val="center"/>
                </w:tcPr>
                <w:p w14:paraId="52F6C916">
                  <w:pPr>
                    <w:widowControl w:val="0"/>
                    <w:adjustRightInd w:val="0"/>
                    <w:snapToGrid w:val="0"/>
                    <w:jc w:val="center"/>
                    <w:rPr>
                      <w:rFonts w:ascii="Times New Roman" w:hAnsi="Times New Roman" w:eastAsia="宋体" w:cs="Times New Roman"/>
                      <w:b w:val="0"/>
                      <w:color w:val="auto"/>
                      <w:sz w:val="21"/>
                      <w:szCs w:val="21"/>
                      <w:lang w:val="zh-CN"/>
                    </w:rPr>
                  </w:pPr>
                  <w:r>
                    <w:rPr>
                      <w:rFonts w:ascii="Times New Roman" w:hAnsi="Times New Roman" w:eastAsia="宋体" w:cs="Times New Roman"/>
                      <w:b w:val="0"/>
                      <w:color w:val="auto"/>
                      <w:kern w:val="0"/>
                      <w:sz w:val="21"/>
                      <w:szCs w:val="21"/>
                    </w:rPr>
                    <w:t>B</w:t>
                  </w:r>
                  <w:r>
                    <w:rPr>
                      <w:rFonts w:hint="eastAsia" w:ascii="Times New Roman" w:hAnsi="Times New Roman" w:eastAsia="宋体" w:cs="Times New Roman"/>
                      <w:b w:val="0"/>
                      <w:color w:val="auto"/>
                      <w:kern w:val="0"/>
                      <w:sz w:val="21"/>
                      <w:szCs w:val="21"/>
                      <w:lang w:val="en-US" w:eastAsia="zh-CN"/>
                    </w:rPr>
                    <w:t>IU325-2.5/2.5-11.3-6/25-4I</w:t>
                  </w:r>
                </w:p>
              </w:tc>
              <w:tc>
                <w:tcPr>
                  <w:tcW w:w="630" w:type="dxa"/>
                  <w:tcBorders>
                    <w:top w:val="single" w:color="auto" w:sz="4" w:space="0"/>
                  </w:tcBorders>
                  <w:noWrap w:val="0"/>
                  <w:vAlign w:val="center"/>
                </w:tcPr>
                <w:p w14:paraId="167C75D7">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台</w:t>
                  </w:r>
                </w:p>
              </w:tc>
              <w:tc>
                <w:tcPr>
                  <w:tcW w:w="675" w:type="dxa"/>
                  <w:tcBorders>
                    <w:top w:val="single" w:color="auto" w:sz="4" w:space="0"/>
                  </w:tcBorders>
                  <w:noWrap w:val="0"/>
                  <w:vAlign w:val="center"/>
                </w:tcPr>
                <w:p w14:paraId="51EC0373">
                  <w:pPr>
                    <w:spacing w:line="240" w:lineRule="exact"/>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1</w:t>
                  </w:r>
                </w:p>
              </w:tc>
              <w:tc>
                <w:tcPr>
                  <w:tcW w:w="690" w:type="dxa"/>
                  <w:tcBorders>
                    <w:top w:val="single" w:color="auto" w:sz="4" w:space="0"/>
                  </w:tcBorders>
                  <w:noWrap w:val="0"/>
                  <w:vAlign w:val="center"/>
                </w:tcPr>
                <w:p w14:paraId="22297854">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壳程250</w:t>
                  </w:r>
                </w:p>
                <w:p w14:paraId="5CE1F376">
                  <w:pPr>
                    <w:snapToGrid w:val="0"/>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管程250</w:t>
                  </w:r>
                </w:p>
              </w:tc>
              <w:tc>
                <w:tcPr>
                  <w:tcW w:w="720" w:type="dxa"/>
                  <w:tcBorders>
                    <w:top w:val="single" w:color="auto" w:sz="4" w:space="0"/>
                  </w:tcBorders>
                  <w:noWrap w:val="0"/>
                  <w:vAlign w:val="center"/>
                </w:tcPr>
                <w:p w14:paraId="1B32BEC2">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壳程2.3</w:t>
                  </w:r>
                </w:p>
                <w:p w14:paraId="16B7197B">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管程1.77</w:t>
                  </w:r>
                </w:p>
              </w:tc>
              <w:tc>
                <w:tcPr>
                  <w:tcW w:w="1304" w:type="dxa"/>
                  <w:tcBorders>
                    <w:top w:val="single" w:color="auto" w:sz="4" w:space="0"/>
                  </w:tcBorders>
                  <w:noWrap w:val="0"/>
                  <w:vAlign w:val="center"/>
                </w:tcPr>
                <w:p w14:paraId="2A62864C">
                  <w:pPr>
                    <w:snapToGrid w:val="0"/>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壳程C6+烷烯烃、少量有机醇、醛、酸等</w:t>
                  </w:r>
                </w:p>
                <w:p w14:paraId="2BF6E85B">
                  <w:pPr>
                    <w:snapToGrid w:val="0"/>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管程费托轻油、少量有机醇、醛、酸等</w:t>
                  </w:r>
                </w:p>
              </w:tc>
              <w:tc>
                <w:tcPr>
                  <w:tcW w:w="1366" w:type="dxa"/>
                  <w:tcBorders>
                    <w:top w:val="single" w:color="auto" w:sz="4" w:space="0"/>
                    <w:right w:val="single" w:color="auto" w:sz="4" w:space="0"/>
                  </w:tcBorders>
                  <w:noWrap w:val="0"/>
                  <w:vAlign w:val="center"/>
                </w:tcPr>
                <w:p w14:paraId="24E4B37D">
                  <w:pPr>
                    <w:widowControl w:val="0"/>
                    <w:adjustRightInd w:val="0"/>
                    <w:snapToGrid w:val="0"/>
                    <w:jc w:val="center"/>
                    <w:rPr>
                      <w:rFonts w:hint="default" w:ascii="Times New Roman" w:hAnsi="Times New Roman" w:eastAsia="宋体" w:cs="Times New Roman"/>
                      <w:b w:val="0"/>
                      <w:color w:val="auto"/>
                      <w:kern w:val="2"/>
                      <w:sz w:val="21"/>
                      <w:szCs w:val="21"/>
                      <w:lang w:val="en-US" w:eastAsia="zh-CN" w:bidi="ar-SA"/>
                    </w:rPr>
                  </w:pPr>
                  <w:r>
                    <w:rPr>
                      <w:rFonts w:hint="eastAsia" w:ascii="Times New Roman" w:hAnsi="Times New Roman" w:eastAsia="宋体" w:cs="Times New Roman"/>
                      <w:b w:val="0"/>
                      <w:color w:val="auto"/>
                      <w:kern w:val="2"/>
                      <w:sz w:val="21"/>
                      <w:szCs w:val="21"/>
                      <w:lang w:val="en-US" w:eastAsia="zh-CN" w:bidi="ar-SA"/>
                    </w:rPr>
                    <w:t>依托原萃取精馏塔进料-萃取剂换热器</w:t>
                  </w:r>
                </w:p>
              </w:tc>
            </w:tr>
            <w:tr w14:paraId="43A3AA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172C9893">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2</w:t>
                  </w:r>
                </w:p>
              </w:tc>
              <w:tc>
                <w:tcPr>
                  <w:tcW w:w="630" w:type="dxa"/>
                  <w:noWrap w:val="0"/>
                  <w:vAlign w:val="center"/>
                </w:tcPr>
                <w:p w14:paraId="37B787DB">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脱重塔底重沸器</w:t>
                  </w:r>
                </w:p>
              </w:tc>
              <w:tc>
                <w:tcPr>
                  <w:tcW w:w="1665" w:type="dxa"/>
                  <w:noWrap w:val="0"/>
                  <w:vAlign w:val="center"/>
                </w:tcPr>
                <w:p w14:paraId="3BD25349">
                  <w:pPr>
                    <w:widowControl w:val="0"/>
                    <w:adjustRightInd w:val="0"/>
                    <w:snapToGrid w:val="0"/>
                    <w:jc w:val="center"/>
                    <w:rPr>
                      <w:rFonts w:ascii="Times New Roman" w:hAnsi="Times New Roman" w:eastAsia="宋体" w:cs="Times New Roman"/>
                      <w:b w:val="0"/>
                      <w:color w:val="auto"/>
                      <w:sz w:val="21"/>
                      <w:szCs w:val="21"/>
                      <w:lang w:val="zh-CN" w:eastAsia="en-US"/>
                    </w:rPr>
                  </w:pPr>
                  <w:r>
                    <w:rPr>
                      <w:rFonts w:ascii="Times New Roman" w:hAnsi="Times New Roman" w:eastAsia="宋体" w:cs="Times New Roman"/>
                      <w:b w:val="0"/>
                      <w:color w:val="auto"/>
                      <w:kern w:val="0"/>
                      <w:sz w:val="21"/>
                      <w:szCs w:val="21"/>
                    </w:rPr>
                    <w:t>B</w:t>
                  </w:r>
                  <w:r>
                    <w:rPr>
                      <w:rFonts w:hint="eastAsia" w:ascii="Times New Roman" w:hAnsi="Times New Roman" w:eastAsia="宋体" w:cs="Times New Roman"/>
                      <w:b w:val="0"/>
                      <w:color w:val="auto"/>
                      <w:kern w:val="0"/>
                      <w:sz w:val="21"/>
                      <w:szCs w:val="21"/>
                      <w:lang w:val="en-US" w:eastAsia="zh-CN"/>
                    </w:rPr>
                    <w:t>J12U900-2.5/1.6-215-6/25-2I</w:t>
                  </w:r>
                </w:p>
              </w:tc>
              <w:tc>
                <w:tcPr>
                  <w:tcW w:w="630" w:type="dxa"/>
                  <w:noWrap w:val="0"/>
                  <w:vAlign w:val="center"/>
                </w:tcPr>
                <w:p w14:paraId="4697E5F8">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台</w:t>
                  </w:r>
                </w:p>
              </w:tc>
              <w:tc>
                <w:tcPr>
                  <w:tcW w:w="675" w:type="dxa"/>
                  <w:noWrap w:val="0"/>
                  <w:vAlign w:val="center"/>
                </w:tcPr>
                <w:p w14:paraId="233B2D89">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1F2D9AF1">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壳程250</w:t>
                  </w:r>
                </w:p>
                <w:p w14:paraId="4EE5330D">
                  <w:pPr>
                    <w:snapToGrid w:val="0"/>
                    <w:rPr>
                      <w:rFonts w:hint="default" w:ascii="Times New Roman" w:hAnsi="Times New Roman" w:eastAsia="宋体" w:cs="Times New Roman"/>
                      <w:b w:val="0"/>
                      <w:color w:val="auto"/>
                      <w:sz w:val="21"/>
                      <w:szCs w:val="21"/>
                      <w:lang w:val="en-US" w:eastAsia="en-US"/>
                    </w:rPr>
                  </w:pPr>
                  <w:r>
                    <w:rPr>
                      <w:rFonts w:hint="eastAsia" w:ascii="Times New Roman" w:hAnsi="Times New Roman" w:eastAsia="宋体" w:cs="Times New Roman"/>
                      <w:b w:val="0"/>
                      <w:color w:val="auto"/>
                      <w:sz w:val="21"/>
                      <w:szCs w:val="21"/>
                      <w:lang w:val="en-US" w:eastAsia="zh-CN"/>
                    </w:rPr>
                    <w:t>管程300</w:t>
                  </w:r>
                </w:p>
              </w:tc>
              <w:tc>
                <w:tcPr>
                  <w:tcW w:w="720" w:type="dxa"/>
                  <w:noWrap w:val="0"/>
                  <w:vAlign w:val="center"/>
                </w:tcPr>
                <w:p w14:paraId="0745A951">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壳程1.2</w:t>
                  </w:r>
                </w:p>
                <w:p w14:paraId="7C19DEBB">
                  <w:pPr>
                    <w:widowControl w:val="0"/>
                    <w:adjustRightInd w:val="0"/>
                    <w:snapToGrid w:val="0"/>
                    <w:jc w:val="center"/>
                    <w:rPr>
                      <w:rFonts w:hint="default" w:ascii="Times New Roman" w:hAnsi="Times New Roman" w:eastAsia="宋体" w:cs="Times New Roman"/>
                      <w:b w:val="0"/>
                      <w:color w:val="auto"/>
                      <w:sz w:val="21"/>
                      <w:szCs w:val="21"/>
                      <w:lang w:val="en-US" w:eastAsia="en-US"/>
                    </w:rPr>
                  </w:pPr>
                  <w:r>
                    <w:rPr>
                      <w:rFonts w:hint="eastAsia" w:ascii="Times New Roman" w:hAnsi="Times New Roman" w:eastAsia="宋体" w:cs="Times New Roman"/>
                      <w:b w:val="0"/>
                      <w:color w:val="auto"/>
                      <w:sz w:val="21"/>
                      <w:szCs w:val="21"/>
                      <w:lang w:val="en-US" w:eastAsia="zh-CN"/>
                    </w:rPr>
                    <w:t>管程1.8</w:t>
                  </w:r>
                </w:p>
              </w:tc>
              <w:tc>
                <w:tcPr>
                  <w:tcW w:w="1304" w:type="dxa"/>
                  <w:noWrap w:val="0"/>
                  <w:vAlign w:val="center"/>
                </w:tcPr>
                <w:p w14:paraId="3ED2833B">
                  <w:pPr>
                    <w:snapToGrid w:val="0"/>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壳程C6+烷烯烃、少量有机醇、醛、酸等</w:t>
                  </w:r>
                </w:p>
                <w:p w14:paraId="3B92C6D2">
                  <w:pPr>
                    <w:widowControl w:val="0"/>
                    <w:adjustRightInd w:val="0"/>
                    <w:snapToGrid w:val="0"/>
                    <w:jc w:val="center"/>
                    <w:rPr>
                      <w:rFonts w:hint="default" w:ascii="Times New Roman" w:hAnsi="Times New Roman" w:eastAsia="宋体" w:cs="Times New Roman"/>
                      <w:b w:val="0"/>
                      <w:color w:val="auto"/>
                      <w:kern w:val="0"/>
                      <w:sz w:val="21"/>
                      <w:szCs w:val="21"/>
                      <w:lang w:val="en-US" w:eastAsia="en-US" w:bidi="ar-SA"/>
                    </w:rPr>
                  </w:pPr>
                  <w:r>
                    <w:rPr>
                      <w:rFonts w:hint="eastAsia" w:ascii="Times New Roman" w:hAnsi="Times New Roman" w:eastAsia="宋体" w:cs="Times New Roman"/>
                      <w:b w:val="0"/>
                      <w:color w:val="auto"/>
                      <w:kern w:val="0"/>
                      <w:sz w:val="21"/>
                      <w:szCs w:val="21"/>
                      <w:lang w:val="en-US" w:eastAsia="zh-CN" w:bidi="ar-SA"/>
                    </w:rPr>
                    <w:t>管程1.5MPa蒸汽</w:t>
                  </w:r>
                </w:p>
              </w:tc>
              <w:tc>
                <w:tcPr>
                  <w:tcW w:w="1366" w:type="dxa"/>
                  <w:tcBorders>
                    <w:right w:val="single" w:color="auto" w:sz="4" w:space="0"/>
                  </w:tcBorders>
                  <w:noWrap w:val="0"/>
                  <w:vAlign w:val="center"/>
                </w:tcPr>
                <w:p w14:paraId="28D0F8BF">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依托原萃取精馏塔底重沸器</w:t>
                  </w:r>
                </w:p>
              </w:tc>
            </w:tr>
            <w:tr w14:paraId="6D1CB9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0811A3E2">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3</w:t>
                  </w:r>
                </w:p>
              </w:tc>
              <w:tc>
                <w:tcPr>
                  <w:tcW w:w="630" w:type="dxa"/>
                  <w:noWrap w:val="0"/>
                  <w:vAlign w:val="center"/>
                </w:tcPr>
                <w:p w14:paraId="5162CFB9">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C5精馏塔顶水冷器</w:t>
                  </w:r>
                </w:p>
              </w:tc>
              <w:tc>
                <w:tcPr>
                  <w:tcW w:w="1665" w:type="dxa"/>
                  <w:noWrap w:val="0"/>
                  <w:vAlign w:val="center"/>
                </w:tcPr>
                <w:p w14:paraId="2C3E32F8">
                  <w:pPr>
                    <w:widowControl w:val="0"/>
                    <w:adjustRightInd w:val="0"/>
                    <w:snapToGrid w:val="0"/>
                    <w:jc w:val="center"/>
                    <w:rPr>
                      <w:rFonts w:ascii="Times New Roman" w:hAnsi="Times New Roman" w:eastAsia="宋体" w:cs="Times New Roman"/>
                      <w:b w:val="0"/>
                      <w:color w:val="auto"/>
                      <w:sz w:val="21"/>
                      <w:szCs w:val="21"/>
                      <w:lang w:val="zh-CN" w:eastAsia="en-US"/>
                    </w:rPr>
                  </w:pPr>
                  <w:r>
                    <w:rPr>
                      <w:rFonts w:ascii="Times New Roman" w:hAnsi="Times New Roman" w:eastAsia="宋体" w:cs="Times New Roman"/>
                      <w:b w:val="0"/>
                      <w:color w:val="auto"/>
                      <w:kern w:val="0"/>
                      <w:sz w:val="21"/>
                      <w:szCs w:val="21"/>
                    </w:rPr>
                    <w:t>B</w:t>
                  </w:r>
                  <w:r>
                    <w:rPr>
                      <w:rFonts w:hint="eastAsia" w:ascii="Times New Roman" w:hAnsi="Times New Roman" w:eastAsia="宋体" w:cs="Times New Roman"/>
                      <w:b w:val="0"/>
                      <w:color w:val="auto"/>
                      <w:kern w:val="0"/>
                      <w:sz w:val="21"/>
                      <w:szCs w:val="21"/>
                      <w:lang w:val="en-US" w:eastAsia="zh-CN"/>
                    </w:rPr>
                    <w:t>J21U800-1.6/1.6-148.4-6.0/25-2I</w:t>
                  </w:r>
                </w:p>
              </w:tc>
              <w:tc>
                <w:tcPr>
                  <w:tcW w:w="630" w:type="dxa"/>
                  <w:noWrap w:val="0"/>
                  <w:vAlign w:val="center"/>
                </w:tcPr>
                <w:p w14:paraId="0D57BA12">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台</w:t>
                  </w:r>
                </w:p>
              </w:tc>
              <w:tc>
                <w:tcPr>
                  <w:tcW w:w="675" w:type="dxa"/>
                  <w:noWrap w:val="0"/>
                  <w:vAlign w:val="center"/>
                </w:tcPr>
                <w:p w14:paraId="2B842F02">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5D4C862D">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壳程200</w:t>
                  </w:r>
                </w:p>
                <w:p w14:paraId="66A80AF7">
                  <w:pPr>
                    <w:snapToGrid w:val="0"/>
                    <w:rPr>
                      <w:rFonts w:hint="default" w:ascii="Times New Roman" w:hAnsi="Times New Roman" w:eastAsia="宋体" w:cs="Times New Roman"/>
                      <w:b w:val="0"/>
                      <w:color w:val="auto"/>
                      <w:sz w:val="21"/>
                      <w:szCs w:val="21"/>
                      <w:lang w:val="en-US" w:eastAsia="en-US"/>
                    </w:rPr>
                  </w:pPr>
                  <w:r>
                    <w:rPr>
                      <w:rFonts w:hint="eastAsia" w:ascii="Times New Roman" w:hAnsi="Times New Roman" w:eastAsia="宋体" w:cs="Times New Roman"/>
                      <w:b w:val="0"/>
                      <w:color w:val="auto"/>
                      <w:sz w:val="21"/>
                      <w:szCs w:val="21"/>
                      <w:lang w:val="en-US" w:eastAsia="zh-CN"/>
                    </w:rPr>
                    <w:t>管程100</w:t>
                  </w:r>
                </w:p>
              </w:tc>
              <w:tc>
                <w:tcPr>
                  <w:tcW w:w="720" w:type="dxa"/>
                  <w:noWrap w:val="0"/>
                  <w:vAlign w:val="center"/>
                </w:tcPr>
                <w:p w14:paraId="7313E45D">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壳程0.9</w:t>
                  </w:r>
                </w:p>
                <w:p w14:paraId="4295F5EC">
                  <w:pPr>
                    <w:widowControl w:val="0"/>
                    <w:adjustRightInd w:val="0"/>
                    <w:snapToGrid w:val="0"/>
                    <w:jc w:val="center"/>
                    <w:rPr>
                      <w:rFonts w:ascii="Times New Roman" w:hAnsi="Times New Roman" w:eastAsia="宋体" w:cs="Times New Roman"/>
                      <w:b w:val="0"/>
                      <w:color w:val="auto"/>
                      <w:sz w:val="21"/>
                      <w:szCs w:val="21"/>
                      <w:lang w:val="zh-CN" w:eastAsia="en-US"/>
                    </w:rPr>
                  </w:pPr>
                  <w:r>
                    <w:rPr>
                      <w:rFonts w:hint="eastAsia" w:ascii="Times New Roman" w:hAnsi="Times New Roman" w:eastAsia="宋体" w:cs="Times New Roman"/>
                      <w:b w:val="0"/>
                      <w:color w:val="auto"/>
                      <w:sz w:val="21"/>
                      <w:szCs w:val="21"/>
                      <w:lang w:val="en-US" w:eastAsia="zh-CN"/>
                    </w:rPr>
                    <w:t>管程1</w:t>
                  </w:r>
                </w:p>
              </w:tc>
              <w:tc>
                <w:tcPr>
                  <w:tcW w:w="1304" w:type="dxa"/>
                  <w:noWrap w:val="0"/>
                  <w:vAlign w:val="center"/>
                </w:tcPr>
                <w:p w14:paraId="4DD6F665">
                  <w:pPr>
                    <w:snapToGrid w:val="0"/>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壳程C4、C5烷烯烃、水</w:t>
                  </w:r>
                </w:p>
                <w:p w14:paraId="4B517A16">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管程循环水</w:t>
                  </w:r>
                </w:p>
              </w:tc>
              <w:tc>
                <w:tcPr>
                  <w:tcW w:w="1366" w:type="dxa"/>
                  <w:tcBorders>
                    <w:right w:val="single" w:color="auto" w:sz="4" w:space="0"/>
                  </w:tcBorders>
                  <w:noWrap w:val="0"/>
                  <w:vAlign w:val="center"/>
                </w:tcPr>
                <w:p w14:paraId="7B8D784C">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依托原乙二醇回收塔顶水冷器</w:t>
                  </w:r>
                </w:p>
              </w:tc>
            </w:tr>
            <w:tr w14:paraId="5FF6A7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96" w:hRule="atLeast"/>
                <w:jc w:val="center"/>
              </w:trPr>
              <w:tc>
                <w:tcPr>
                  <w:tcW w:w="421" w:type="dxa"/>
                  <w:tcBorders>
                    <w:left w:val="single" w:color="auto" w:sz="4" w:space="0"/>
                  </w:tcBorders>
                  <w:noWrap w:val="0"/>
                  <w:vAlign w:val="center"/>
                </w:tcPr>
                <w:p w14:paraId="18E853C2">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4</w:t>
                  </w:r>
                </w:p>
              </w:tc>
              <w:tc>
                <w:tcPr>
                  <w:tcW w:w="630" w:type="dxa"/>
                  <w:noWrap w:val="0"/>
                  <w:vAlign w:val="center"/>
                </w:tcPr>
                <w:p w14:paraId="3B911433">
                  <w:pPr>
                    <w:spacing w:line="240" w:lineRule="exact"/>
                    <w:jc w:val="center"/>
                    <w:rPr>
                      <w:rFonts w:hint="default" w:ascii="Times New Roman" w:hAnsi="Times New Roman" w:eastAsia="宋体" w:cs="Times New Roman"/>
                      <w:b w:val="0"/>
                      <w:color w:val="auto"/>
                      <w:sz w:val="21"/>
                      <w:szCs w:val="21"/>
                      <w:lang w:val="en-US"/>
                    </w:rPr>
                  </w:pPr>
                  <w:r>
                    <w:rPr>
                      <w:rFonts w:hint="eastAsia" w:ascii="Times New Roman" w:hAnsi="Times New Roman" w:eastAsia="宋体" w:cs="Times New Roman"/>
                      <w:b w:val="0"/>
                      <w:color w:val="auto"/>
                      <w:sz w:val="21"/>
                      <w:szCs w:val="21"/>
                      <w:lang w:val="en-US" w:eastAsia="zh-CN"/>
                    </w:rPr>
                    <w:t>C5精馏塔底重沸器</w:t>
                  </w:r>
                </w:p>
              </w:tc>
              <w:tc>
                <w:tcPr>
                  <w:tcW w:w="1665" w:type="dxa"/>
                  <w:noWrap w:val="0"/>
                  <w:vAlign w:val="center"/>
                </w:tcPr>
                <w:p w14:paraId="3E059A18">
                  <w:pPr>
                    <w:widowControl w:val="0"/>
                    <w:adjustRightInd w:val="0"/>
                    <w:snapToGrid w:val="0"/>
                    <w:jc w:val="center"/>
                    <w:rPr>
                      <w:rFonts w:ascii="Times New Roman" w:hAnsi="Times New Roman" w:eastAsia="宋体" w:cs="Times New Roman"/>
                      <w:b w:val="0"/>
                      <w:color w:val="auto"/>
                      <w:sz w:val="21"/>
                      <w:szCs w:val="21"/>
                      <w:lang w:val="zh-CN" w:eastAsia="en-US"/>
                    </w:rPr>
                  </w:pPr>
                  <w:r>
                    <w:rPr>
                      <w:rFonts w:ascii="Times New Roman" w:hAnsi="Times New Roman" w:eastAsia="宋体" w:cs="Times New Roman"/>
                      <w:b w:val="0"/>
                      <w:color w:val="auto"/>
                      <w:kern w:val="0"/>
                      <w:sz w:val="21"/>
                      <w:szCs w:val="21"/>
                    </w:rPr>
                    <w:t>B</w:t>
                  </w:r>
                  <w:r>
                    <w:rPr>
                      <w:rFonts w:hint="eastAsia" w:ascii="Times New Roman" w:hAnsi="Times New Roman" w:eastAsia="宋体" w:cs="Times New Roman"/>
                      <w:b w:val="0"/>
                      <w:color w:val="auto"/>
                      <w:kern w:val="0"/>
                      <w:sz w:val="21"/>
                      <w:szCs w:val="21"/>
                      <w:lang w:val="en-US" w:eastAsia="zh-CN"/>
                    </w:rPr>
                    <w:t>KU1000-1.6/1.6-408.4-6.0/25/6I</w:t>
                  </w:r>
                </w:p>
              </w:tc>
              <w:tc>
                <w:tcPr>
                  <w:tcW w:w="630" w:type="dxa"/>
                  <w:noWrap w:val="0"/>
                  <w:vAlign w:val="center"/>
                </w:tcPr>
                <w:p w14:paraId="6F8F2943">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台</w:t>
                  </w:r>
                </w:p>
              </w:tc>
              <w:tc>
                <w:tcPr>
                  <w:tcW w:w="675" w:type="dxa"/>
                  <w:noWrap w:val="0"/>
                  <w:vAlign w:val="center"/>
                </w:tcPr>
                <w:p w14:paraId="7B9C8A0B">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217E4C9E">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壳程200</w:t>
                  </w:r>
                </w:p>
                <w:p w14:paraId="42D2878B">
                  <w:pPr>
                    <w:snapToGrid w:val="0"/>
                    <w:rPr>
                      <w:rFonts w:hint="default" w:ascii="Times New Roman" w:hAnsi="Times New Roman" w:eastAsia="宋体" w:cs="Times New Roman"/>
                      <w:b w:val="0"/>
                      <w:color w:val="auto"/>
                      <w:sz w:val="21"/>
                      <w:szCs w:val="21"/>
                      <w:lang w:val="en-US" w:eastAsia="en-US"/>
                    </w:rPr>
                  </w:pPr>
                  <w:r>
                    <w:rPr>
                      <w:rFonts w:hint="eastAsia" w:ascii="Times New Roman" w:hAnsi="Times New Roman" w:eastAsia="宋体" w:cs="Times New Roman"/>
                      <w:b w:val="0"/>
                      <w:color w:val="auto"/>
                      <w:sz w:val="21"/>
                      <w:szCs w:val="21"/>
                      <w:lang w:val="en-US" w:eastAsia="zh-CN"/>
                    </w:rPr>
                    <w:t>管程300</w:t>
                  </w:r>
                </w:p>
              </w:tc>
              <w:tc>
                <w:tcPr>
                  <w:tcW w:w="720" w:type="dxa"/>
                  <w:noWrap w:val="0"/>
                  <w:vAlign w:val="center"/>
                </w:tcPr>
                <w:p w14:paraId="7B0E6174">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壳程1.42</w:t>
                  </w:r>
                </w:p>
                <w:p w14:paraId="0111DF5E">
                  <w:pPr>
                    <w:widowControl w:val="0"/>
                    <w:adjustRightInd w:val="0"/>
                    <w:snapToGrid w:val="0"/>
                    <w:jc w:val="center"/>
                    <w:rPr>
                      <w:rFonts w:hint="default" w:ascii="Times New Roman" w:hAnsi="Times New Roman" w:eastAsia="宋体" w:cs="Times New Roman"/>
                      <w:b w:val="0"/>
                      <w:color w:val="auto"/>
                      <w:sz w:val="21"/>
                      <w:szCs w:val="21"/>
                      <w:lang w:val="en-US" w:eastAsia="en-US"/>
                    </w:rPr>
                  </w:pPr>
                  <w:r>
                    <w:rPr>
                      <w:rFonts w:hint="eastAsia" w:ascii="Times New Roman" w:hAnsi="Times New Roman" w:eastAsia="宋体" w:cs="Times New Roman"/>
                      <w:b w:val="0"/>
                      <w:color w:val="auto"/>
                      <w:sz w:val="21"/>
                      <w:szCs w:val="21"/>
                      <w:lang w:val="en-US" w:eastAsia="zh-CN"/>
                    </w:rPr>
                    <w:t>管程1.77</w:t>
                  </w:r>
                </w:p>
              </w:tc>
              <w:tc>
                <w:tcPr>
                  <w:tcW w:w="1304" w:type="dxa"/>
                  <w:noWrap w:val="0"/>
                  <w:vAlign w:val="center"/>
                </w:tcPr>
                <w:p w14:paraId="1197D83E">
                  <w:pPr>
                    <w:snapToGrid w:val="0"/>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壳程C5烷烯烃、水</w:t>
                  </w:r>
                </w:p>
                <w:p w14:paraId="4E7AB23F">
                  <w:pPr>
                    <w:widowControl w:val="0"/>
                    <w:adjustRightInd w:val="0"/>
                    <w:snapToGrid w:val="0"/>
                    <w:jc w:val="center"/>
                    <w:rPr>
                      <w:rFonts w:hint="default" w:ascii="Times New Roman" w:hAnsi="Times New Roman" w:eastAsia="宋体" w:cs="Times New Roman"/>
                      <w:b w:val="0"/>
                      <w:color w:val="auto"/>
                      <w:kern w:val="0"/>
                      <w:sz w:val="21"/>
                      <w:szCs w:val="21"/>
                      <w:lang w:val="en-US" w:eastAsia="en-US" w:bidi="ar-SA"/>
                    </w:rPr>
                  </w:pPr>
                  <w:r>
                    <w:rPr>
                      <w:rFonts w:hint="eastAsia" w:ascii="Times New Roman" w:hAnsi="Times New Roman" w:eastAsia="宋体" w:cs="Times New Roman"/>
                      <w:b w:val="0"/>
                      <w:color w:val="auto"/>
                      <w:kern w:val="0"/>
                      <w:sz w:val="21"/>
                      <w:szCs w:val="21"/>
                      <w:lang w:val="en-US" w:eastAsia="zh-CN" w:bidi="ar-SA"/>
                    </w:rPr>
                    <w:t>管程C6+轻油、羧酸</w:t>
                  </w:r>
                </w:p>
              </w:tc>
              <w:tc>
                <w:tcPr>
                  <w:tcW w:w="1366" w:type="dxa"/>
                  <w:tcBorders>
                    <w:right w:val="single" w:color="auto" w:sz="4" w:space="0"/>
                  </w:tcBorders>
                  <w:noWrap w:val="0"/>
                  <w:vAlign w:val="center"/>
                </w:tcPr>
                <w:p w14:paraId="3642F1A1">
                  <w:pPr>
                    <w:widowControl w:val="0"/>
                    <w:adjustRightInd w:val="0"/>
                    <w:snapToGrid w:val="0"/>
                    <w:jc w:val="center"/>
                    <w:rPr>
                      <w:rFonts w:hint="default" w:ascii="Times New Roman" w:hAnsi="Times New Roman" w:eastAsia="宋体" w:cs="Times New Roman"/>
                      <w:b w:val="0"/>
                      <w:color w:val="auto"/>
                      <w:kern w:val="0"/>
                      <w:sz w:val="21"/>
                      <w:szCs w:val="21"/>
                      <w:lang w:val="en-US" w:eastAsia="en-US" w:bidi="ar-SA"/>
                    </w:rPr>
                  </w:pPr>
                  <w:r>
                    <w:rPr>
                      <w:rFonts w:hint="eastAsia" w:ascii="Times New Roman" w:hAnsi="Times New Roman" w:eastAsia="宋体" w:cs="Times New Roman"/>
                      <w:b w:val="0"/>
                      <w:color w:val="auto"/>
                      <w:kern w:val="0"/>
                      <w:sz w:val="21"/>
                      <w:szCs w:val="21"/>
                      <w:lang w:val="en-US" w:eastAsia="zh-CN" w:bidi="ar-SA"/>
                    </w:rPr>
                    <w:t>依托原乙二醇回收塔底重沸器</w:t>
                  </w:r>
                </w:p>
              </w:tc>
            </w:tr>
            <w:tr w14:paraId="1331CF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16B090CF">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5</w:t>
                  </w:r>
                </w:p>
              </w:tc>
              <w:tc>
                <w:tcPr>
                  <w:tcW w:w="630" w:type="dxa"/>
                  <w:noWrap w:val="0"/>
                  <w:vAlign w:val="center"/>
                </w:tcPr>
                <w:p w14:paraId="2D0EC286">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C5烷烯水冷器</w:t>
                  </w:r>
                </w:p>
              </w:tc>
              <w:tc>
                <w:tcPr>
                  <w:tcW w:w="1665" w:type="dxa"/>
                  <w:noWrap w:val="0"/>
                  <w:vAlign w:val="center"/>
                </w:tcPr>
                <w:p w14:paraId="4953CFCD">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630" w:type="dxa"/>
                  <w:noWrap w:val="0"/>
                  <w:vAlign w:val="center"/>
                </w:tcPr>
                <w:p w14:paraId="1BE3ED9E">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台</w:t>
                  </w:r>
                </w:p>
              </w:tc>
              <w:tc>
                <w:tcPr>
                  <w:tcW w:w="675" w:type="dxa"/>
                  <w:noWrap w:val="0"/>
                  <w:vAlign w:val="center"/>
                </w:tcPr>
                <w:p w14:paraId="1A875656">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173221E9">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720" w:type="dxa"/>
                  <w:noWrap w:val="0"/>
                  <w:vAlign w:val="center"/>
                </w:tcPr>
                <w:p w14:paraId="04733FA8">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noWrap w:val="0"/>
                  <w:vAlign w:val="center"/>
                </w:tcPr>
                <w:p w14:paraId="62B296BC">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ar-SA"/>
                    </w:rPr>
                  </w:pPr>
                  <w:r>
                    <w:rPr>
                      <w:rFonts w:hint="eastAsia" w:cs="Times New Roman"/>
                      <w:b w:val="0"/>
                      <w:color w:val="auto"/>
                      <w:kern w:val="0"/>
                      <w:sz w:val="21"/>
                      <w:szCs w:val="21"/>
                      <w:lang w:val="en-US" w:eastAsia="zh-CN" w:bidi="ar-SA"/>
                    </w:rPr>
                    <w:t>/</w:t>
                  </w:r>
                </w:p>
              </w:tc>
              <w:tc>
                <w:tcPr>
                  <w:tcW w:w="1366" w:type="dxa"/>
                  <w:tcBorders>
                    <w:right w:val="single" w:color="auto" w:sz="4" w:space="0"/>
                  </w:tcBorders>
                  <w:noWrap w:val="0"/>
                  <w:vAlign w:val="center"/>
                </w:tcPr>
                <w:p w14:paraId="2154E6C9">
                  <w:pPr>
                    <w:widowControl w:val="0"/>
                    <w:adjustRightInd w:val="0"/>
                    <w:snapToGrid w:val="0"/>
                    <w:jc w:val="center"/>
                    <w:rPr>
                      <w:rFonts w:hint="eastAsia" w:ascii="Times New Roman" w:hAnsi="Times New Roman" w:eastAsia="宋体" w:cs="Times New Roman"/>
                      <w:b w:val="0"/>
                      <w:color w:val="auto"/>
                      <w:kern w:val="0"/>
                      <w:sz w:val="21"/>
                      <w:szCs w:val="21"/>
                      <w:lang w:val="zh-CN" w:eastAsia="zh-CN" w:bidi="ar-SA"/>
                    </w:rPr>
                  </w:pPr>
                  <w:r>
                    <w:rPr>
                      <w:rFonts w:hint="eastAsia" w:ascii="Times New Roman" w:hAnsi="Times New Roman" w:eastAsia="宋体" w:cs="Times New Roman"/>
                      <w:b w:val="0"/>
                      <w:color w:val="auto"/>
                      <w:sz w:val="21"/>
                      <w:szCs w:val="21"/>
                      <w:lang w:val="en-US" w:eastAsia="zh-CN"/>
                    </w:rPr>
                    <w:t>新建</w:t>
                  </w:r>
                </w:p>
              </w:tc>
            </w:tr>
            <w:tr w14:paraId="5972E7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07C1BF34">
                  <w:pPr>
                    <w:autoSpaceDE w:val="0"/>
                    <w:autoSpaceDN w:val="0"/>
                    <w:spacing w:line="240" w:lineRule="exact"/>
                    <w:jc w:val="center"/>
                    <w:rPr>
                      <w:rFonts w:ascii="Times New Roman" w:hAnsi="Times New Roman" w:eastAsia="宋体" w:cs="Times New Roman"/>
                      <w:b w:val="0"/>
                      <w:color w:val="auto"/>
                      <w:kern w:val="0"/>
                      <w:sz w:val="21"/>
                      <w:szCs w:val="21"/>
                      <w:lang w:val="zh-CN" w:bidi="zh-CN"/>
                    </w:rPr>
                  </w:pPr>
                  <w:r>
                    <w:rPr>
                      <w:rFonts w:ascii="Times New Roman" w:hAnsi="Times New Roman" w:eastAsia="宋体" w:cs="Times New Roman"/>
                      <w:b w:val="0"/>
                      <w:color w:val="auto"/>
                      <w:kern w:val="0"/>
                      <w:sz w:val="21"/>
                      <w:szCs w:val="21"/>
                      <w:lang w:val="zh-CN" w:bidi="zh-CN"/>
                    </w:rPr>
                    <w:t>6</w:t>
                  </w:r>
                </w:p>
              </w:tc>
              <w:tc>
                <w:tcPr>
                  <w:tcW w:w="630" w:type="dxa"/>
                  <w:noWrap w:val="0"/>
                  <w:vAlign w:val="center"/>
                </w:tcPr>
                <w:p w14:paraId="4FBF8475">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脱重塔塔顶水冷器</w:t>
                  </w:r>
                </w:p>
              </w:tc>
              <w:tc>
                <w:tcPr>
                  <w:tcW w:w="1665" w:type="dxa"/>
                  <w:noWrap w:val="0"/>
                  <w:vAlign w:val="center"/>
                </w:tcPr>
                <w:p w14:paraId="6FF95302">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630" w:type="dxa"/>
                  <w:noWrap w:val="0"/>
                  <w:vAlign w:val="center"/>
                </w:tcPr>
                <w:p w14:paraId="4D7F7EE5">
                  <w:pPr>
                    <w:spacing w:line="240" w:lineRule="exact"/>
                    <w:jc w:val="center"/>
                    <w:rPr>
                      <w:rFonts w:ascii="Times New Roman" w:hAnsi="Times New Roman" w:eastAsia="宋体" w:cs="Times New Roman"/>
                      <w:b w:val="0"/>
                      <w:color w:val="auto"/>
                      <w:sz w:val="21"/>
                      <w:szCs w:val="21"/>
                      <w:lang w:val="zh-CN"/>
                    </w:rPr>
                  </w:pPr>
                  <w:r>
                    <w:rPr>
                      <w:rFonts w:hint="eastAsia" w:ascii="Times New Roman" w:hAnsi="Times New Roman" w:eastAsia="宋体" w:cs="Times New Roman"/>
                      <w:b w:val="0"/>
                      <w:color w:val="auto"/>
                      <w:sz w:val="21"/>
                      <w:szCs w:val="21"/>
                      <w:lang w:val="en-US" w:eastAsia="zh-CN"/>
                    </w:rPr>
                    <w:t>台</w:t>
                  </w:r>
                </w:p>
              </w:tc>
              <w:tc>
                <w:tcPr>
                  <w:tcW w:w="675" w:type="dxa"/>
                  <w:noWrap w:val="0"/>
                  <w:vAlign w:val="center"/>
                </w:tcPr>
                <w:p w14:paraId="3A4C2E3A">
                  <w:pPr>
                    <w:spacing w:line="240" w:lineRule="exact"/>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1FA0651F">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720" w:type="dxa"/>
                  <w:noWrap w:val="0"/>
                  <w:vAlign w:val="center"/>
                </w:tcPr>
                <w:p w14:paraId="78C2FFE3">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noWrap w:val="0"/>
                  <w:vAlign w:val="center"/>
                </w:tcPr>
                <w:p w14:paraId="457729DB">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cs="Times New Roman"/>
                      <w:b w:val="0"/>
                      <w:color w:val="auto"/>
                      <w:kern w:val="0"/>
                      <w:sz w:val="21"/>
                      <w:szCs w:val="21"/>
                      <w:lang w:val="en-US" w:eastAsia="zh-CN" w:bidi="ar-SA"/>
                    </w:rPr>
                    <w:t>/</w:t>
                  </w:r>
                </w:p>
              </w:tc>
              <w:tc>
                <w:tcPr>
                  <w:tcW w:w="1366" w:type="dxa"/>
                  <w:tcBorders>
                    <w:right w:val="single" w:color="auto" w:sz="4" w:space="0"/>
                  </w:tcBorders>
                  <w:noWrap w:val="0"/>
                  <w:vAlign w:val="center"/>
                </w:tcPr>
                <w:p w14:paraId="1A10CDC4">
                  <w:pPr>
                    <w:widowControl w:val="0"/>
                    <w:adjustRightInd w:val="0"/>
                    <w:snapToGrid w:val="0"/>
                    <w:jc w:val="center"/>
                    <w:rPr>
                      <w:rFonts w:hint="eastAsia" w:ascii="Times New Roman" w:hAnsi="Times New Roman" w:eastAsia="宋体" w:cs="Times New Roman"/>
                      <w:b w:val="0"/>
                      <w:color w:val="auto"/>
                      <w:kern w:val="0"/>
                      <w:sz w:val="21"/>
                      <w:szCs w:val="21"/>
                      <w:lang w:val="zh-CN" w:eastAsia="en-US" w:bidi="ar-SA"/>
                    </w:rPr>
                  </w:pPr>
                  <w:r>
                    <w:rPr>
                      <w:rFonts w:hint="eastAsia" w:ascii="Times New Roman" w:hAnsi="Times New Roman" w:eastAsia="宋体" w:cs="Times New Roman"/>
                      <w:b w:val="0"/>
                      <w:color w:val="auto"/>
                      <w:sz w:val="21"/>
                      <w:szCs w:val="21"/>
                      <w:lang w:val="en-US" w:eastAsia="zh-CN"/>
                    </w:rPr>
                    <w:t>新建</w:t>
                  </w:r>
                </w:p>
              </w:tc>
            </w:tr>
            <w:tr w14:paraId="3A7173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bottom w:val="single" w:color="auto" w:sz="4" w:space="0"/>
                  </w:tcBorders>
                  <w:noWrap w:val="0"/>
                  <w:vAlign w:val="center"/>
                </w:tcPr>
                <w:p w14:paraId="7BD4AD5D">
                  <w:pPr>
                    <w:spacing w:line="240" w:lineRule="exact"/>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7</w:t>
                  </w:r>
                </w:p>
              </w:tc>
              <w:tc>
                <w:tcPr>
                  <w:tcW w:w="630" w:type="dxa"/>
                  <w:tcBorders>
                    <w:bottom w:val="single" w:color="auto" w:sz="4" w:space="0"/>
                  </w:tcBorders>
                  <w:noWrap w:val="0"/>
                  <w:vAlign w:val="center"/>
                </w:tcPr>
                <w:p w14:paraId="4C65A709">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脱重塔底水冷器</w:t>
                  </w:r>
                </w:p>
              </w:tc>
              <w:tc>
                <w:tcPr>
                  <w:tcW w:w="1665" w:type="dxa"/>
                  <w:tcBorders>
                    <w:bottom w:val="single" w:color="auto" w:sz="4" w:space="0"/>
                  </w:tcBorders>
                  <w:noWrap w:val="0"/>
                  <w:vAlign w:val="center"/>
                </w:tcPr>
                <w:p w14:paraId="0338043B">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630" w:type="dxa"/>
                  <w:tcBorders>
                    <w:bottom w:val="single" w:color="auto" w:sz="4" w:space="0"/>
                  </w:tcBorders>
                  <w:noWrap w:val="0"/>
                  <w:vAlign w:val="center"/>
                </w:tcPr>
                <w:p w14:paraId="119B5488">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台</w:t>
                  </w:r>
                </w:p>
              </w:tc>
              <w:tc>
                <w:tcPr>
                  <w:tcW w:w="675" w:type="dxa"/>
                  <w:tcBorders>
                    <w:bottom w:val="single" w:color="auto" w:sz="4" w:space="0"/>
                  </w:tcBorders>
                  <w:noWrap w:val="0"/>
                  <w:vAlign w:val="center"/>
                </w:tcPr>
                <w:p w14:paraId="3057DBC1">
                  <w:pPr>
                    <w:spacing w:line="240" w:lineRule="exact"/>
                    <w:jc w:val="center"/>
                    <w:rPr>
                      <w:rFonts w:ascii="Times New Roman" w:hAnsi="Times New Roman" w:eastAsia="宋体" w:cs="Times New Roman"/>
                      <w:b w:val="0"/>
                      <w:color w:val="auto"/>
                      <w:sz w:val="21"/>
                      <w:szCs w:val="21"/>
                      <w:lang w:eastAsia="en-US"/>
                    </w:rPr>
                  </w:pPr>
                  <w:r>
                    <w:rPr>
                      <w:rFonts w:hint="eastAsia" w:ascii="Times New Roman" w:hAnsi="Times New Roman" w:eastAsia="宋体" w:cs="Times New Roman"/>
                      <w:b w:val="0"/>
                      <w:color w:val="auto"/>
                      <w:sz w:val="21"/>
                      <w:szCs w:val="21"/>
                      <w:lang w:val="en-US" w:eastAsia="zh-CN"/>
                    </w:rPr>
                    <w:t>1</w:t>
                  </w:r>
                </w:p>
              </w:tc>
              <w:tc>
                <w:tcPr>
                  <w:tcW w:w="690" w:type="dxa"/>
                  <w:tcBorders>
                    <w:bottom w:val="single" w:color="auto" w:sz="4" w:space="0"/>
                  </w:tcBorders>
                  <w:noWrap w:val="0"/>
                  <w:vAlign w:val="center"/>
                </w:tcPr>
                <w:p w14:paraId="5D092111">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720" w:type="dxa"/>
                  <w:tcBorders>
                    <w:bottom w:val="single" w:color="auto" w:sz="4" w:space="0"/>
                  </w:tcBorders>
                  <w:noWrap w:val="0"/>
                  <w:vAlign w:val="center"/>
                </w:tcPr>
                <w:p w14:paraId="65BBE189">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tcBorders>
                    <w:bottom w:val="single" w:color="auto" w:sz="4" w:space="0"/>
                  </w:tcBorders>
                  <w:noWrap w:val="0"/>
                  <w:vAlign w:val="center"/>
                </w:tcPr>
                <w:p w14:paraId="73DE54C2">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ar-SA"/>
                    </w:rPr>
                  </w:pPr>
                  <w:r>
                    <w:rPr>
                      <w:rFonts w:hint="eastAsia" w:cs="Times New Roman"/>
                      <w:b w:val="0"/>
                      <w:color w:val="auto"/>
                      <w:kern w:val="0"/>
                      <w:sz w:val="21"/>
                      <w:szCs w:val="21"/>
                      <w:lang w:val="en-US" w:eastAsia="zh-CN" w:bidi="ar-SA"/>
                    </w:rPr>
                    <w:t>/</w:t>
                  </w:r>
                </w:p>
              </w:tc>
              <w:tc>
                <w:tcPr>
                  <w:tcW w:w="1366" w:type="dxa"/>
                  <w:tcBorders>
                    <w:bottom w:val="single" w:color="auto" w:sz="4" w:space="0"/>
                    <w:right w:val="single" w:color="auto" w:sz="4" w:space="0"/>
                  </w:tcBorders>
                  <w:noWrap w:val="0"/>
                  <w:vAlign w:val="center"/>
                </w:tcPr>
                <w:p w14:paraId="48164A35">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r w14:paraId="48FCCB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jc w:val="center"/>
              </w:trPr>
              <w:tc>
                <w:tcPr>
                  <w:tcW w:w="8101" w:type="dxa"/>
                  <w:gridSpan w:val="9"/>
                  <w:tcBorders>
                    <w:top w:val="single" w:color="auto" w:sz="4" w:space="0"/>
                    <w:left w:val="single" w:color="auto" w:sz="4" w:space="0"/>
                    <w:bottom w:val="single" w:color="auto" w:sz="4" w:space="0"/>
                    <w:right w:val="single" w:color="auto" w:sz="4" w:space="0"/>
                  </w:tcBorders>
                  <w:noWrap w:val="0"/>
                  <w:vAlign w:val="center"/>
                </w:tcPr>
                <w:p w14:paraId="624A8A9E">
                  <w:pPr>
                    <w:spacing w:line="240" w:lineRule="exact"/>
                    <w:jc w:val="center"/>
                    <w:rPr>
                      <w:rFonts w:ascii="Times New Roman" w:hAnsi="Times New Roman" w:eastAsia="宋体" w:cs="Times New Roman"/>
                      <w:b w:val="0"/>
                      <w:color w:val="auto"/>
                      <w:sz w:val="21"/>
                      <w:szCs w:val="21"/>
                    </w:rPr>
                  </w:pPr>
                  <w:r>
                    <w:rPr>
                      <w:rFonts w:hint="eastAsia" w:cs="Times New Roman"/>
                      <w:b w:val="0"/>
                      <w:color w:val="auto"/>
                      <w:sz w:val="21"/>
                      <w:szCs w:val="21"/>
                      <w:lang w:eastAsia="zh-CN"/>
                    </w:rPr>
                    <w:t>四、</w:t>
                  </w:r>
                  <w:r>
                    <w:rPr>
                      <w:rFonts w:hint="eastAsia" w:ascii="Times New Roman" w:hAnsi="Times New Roman" w:eastAsia="宋体" w:cs="Times New Roman"/>
                      <w:b w:val="0"/>
                      <w:color w:val="auto"/>
                      <w:sz w:val="21"/>
                      <w:szCs w:val="21"/>
                    </w:rPr>
                    <w:t>空冷器</w:t>
                  </w:r>
                </w:p>
              </w:tc>
            </w:tr>
            <w:tr w14:paraId="7BACFD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top w:val="single" w:color="auto" w:sz="4" w:space="0"/>
                    <w:left w:val="single" w:color="auto" w:sz="4" w:space="0"/>
                  </w:tcBorders>
                  <w:noWrap w:val="0"/>
                  <w:vAlign w:val="center"/>
                </w:tcPr>
                <w:p w14:paraId="5A256006">
                  <w:pPr>
                    <w:spacing w:line="240" w:lineRule="exact"/>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1</w:t>
                  </w:r>
                </w:p>
              </w:tc>
              <w:tc>
                <w:tcPr>
                  <w:tcW w:w="630" w:type="dxa"/>
                  <w:tcBorders>
                    <w:top w:val="single" w:color="auto" w:sz="4" w:space="0"/>
                  </w:tcBorders>
                  <w:noWrap w:val="0"/>
                  <w:vAlign w:val="center"/>
                </w:tcPr>
                <w:p w14:paraId="049FF0BA">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C6+轻质油空冷器</w:t>
                  </w:r>
                </w:p>
              </w:tc>
              <w:tc>
                <w:tcPr>
                  <w:tcW w:w="1665" w:type="dxa"/>
                  <w:tcBorders>
                    <w:top w:val="single" w:color="auto" w:sz="4" w:space="0"/>
                  </w:tcBorders>
                  <w:noWrap w:val="0"/>
                  <w:vAlign w:val="center"/>
                </w:tcPr>
                <w:p w14:paraId="44A1CF90">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GP9X2-4-84-2.5S-23.4/KL-IVa</w:t>
                  </w:r>
                </w:p>
              </w:tc>
              <w:tc>
                <w:tcPr>
                  <w:tcW w:w="630" w:type="dxa"/>
                  <w:tcBorders>
                    <w:top w:val="single" w:color="auto" w:sz="4" w:space="0"/>
                  </w:tcBorders>
                  <w:noWrap w:val="0"/>
                  <w:vAlign w:val="center"/>
                </w:tcPr>
                <w:p w14:paraId="1CD942B3">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台</w:t>
                  </w:r>
                </w:p>
              </w:tc>
              <w:tc>
                <w:tcPr>
                  <w:tcW w:w="675" w:type="dxa"/>
                  <w:tcBorders>
                    <w:top w:val="single" w:color="auto" w:sz="4" w:space="0"/>
                  </w:tcBorders>
                  <w:noWrap w:val="0"/>
                  <w:vAlign w:val="center"/>
                </w:tcPr>
                <w:p w14:paraId="020E6584">
                  <w:pPr>
                    <w:spacing w:line="240" w:lineRule="exact"/>
                    <w:jc w:val="center"/>
                    <w:rPr>
                      <w:rFonts w:hint="eastAsia"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tcBorders>
                    <w:top w:val="single" w:color="auto" w:sz="4" w:space="0"/>
                  </w:tcBorders>
                  <w:noWrap w:val="0"/>
                  <w:vAlign w:val="center"/>
                </w:tcPr>
                <w:p w14:paraId="5EF6F892">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进口125</w:t>
                  </w:r>
                </w:p>
                <w:p w14:paraId="5387B849">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出口50</w:t>
                  </w:r>
                </w:p>
              </w:tc>
              <w:tc>
                <w:tcPr>
                  <w:tcW w:w="720" w:type="dxa"/>
                  <w:tcBorders>
                    <w:top w:val="single" w:color="auto" w:sz="4" w:space="0"/>
                  </w:tcBorders>
                  <w:noWrap w:val="0"/>
                  <w:vAlign w:val="center"/>
                </w:tcPr>
                <w:p w14:paraId="1A807F3A">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1</w:t>
                  </w:r>
                </w:p>
              </w:tc>
              <w:tc>
                <w:tcPr>
                  <w:tcW w:w="1304" w:type="dxa"/>
                  <w:tcBorders>
                    <w:top w:val="single" w:color="auto" w:sz="4" w:space="0"/>
                  </w:tcBorders>
                  <w:noWrap w:val="0"/>
                  <w:vAlign w:val="center"/>
                </w:tcPr>
                <w:p w14:paraId="38DB1458">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C6+烷烯烃、少量有机醇、醛、酸等</w:t>
                  </w:r>
                  <w:r>
                    <w:rPr>
                      <w:rFonts w:hint="eastAsia" w:cs="Times New Roman"/>
                      <w:b w:val="0"/>
                      <w:color w:val="auto"/>
                      <w:sz w:val="21"/>
                      <w:szCs w:val="21"/>
                      <w:lang w:val="en-US" w:eastAsia="zh-CN"/>
                    </w:rPr>
                    <w:t>。</w:t>
                  </w:r>
                </w:p>
              </w:tc>
              <w:tc>
                <w:tcPr>
                  <w:tcW w:w="1366" w:type="dxa"/>
                  <w:tcBorders>
                    <w:top w:val="single" w:color="auto" w:sz="4" w:space="0"/>
                    <w:right w:val="single" w:color="auto" w:sz="4" w:space="0"/>
                  </w:tcBorders>
                  <w:noWrap w:val="0"/>
                  <w:vAlign w:val="center"/>
                </w:tcPr>
                <w:p w14:paraId="421A400E">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原乙二醇空冷器</w:t>
                  </w:r>
                </w:p>
              </w:tc>
            </w:tr>
            <w:tr w14:paraId="3501B0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23F7B2CB">
                  <w:pPr>
                    <w:spacing w:line="240" w:lineRule="exact"/>
                    <w:jc w:val="center"/>
                    <w:rPr>
                      <w:rFonts w:ascii="Times New Roman" w:hAnsi="Times New Roman" w:eastAsia="宋体" w:cs="Times New Roman"/>
                      <w:b w:val="0"/>
                      <w:color w:val="auto"/>
                      <w:sz w:val="21"/>
                      <w:szCs w:val="21"/>
                    </w:rPr>
                  </w:pPr>
                  <w:r>
                    <w:rPr>
                      <w:rFonts w:ascii="Times New Roman" w:hAnsi="Times New Roman" w:eastAsia="宋体" w:cs="Times New Roman"/>
                      <w:b w:val="0"/>
                      <w:color w:val="auto"/>
                      <w:sz w:val="21"/>
                      <w:szCs w:val="21"/>
                    </w:rPr>
                    <w:t>2</w:t>
                  </w:r>
                </w:p>
              </w:tc>
              <w:tc>
                <w:tcPr>
                  <w:tcW w:w="630" w:type="dxa"/>
                  <w:noWrap w:val="0"/>
                  <w:vAlign w:val="center"/>
                </w:tcPr>
                <w:p w14:paraId="43CBEB5D">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脱重塔顶空冷器</w:t>
                  </w:r>
                </w:p>
              </w:tc>
              <w:tc>
                <w:tcPr>
                  <w:tcW w:w="1665" w:type="dxa"/>
                  <w:noWrap w:val="0"/>
                  <w:vAlign w:val="center"/>
                </w:tcPr>
                <w:p w14:paraId="3C9BD858">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GP9X2.5-6-160-2.5S-23.4/KL-IVa</w:t>
                  </w:r>
                </w:p>
              </w:tc>
              <w:tc>
                <w:tcPr>
                  <w:tcW w:w="630" w:type="dxa"/>
                  <w:noWrap w:val="0"/>
                  <w:vAlign w:val="center"/>
                </w:tcPr>
                <w:p w14:paraId="0EAD4234">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台</w:t>
                  </w:r>
                </w:p>
              </w:tc>
              <w:tc>
                <w:tcPr>
                  <w:tcW w:w="675" w:type="dxa"/>
                  <w:noWrap w:val="0"/>
                  <w:vAlign w:val="center"/>
                </w:tcPr>
                <w:p w14:paraId="35E5734D">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1F8AF5B9">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进口65.7出口50</w:t>
                  </w:r>
                </w:p>
              </w:tc>
              <w:tc>
                <w:tcPr>
                  <w:tcW w:w="720" w:type="dxa"/>
                  <w:noWrap w:val="0"/>
                  <w:vAlign w:val="center"/>
                </w:tcPr>
                <w:p w14:paraId="5FE1BF3E">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0.24</w:t>
                  </w:r>
                </w:p>
              </w:tc>
              <w:tc>
                <w:tcPr>
                  <w:tcW w:w="1304" w:type="dxa"/>
                  <w:noWrap w:val="0"/>
                  <w:vAlign w:val="center"/>
                </w:tcPr>
                <w:p w14:paraId="6CC9C8D7">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C4、C5烷烯烃、少量有机醇、醛、酸等</w:t>
                  </w:r>
                  <w:r>
                    <w:rPr>
                      <w:rFonts w:hint="eastAsia" w:cs="Times New Roman"/>
                      <w:b w:val="0"/>
                      <w:color w:val="auto"/>
                      <w:sz w:val="21"/>
                      <w:szCs w:val="21"/>
                      <w:lang w:val="en-US" w:eastAsia="zh-CN"/>
                    </w:rPr>
                    <w:t>。</w:t>
                  </w:r>
                </w:p>
              </w:tc>
              <w:tc>
                <w:tcPr>
                  <w:tcW w:w="1366" w:type="dxa"/>
                  <w:tcBorders>
                    <w:right w:val="single" w:color="auto" w:sz="4" w:space="0"/>
                  </w:tcBorders>
                  <w:noWrap w:val="0"/>
                  <w:vAlign w:val="center"/>
                </w:tcPr>
                <w:p w14:paraId="0A5B5C1A">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原顶回流空冷器</w:t>
                  </w:r>
                </w:p>
              </w:tc>
            </w:tr>
            <w:tr w14:paraId="421434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8101" w:type="dxa"/>
                  <w:gridSpan w:val="9"/>
                  <w:tcBorders>
                    <w:left w:val="single" w:color="auto" w:sz="4" w:space="0"/>
                    <w:right w:val="single" w:color="auto" w:sz="4" w:space="0"/>
                  </w:tcBorders>
                  <w:noWrap w:val="0"/>
                  <w:vAlign w:val="center"/>
                </w:tcPr>
                <w:p w14:paraId="5BE61E71">
                  <w:pPr>
                    <w:spacing w:line="240" w:lineRule="exact"/>
                    <w:jc w:val="center"/>
                    <w:rPr>
                      <w:rFonts w:ascii="Times New Roman" w:hAnsi="Times New Roman" w:eastAsia="宋体" w:cs="Times New Roman"/>
                      <w:b w:val="0"/>
                      <w:color w:val="auto"/>
                      <w:sz w:val="21"/>
                      <w:szCs w:val="21"/>
                    </w:rPr>
                  </w:pPr>
                  <w:r>
                    <w:rPr>
                      <w:rFonts w:hint="eastAsia" w:cs="Times New Roman"/>
                      <w:b w:val="0"/>
                      <w:color w:val="auto"/>
                      <w:sz w:val="21"/>
                      <w:szCs w:val="21"/>
                      <w:lang w:eastAsia="zh-CN"/>
                    </w:rPr>
                    <w:t>五、</w:t>
                  </w:r>
                  <w:r>
                    <w:rPr>
                      <w:rFonts w:hint="eastAsia" w:ascii="Times New Roman" w:hAnsi="Times New Roman" w:eastAsia="宋体" w:cs="Times New Roman"/>
                      <w:b w:val="0"/>
                      <w:color w:val="auto"/>
                      <w:sz w:val="21"/>
                      <w:szCs w:val="21"/>
                    </w:rPr>
                    <w:t>机泵类</w:t>
                  </w:r>
                </w:p>
              </w:tc>
            </w:tr>
            <w:tr w14:paraId="2DCFB7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3C2114FD">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rPr>
                    <w:t>1</w:t>
                  </w:r>
                </w:p>
              </w:tc>
              <w:tc>
                <w:tcPr>
                  <w:tcW w:w="630" w:type="dxa"/>
                  <w:noWrap w:val="0"/>
                  <w:vAlign w:val="center"/>
                </w:tcPr>
                <w:p w14:paraId="3E22B3BC">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脱重塔顶回流泵</w:t>
                  </w:r>
                </w:p>
              </w:tc>
              <w:tc>
                <w:tcPr>
                  <w:tcW w:w="1665" w:type="dxa"/>
                  <w:noWrap w:val="0"/>
                  <w:vAlign w:val="center"/>
                </w:tcPr>
                <w:p w14:paraId="14E4E445">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12.7</w:t>
                  </w:r>
                  <w:r>
                    <w:rPr>
                      <w:rFonts w:ascii="Times New Roman" w:hAnsi="Times New Roman" w:eastAsia="宋体" w:cs="Times New Roman"/>
                      <w:b w:val="0"/>
                      <w:bCs/>
                      <w:color w:val="auto"/>
                      <w:sz w:val="21"/>
                      <w:szCs w:val="21"/>
                    </w:rPr>
                    <w:t>m</w:t>
                  </w:r>
                  <w:r>
                    <w:rPr>
                      <w:rFonts w:ascii="Times New Roman" w:hAnsi="Times New Roman" w:eastAsia="宋体" w:cs="Times New Roman"/>
                      <w:b w:val="0"/>
                      <w:bCs/>
                      <w:color w:val="auto"/>
                      <w:sz w:val="21"/>
                      <w:szCs w:val="21"/>
                      <w:vertAlign w:val="superscript"/>
                    </w:rPr>
                    <w:t>3</w:t>
                  </w:r>
                  <w:r>
                    <w:rPr>
                      <w:rFonts w:ascii="Times New Roman" w:hAnsi="Times New Roman" w:eastAsia="宋体" w:cs="Times New Roman"/>
                      <w:b w:val="0"/>
                      <w:bCs/>
                      <w:color w:val="auto"/>
                      <w:sz w:val="21"/>
                      <w:szCs w:val="21"/>
                    </w:rPr>
                    <w:t>/h</w:t>
                  </w:r>
                </w:p>
              </w:tc>
              <w:tc>
                <w:tcPr>
                  <w:tcW w:w="630" w:type="dxa"/>
                  <w:noWrap w:val="0"/>
                  <w:vAlign w:val="center"/>
                </w:tcPr>
                <w:p w14:paraId="103E968B">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rPr>
                    <w:t>台</w:t>
                  </w:r>
                </w:p>
              </w:tc>
              <w:tc>
                <w:tcPr>
                  <w:tcW w:w="675" w:type="dxa"/>
                  <w:noWrap w:val="0"/>
                  <w:vAlign w:val="center"/>
                </w:tcPr>
                <w:p w14:paraId="0B9A327E">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rPr>
                    <w:t>2</w:t>
                  </w:r>
                </w:p>
              </w:tc>
              <w:tc>
                <w:tcPr>
                  <w:tcW w:w="690" w:type="dxa"/>
                  <w:noWrap w:val="0"/>
                  <w:vAlign w:val="center"/>
                </w:tcPr>
                <w:p w14:paraId="694B4FBB">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720" w:type="dxa"/>
                  <w:noWrap w:val="0"/>
                  <w:vAlign w:val="top"/>
                </w:tcPr>
                <w:p w14:paraId="39F41071">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noWrap w:val="0"/>
                  <w:vAlign w:val="center"/>
                </w:tcPr>
                <w:p w14:paraId="592BC8BB">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C4~C5烷烯烃、少量有机醇、醛、酸等</w:t>
                  </w:r>
                  <w:r>
                    <w:rPr>
                      <w:rFonts w:hint="eastAsia" w:cs="Times New Roman"/>
                      <w:b w:val="0"/>
                      <w:color w:val="auto"/>
                      <w:sz w:val="21"/>
                      <w:szCs w:val="21"/>
                      <w:lang w:val="en-US" w:eastAsia="zh-CN"/>
                    </w:rPr>
                    <w:t>。</w:t>
                  </w:r>
                </w:p>
              </w:tc>
              <w:tc>
                <w:tcPr>
                  <w:tcW w:w="1366" w:type="dxa"/>
                  <w:tcBorders>
                    <w:right w:val="single" w:color="auto" w:sz="4" w:space="0"/>
                  </w:tcBorders>
                  <w:noWrap w:val="0"/>
                  <w:vAlign w:val="center"/>
                </w:tcPr>
                <w:p w14:paraId="58B5880F">
                  <w:pPr>
                    <w:widowControl w:val="0"/>
                    <w:adjustRightInd w:val="0"/>
                    <w:snapToGrid w:val="0"/>
                    <w:jc w:val="center"/>
                    <w:rPr>
                      <w:rFonts w:hint="default"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kern w:val="0"/>
                      <w:sz w:val="21"/>
                      <w:szCs w:val="21"/>
                      <w:lang w:val="en-US" w:eastAsia="zh-CN" w:bidi="ar-SA"/>
                    </w:rPr>
                    <w:t>依托</w:t>
                  </w:r>
                </w:p>
              </w:tc>
            </w:tr>
            <w:tr w14:paraId="74B0AF6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31E12AAF">
                  <w:pPr>
                    <w:spacing w:line="240" w:lineRule="exact"/>
                    <w:jc w:val="center"/>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lang w:val="en-US" w:eastAsia="zh-CN"/>
                    </w:rPr>
                    <w:t>2</w:t>
                  </w:r>
                </w:p>
              </w:tc>
              <w:tc>
                <w:tcPr>
                  <w:tcW w:w="630" w:type="dxa"/>
                  <w:noWrap w:val="0"/>
                  <w:vAlign w:val="center"/>
                </w:tcPr>
                <w:p w14:paraId="57AC0706">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水洗水泵</w:t>
                  </w:r>
                </w:p>
              </w:tc>
              <w:tc>
                <w:tcPr>
                  <w:tcW w:w="1665" w:type="dxa"/>
                  <w:noWrap w:val="0"/>
                  <w:vAlign w:val="center"/>
                </w:tcPr>
                <w:p w14:paraId="35224A42">
                  <w:pPr>
                    <w:spacing w:line="240" w:lineRule="exact"/>
                    <w:jc w:val="center"/>
                    <w:rPr>
                      <w:rFonts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lang w:val="en-US" w:eastAsia="zh-CN"/>
                    </w:rPr>
                    <w:t>27500-P71</w:t>
                  </w:r>
                  <w:r>
                    <w:rPr>
                      <w:rFonts w:hint="eastAsia" w:ascii="Times New Roman" w:hAnsi="Times New Roman" w:eastAsia="宋体" w:cs="Times New Roman"/>
                      <w:b w:val="0"/>
                      <w:color w:val="auto"/>
                      <w:sz w:val="21"/>
                      <w:szCs w:val="21"/>
                      <w:lang w:val="en-US" w:eastAsia="zh-CN"/>
                    </w:rPr>
                    <w:t>3</w:t>
                  </w:r>
                  <w:r>
                    <w:rPr>
                      <w:rFonts w:hint="default" w:ascii="Times New Roman" w:hAnsi="Times New Roman" w:eastAsia="宋体" w:cs="Times New Roman"/>
                      <w:b w:val="0"/>
                      <w:color w:val="auto"/>
                      <w:sz w:val="21"/>
                      <w:szCs w:val="21"/>
                      <w:lang w:val="en-US" w:eastAsia="zh-CN"/>
                    </w:rPr>
                    <w:t>A/B</w:t>
                  </w:r>
                </w:p>
              </w:tc>
              <w:tc>
                <w:tcPr>
                  <w:tcW w:w="630" w:type="dxa"/>
                  <w:noWrap w:val="0"/>
                  <w:vAlign w:val="center"/>
                </w:tcPr>
                <w:p w14:paraId="13B0422E">
                  <w:pPr>
                    <w:spacing w:line="240" w:lineRule="exact"/>
                    <w:jc w:val="center"/>
                    <w:rPr>
                      <w:rFonts w:ascii="Times New Roman" w:hAnsi="Times New Roman" w:eastAsia="宋体" w:cs="Times New Roman"/>
                      <w:b w:val="0"/>
                      <w:color w:val="auto"/>
                      <w:sz w:val="21"/>
                      <w:szCs w:val="21"/>
                    </w:rPr>
                  </w:pPr>
                  <w:r>
                    <w:rPr>
                      <w:rFonts w:hint="eastAsia"/>
                      <w:color w:val="auto"/>
                      <w:sz w:val="21"/>
                      <w:szCs w:val="21"/>
                      <w:lang w:val="en-US" w:eastAsia="zh-CN"/>
                    </w:rPr>
                    <w:t>台</w:t>
                  </w:r>
                </w:p>
              </w:tc>
              <w:tc>
                <w:tcPr>
                  <w:tcW w:w="675" w:type="dxa"/>
                  <w:noWrap w:val="0"/>
                  <w:vAlign w:val="center"/>
                </w:tcPr>
                <w:p w14:paraId="34844253">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03F2C22D">
                  <w:pPr>
                    <w:widowControl w:val="0"/>
                    <w:adjustRightInd w:val="0"/>
                    <w:snapToGrid w:val="0"/>
                    <w:jc w:val="center"/>
                    <w:rPr>
                      <w:rFonts w:hint="eastAsia"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泵壳温度150，介质40</w:t>
                  </w:r>
                </w:p>
              </w:tc>
              <w:tc>
                <w:tcPr>
                  <w:tcW w:w="720" w:type="dxa"/>
                  <w:noWrap w:val="0"/>
                  <w:vAlign w:val="top"/>
                </w:tcPr>
                <w:p w14:paraId="0987730A">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noWrap w:val="0"/>
                  <w:vAlign w:val="center"/>
                </w:tcPr>
                <w:p w14:paraId="5A049EDF">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含油污水、少量NaOH、羧酸钠</w:t>
                  </w:r>
                  <w:r>
                    <w:rPr>
                      <w:rFonts w:hint="eastAsia" w:cs="Times New Roman"/>
                      <w:b w:val="0"/>
                      <w:color w:val="auto"/>
                      <w:sz w:val="21"/>
                      <w:szCs w:val="21"/>
                      <w:lang w:val="en-US" w:eastAsia="zh-CN"/>
                    </w:rPr>
                    <w:t>。</w:t>
                  </w:r>
                </w:p>
              </w:tc>
              <w:tc>
                <w:tcPr>
                  <w:tcW w:w="1366" w:type="dxa"/>
                  <w:tcBorders>
                    <w:right w:val="single" w:color="auto" w:sz="4" w:space="0"/>
                  </w:tcBorders>
                  <w:noWrap w:val="0"/>
                  <w:vAlign w:val="center"/>
                </w:tcPr>
                <w:p w14:paraId="51843323">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r w14:paraId="767606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16205074">
                  <w:pPr>
                    <w:spacing w:line="240" w:lineRule="exact"/>
                    <w:jc w:val="center"/>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lang w:val="en-US" w:eastAsia="zh-CN"/>
                    </w:rPr>
                    <w:t>3</w:t>
                  </w:r>
                </w:p>
              </w:tc>
              <w:tc>
                <w:tcPr>
                  <w:tcW w:w="630" w:type="dxa"/>
                  <w:noWrap w:val="0"/>
                  <w:vAlign w:val="center"/>
                </w:tcPr>
                <w:p w14:paraId="26E8AE7C">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水洗泵</w:t>
                  </w:r>
                </w:p>
              </w:tc>
              <w:tc>
                <w:tcPr>
                  <w:tcW w:w="1665" w:type="dxa"/>
                  <w:noWrap w:val="0"/>
                  <w:vAlign w:val="center"/>
                </w:tcPr>
                <w:p w14:paraId="69DC1587">
                  <w:pPr>
                    <w:spacing w:line="240" w:lineRule="exact"/>
                    <w:jc w:val="center"/>
                    <w:rPr>
                      <w:rFonts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lang w:val="en-US" w:eastAsia="zh-CN"/>
                    </w:rPr>
                    <w:t>27500-P714A/B</w:t>
                  </w:r>
                </w:p>
              </w:tc>
              <w:tc>
                <w:tcPr>
                  <w:tcW w:w="630" w:type="dxa"/>
                  <w:noWrap w:val="0"/>
                  <w:vAlign w:val="center"/>
                </w:tcPr>
                <w:p w14:paraId="4778CEC3">
                  <w:pPr>
                    <w:spacing w:line="240" w:lineRule="exact"/>
                    <w:jc w:val="center"/>
                    <w:rPr>
                      <w:rFonts w:ascii="Times New Roman" w:hAnsi="Times New Roman" w:eastAsia="宋体" w:cs="Times New Roman"/>
                      <w:b w:val="0"/>
                      <w:color w:val="auto"/>
                      <w:sz w:val="21"/>
                      <w:szCs w:val="21"/>
                    </w:rPr>
                  </w:pPr>
                  <w:r>
                    <w:rPr>
                      <w:rFonts w:hint="eastAsia"/>
                      <w:color w:val="auto"/>
                      <w:sz w:val="21"/>
                      <w:szCs w:val="21"/>
                      <w:lang w:val="en-US" w:eastAsia="zh-CN"/>
                    </w:rPr>
                    <w:t>台</w:t>
                  </w:r>
                </w:p>
              </w:tc>
              <w:tc>
                <w:tcPr>
                  <w:tcW w:w="675" w:type="dxa"/>
                  <w:noWrap w:val="0"/>
                  <w:vAlign w:val="center"/>
                </w:tcPr>
                <w:p w14:paraId="7AE51EB7">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017F4DC5">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720" w:type="dxa"/>
                  <w:noWrap w:val="0"/>
                  <w:vAlign w:val="center"/>
                </w:tcPr>
                <w:p w14:paraId="608F2476">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noWrap w:val="0"/>
                  <w:vAlign w:val="center"/>
                </w:tcPr>
                <w:p w14:paraId="1691527B">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default" w:ascii="Times New Roman" w:hAnsi="Times New Roman" w:eastAsia="宋体" w:cs="Times New Roman"/>
                      <w:b w:val="0"/>
                      <w:color w:val="auto"/>
                      <w:sz w:val="21"/>
                      <w:szCs w:val="21"/>
                      <w:lang w:val="en-US" w:eastAsia="zh-CN"/>
                    </w:rPr>
                    <w:t>C4~C5烷烯烃，少量有机醇、酸、醛</w:t>
                  </w:r>
                  <w:r>
                    <w:rPr>
                      <w:rFonts w:hint="eastAsia" w:cs="Times New Roman"/>
                      <w:b w:val="0"/>
                      <w:color w:val="auto"/>
                      <w:sz w:val="21"/>
                      <w:szCs w:val="21"/>
                      <w:lang w:val="en-US" w:eastAsia="zh-CN"/>
                    </w:rPr>
                    <w:t>。</w:t>
                  </w:r>
                </w:p>
              </w:tc>
              <w:tc>
                <w:tcPr>
                  <w:tcW w:w="1366" w:type="dxa"/>
                  <w:tcBorders>
                    <w:right w:val="single" w:color="auto" w:sz="4" w:space="0"/>
                  </w:tcBorders>
                  <w:noWrap w:val="0"/>
                  <w:vAlign w:val="center"/>
                </w:tcPr>
                <w:p w14:paraId="1B649E79">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r w14:paraId="513BB2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5C482407">
                  <w:pPr>
                    <w:spacing w:line="240" w:lineRule="exact"/>
                    <w:jc w:val="center"/>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lang w:val="en-US" w:eastAsia="zh-CN"/>
                    </w:rPr>
                    <w:t>4</w:t>
                  </w:r>
                </w:p>
              </w:tc>
              <w:tc>
                <w:tcPr>
                  <w:tcW w:w="630" w:type="dxa"/>
                  <w:noWrap w:val="0"/>
                  <w:vAlign w:val="center"/>
                </w:tcPr>
                <w:p w14:paraId="14EC5AD9">
                  <w:pPr>
                    <w:spacing w:line="240" w:lineRule="exact"/>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脱重塔底泵</w:t>
                  </w:r>
                </w:p>
              </w:tc>
              <w:tc>
                <w:tcPr>
                  <w:tcW w:w="1665" w:type="dxa"/>
                  <w:noWrap w:val="0"/>
                  <w:vAlign w:val="center"/>
                </w:tcPr>
                <w:p w14:paraId="38B50563">
                  <w:pPr>
                    <w:spacing w:line="240" w:lineRule="exact"/>
                    <w:jc w:val="center"/>
                    <w:rPr>
                      <w:rFonts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lang w:val="en-US" w:eastAsia="zh-CN"/>
                    </w:rPr>
                    <w:t>27500-P714A/B</w:t>
                  </w:r>
                </w:p>
              </w:tc>
              <w:tc>
                <w:tcPr>
                  <w:tcW w:w="630" w:type="dxa"/>
                  <w:noWrap w:val="0"/>
                  <w:vAlign w:val="center"/>
                </w:tcPr>
                <w:p w14:paraId="4B061A86">
                  <w:pPr>
                    <w:spacing w:line="240" w:lineRule="exact"/>
                    <w:jc w:val="center"/>
                    <w:rPr>
                      <w:rFonts w:hint="eastAsia" w:ascii="Times New Roman" w:hAnsi="Times New Roman" w:eastAsia="宋体" w:cs="Times New Roman"/>
                      <w:b w:val="0"/>
                      <w:color w:val="auto"/>
                      <w:sz w:val="21"/>
                      <w:szCs w:val="21"/>
                      <w:lang w:val="en-US" w:eastAsia="zh-CN"/>
                    </w:rPr>
                  </w:pPr>
                  <w:r>
                    <w:rPr>
                      <w:rFonts w:hint="eastAsia"/>
                      <w:color w:val="auto"/>
                      <w:sz w:val="21"/>
                      <w:szCs w:val="21"/>
                      <w:lang w:val="en-US" w:eastAsia="zh-CN"/>
                    </w:rPr>
                    <w:t>台</w:t>
                  </w:r>
                </w:p>
              </w:tc>
              <w:tc>
                <w:tcPr>
                  <w:tcW w:w="675" w:type="dxa"/>
                  <w:noWrap w:val="0"/>
                  <w:vAlign w:val="center"/>
                </w:tcPr>
                <w:p w14:paraId="6E24C125">
                  <w:pPr>
                    <w:spacing w:line="240" w:lineRule="exact"/>
                    <w:jc w:val="center"/>
                    <w:rPr>
                      <w:rFonts w:hint="eastAsia"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1</w:t>
                  </w:r>
                </w:p>
              </w:tc>
              <w:tc>
                <w:tcPr>
                  <w:tcW w:w="690" w:type="dxa"/>
                  <w:noWrap w:val="0"/>
                  <w:vAlign w:val="center"/>
                </w:tcPr>
                <w:p w14:paraId="200C6928">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720" w:type="dxa"/>
                  <w:noWrap w:val="0"/>
                  <w:vAlign w:val="center"/>
                </w:tcPr>
                <w:p w14:paraId="2D25D36D">
                  <w:pPr>
                    <w:widowControl w:val="0"/>
                    <w:adjustRightInd w:val="0"/>
                    <w:snapToGrid w:val="0"/>
                    <w:jc w:val="center"/>
                    <w:rPr>
                      <w:rFonts w:hint="eastAsia" w:ascii="Times New Roman" w:hAnsi="Times New Roman" w:eastAsia="宋体" w:cs="Times New Roman"/>
                      <w:b w:val="0"/>
                      <w:color w:val="auto"/>
                      <w:sz w:val="21"/>
                      <w:szCs w:val="21"/>
                      <w:lang w:val="en-US" w:eastAsia="zh-CN"/>
                    </w:rPr>
                  </w:pPr>
                  <w:r>
                    <w:rPr>
                      <w:rFonts w:hint="eastAsia" w:cs="Times New Roman"/>
                      <w:b w:val="0"/>
                      <w:color w:val="auto"/>
                      <w:sz w:val="21"/>
                      <w:szCs w:val="21"/>
                      <w:lang w:val="en-US" w:eastAsia="zh-CN"/>
                    </w:rPr>
                    <w:t>/</w:t>
                  </w:r>
                </w:p>
              </w:tc>
              <w:tc>
                <w:tcPr>
                  <w:tcW w:w="1304" w:type="dxa"/>
                  <w:noWrap w:val="0"/>
                  <w:vAlign w:val="center"/>
                </w:tcPr>
                <w:p w14:paraId="145C7BA6">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C6及C6+组分</w:t>
                  </w:r>
                </w:p>
              </w:tc>
              <w:tc>
                <w:tcPr>
                  <w:tcW w:w="1366" w:type="dxa"/>
                  <w:tcBorders>
                    <w:right w:val="single" w:color="auto" w:sz="4" w:space="0"/>
                  </w:tcBorders>
                  <w:noWrap w:val="0"/>
                  <w:vAlign w:val="center"/>
                </w:tcPr>
                <w:p w14:paraId="6373395F">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r w14:paraId="27FC86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584CABC3">
                  <w:pPr>
                    <w:spacing w:line="240" w:lineRule="exact"/>
                    <w:jc w:val="center"/>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lang w:val="en-US" w:eastAsia="zh-CN"/>
                    </w:rPr>
                    <w:t>5</w:t>
                  </w:r>
                </w:p>
              </w:tc>
              <w:tc>
                <w:tcPr>
                  <w:tcW w:w="630" w:type="dxa"/>
                  <w:noWrap w:val="0"/>
                  <w:vAlign w:val="center"/>
                </w:tcPr>
                <w:p w14:paraId="25ED67E0">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C5烷烯烃产品泵</w:t>
                  </w:r>
                </w:p>
              </w:tc>
              <w:tc>
                <w:tcPr>
                  <w:tcW w:w="1665" w:type="dxa"/>
                  <w:noWrap w:val="0"/>
                  <w:vAlign w:val="center"/>
                </w:tcPr>
                <w:p w14:paraId="21F3FF85">
                  <w:pPr>
                    <w:spacing w:line="240" w:lineRule="exact"/>
                    <w:jc w:val="center"/>
                    <w:rPr>
                      <w:rFonts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lang w:val="en-US" w:eastAsia="zh-CN"/>
                    </w:rPr>
                    <w:t>27500-P708A/B</w:t>
                  </w:r>
                </w:p>
              </w:tc>
              <w:tc>
                <w:tcPr>
                  <w:tcW w:w="630" w:type="dxa"/>
                  <w:noWrap w:val="0"/>
                  <w:vAlign w:val="center"/>
                </w:tcPr>
                <w:p w14:paraId="21190235">
                  <w:pPr>
                    <w:spacing w:line="240" w:lineRule="exact"/>
                    <w:jc w:val="center"/>
                    <w:rPr>
                      <w:rFonts w:ascii="Times New Roman" w:hAnsi="Times New Roman" w:eastAsia="宋体" w:cs="Times New Roman"/>
                      <w:b w:val="0"/>
                      <w:color w:val="auto"/>
                      <w:sz w:val="21"/>
                      <w:szCs w:val="21"/>
                    </w:rPr>
                  </w:pPr>
                  <w:r>
                    <w:rPr>
                      <w:rFonts w:hint="eastAsia"/>
                      <w:color w:val="auto"/>
                      <w:sz w:val="21"/>
                      <w:szCs w:val="21"/>
                      <w:lang w:val="en-US" w:eastAsia="zh-CN"/>
                    </w:rPr>
                    <w:t>台</w:t>
                  </w:r>
                </w:p>
              </w:tc>
              <w:tc>
                <w:tcPr>
                  <w:tcW w:w="675" w:type="dxa"/>
                  <w:noWrap w:val="0"/>
                  <w:vAlign w:val="center"/>
                </w:tcPr>
                <w:p w14:paraId="2F0199CA">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shd w:val="clear" w:color="auto" w:fill="auto"/>
                  <w:noWrap w:val="0"/>
                  <w:vAlign w:val="center"/>
                </w:tcPr>
                <w:p w14:paraId="3C2CB60A">
                  <w:pPr>
                    <w:widowControl w:val="0"/>
                    <w:adjustRightInd w:val="0"/>
                    <w:snapToGrid w:val="0"/>
                    <w:jc w:val="center"/>
                    <w:rPr>
                      <w:rFonts w:hint="eastAsia" w:ascii="Times New Roman" w:hAnsi="Times New Roman" w:eastAsia="宋体" w:cs="Times New Roman"/>
                      <w:b w:val="0"/>
                      <w:color w:val="auto"/>
                      <w:kern w:val="2"/>
                      <w:sz w:val="21"/>
                      <w:szCs w:val="21"/>
                      <w:lang w:val="en-US" w:eastAsia="zh-CN" w:bidi="ar-SA"/>
                    </w:rPr>
                  </w:pPr>
                  <w:r>
                    <w:rPr>
                      <w:rFonts w:hint="eastAsia" w:cs="Times New Roman"/>
                      <w:b w:val="0"/>
                      <w:color w:val="auto"/>
                      <w:sz w:val="21"/>
                      <w:szCs w:val="21"/>
                      <w:lang w:val="en-US" w:eastAsia="zh-CN"/>
                    </w:rPr>
                    <w:t>/</w:t>
                  </w:r>
                </w:p>
              </w:tc>
              <w:tc>
                <w:tcPr>
                  <w:tcW w:w="720" w:type="dxa"/>
                  <w:shd w:val="clear" w:color="auto" w:fill="auto"/>
                  <w:noWrap w:val="0"/>
                  <w:vAlign w:val="center"/>
                </w:tcPr>
                <w:p w14:paraId="08DD5A7E">
                  <w:pPr>
                    <w:widowControl w:val="0"/>
                    <w:adjustRightInd w:val="0"/>
                    <w:snapToGrid w:val="0"/>
                    <w:jc w:val="center"/>
                    <w:rPr>
                      <w:rFonts w:hint="eastAsia" w:ascii="Times New Roman" w:hAnsi="Times New Roman" w:eastAsia="宋体" w:cs="Times New Roman"/>
                      <w:b w:val="0"/>
                      <w:color w:val="auto"/>
                      <w:kern w:val="2"/>
                      <w:sz w:val="21"/>
                      <w:szCs w:val="21"/>
                      <w:lang w:val="en-US" w:eastAsia="zh-CN" w:bidi="ar-SA"/>
                    </w:rPr>
                  </w:pPr>
                  <w:r>
                    <w:rPr>
                      <w:rFonts w:hint="eastAsia" w:cs="Times New Roman"/>
                      <w:b w:val="0"/>
                      <w:color w:val="auto"/>
                      <w:sz w:val="21"/>
                      <w:szCs w:val="21"/>
                      <w:lang w:val="en-US" w:eastAsia="zh-CN"/>
                    </w:rPr>
                    <w:t>/</w:t>
                  </w:r>
                </w:p>
              </w:tc>
              <w:tc>
                <w:tcPr>
                  <w:tcW w:w="1304" w:type="dxa"/>
                  <w:noWrap w:val="0"/>
                  <w:vAlign w:val="center"/>
                </w:tcPr>
                <w:p w14:paraId="49095B68">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C5烷烯烃</w:t>
                  </w:r>
                </w:p>
              </w:tc>
              <w:tc>
                <w:tcPr>
                  <w:tcW w:w="1366" w:type="dxa"/>
                  <w:tcBorders>
                    <w:right w:val="single" w:color="auto" w:sz="4" w:space="0"/>
                  </w:tcBorders>
                  <w:noWrap w:val="0"/>
                  <w:vAlign w:val="center"/>
                </w:tcPr>
                <w:p w14:paraId="6784EF25">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r w14:paraId="08E2EC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tcBorders>
                  <w:noWrap w:val="0"/>
                  <w:vAlign w:val="center"/>
                </w:tcPr>
                <w:p w14:paraId="01B43FC2">
                  <w:pPr>
                    <w:spacing w:line="240" w:lineRule="exact"/>
                    <w:jc w:val="center"/>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lang w:val="en-US" w:eastAsia="zh-CN"/>
                    </w:rPr>
                    <w:t>6</w:t>
                  </w:r>
                </w:p>
              </w:tc>
              <w:tc>
                <w:tcPr>
                  <w:tcW w:w="630" w:type="dxa"/>
                  <w:noWrap w:val="0"/>
                  <w:vAlign w:val="center"/>
                </w:tcPr>
                <w:p w14:paraId="40531212">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C5精馏塔顶回流泵</w:t>
                  </w:r>
                </w:p>
              </w:tc>
              <w:tc>
                <w:tcPr>
                  <w:tcW w:w="1665" w:type="dxa"/>
                  <w:noWrap w:val="0"/>
                  <w:vAlign w:val="center"/>
                </w:tcPr>
                <w:p w14:paraId="77D195DC">
                  <w:pPr>
                    <w:spacing w:line="240" w:lineRule="exact"/>
                    <w:jc w:val="center"/>
                    <w:rPr>
                      <w:rFonts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lang w:val="en-US" w:eastAsia="zh-CN"/>
                    </w:rPr>
                    <w:t>27500-P706A/B</w:t>
                  </w:r>
                </w:p>
              </w:tc>
              <w:tc>
                <w:tcPr>
                  <w:tcW w:w="630" w:type="dxa"/>
                  <w:noWrap w:val="0"/>
                  <w:vAlign w:val="center"/>
                </w:tcPr>
                <w:p w14:paraId="1168EAB1">
                  <w:pPr>
                    <w:spacing w:line="240" w:lineRule="exact"/>
                    <w:jc w:val="center"/>
                    <w:rPr>
                      <w:rFonts w:ascii="Times New Roman" w:hAnsi="Times New Roman" w:eastAsia="宋体" w:cs="Times New Roman"/>
                      <w:b w:val="0"/>
                      <w:color w:val="auto"/>
                      <w:sz w:val="21"/>
                      <w:szCs w:val="21"/>
                    </w:rPr>
                  </w:pPr>
                  <w:r>
                    <w:rPr>
                      <w:rFonts w:hint="eastAsia"/>
                      <w:color w:val="auto"/>
                      <w:sz w:val="21"/>
                      <w:szCs w:val="21"/>
                      <w:lang w:val="en-US" w:eastAsia="zh-CN"/>
                    </w:rPr>
                    <w:t>台</w:t>
                  </w:r>
                </w:p>
              </w:tc>
              <w:tc>
                <w:tcPr>
                  <w:tcW w:w="675" w:type="dxa"/>
                  <w:noWrap w:val="0"/>
                  <w:vAlign w:val="center"/>
                </w:tcPr>
                <w:p w14:paraId="3C781054">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shd w:val="clear" w:color="auto" w:fill="auto"/>
                  <w:noWrap w:val="0"/>
                  <w:vAlign w:val="center"/>
                </w:tcPr>
                <w:p w14:paraId="36F7751A">
                  <w:pPr>
                    <w:widowControl w:val="0"/>
                    <w:adjustRightInd w:val="0"/>
                    <w:snapToGrid w:val="0"/>
                    <w:jc w:val="center"/>
                    <w:rPr>
                      <w:rFonts w:hint="eastAsia" w:ascii="Times New Roman" w:hAnsi="Times New Roman" w:eastAsia="宋体" w:cs="Times New Roman"/>
                      <w:b w:val="0"/>
                      <w:color w:val="auto"/>
                      <w:kern w:val="2"/>
                      <w:sz w:val="21"/>
                      <w:szCs w:val="21"/>
                      <w:lang w:val="en-US" w:eastAsia="zh-CN" w:bidi="ar-SA"/>
                    </w:rPr>
                  </w:pPr>
                  <w:r>
                    <w:rPr>
                      <w:rFonts w:hint="eastAsia" w:cs="Times New Roman"/>
                      <w:b w:val="0"/>
                      <w:color w:val="auto"/>
                      <w:sz w:val="21"/>
                      <w:szCs w:val="21"/>
                      <w:lang w:val="en-US" w:eastAsia="zh-CN"/>
                    </w:rPr>
                    <w:t>/</w:t>
                  </w:r>
                </w:p>
              </w:tc>
              <w:tc>
                <w:tcPr>
                  <w:tcW w:w="720" w:type="dxa"/>
                  <w:shd w:val="clear" w:color="auto" w:fill="auto"/>
                  <w:noWrap w:val="0"/>
                  <w:vAlign w:val="center"/>
                </w:tcPr>
                <w:p w14:paraId="286FA99D">
                  <w:pPr>
                    <w:widowControl w:val="0"/>
                    <w:adjustRightInd w:val="0"/>
                    <w:snapToGrid w:val="0"/>
                    <w:jc w:val="center"/>
                    <w:rPr>
                      <w:rFonts w:hint="default" w:ascii="Times New Roman" w:hAnsi="Times New Roman" w:eastAsia="宋体" w:cs="Times New Roman"/>
                      <w:b w:val="0"/>
                      <w:color w:val="auto"/>
                      <w:kern w:val="2"/>
                      <w:sz w:val="21"/>
                      <w:szCs w:val="21"/>
                      <w:lang w:val="en-US" w:eastAsia="zh-CN" w:bidi="ar-SA"/>
                    </w:rPr>
                  </w:pPr>
                  <w:r>
                    <w:rPr>
                      <w:rFonts w:hint="eastAsia" w:cs="Times New Roman"/>
                      <w:b w:val="0"/>
                      <w:color w:val="auto"/>
                      <w:sz w:val="21"/>
                      <w:szCs w:val="21"/>
                      <w:lang w:val="en-US" w:eastAsia="zh-CN"/>
                    </w:rPr>
                    <w:t>/</w:t>
                  </w:r>
                </w:p>
              </w:tc>
              <w:tc>
                <w:tcPr>
                  <w:tcW w:w="1304" w:type="dxa"/>
                  <w:noWrap w:val="0"/>
                  <w:vAlign w:val="center"/>
                </w:tcPr>
                <w:p w14:paraId="208D15E7">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C4及C4-烷烯烃</w:t>
                  </w:r>
                </w:p>
              </w:tc>
              <w:tc>
                <w:tcPr>
                  <w:tcW w:w="1366" w:type="dxa"/>
                  <w:tcBorders>
                    <w:right w:val="single" w:color="auto" w:sz="4" w:space="0"/>
                  </w:tcBorders>
                  <w:noWrap w:val="0"/>
                  <w:vAlign w:val="center"/>
                </w:tcPr>
                <w:p w14:paraId="2C0EE046">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r w14:paraId="1876AF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421" w:type="dxa"/>
                  <w:tcBorders>
                    <w:left w:val="single" w:color="auto" w:sz="4" w:space="0"/>
                    <w:bottom w:val="single" w:color="auto" w:sz="4" w:space="0"/>
                  </w:tcBorders>
                  <w:noWrap w:val="0"/>
                  <w:vAlign w:val="center"/>
                </w:tcPr>
                <w:p w14:paraId="185DB447">
                  <w:pPr>
                    <w:spacing w:line="240" w:lineRule="exact"/>
                    <w:jc w:val="center"/>
                    <w:rPr>
                      <w:rFonts w:hint="eastAsia" w:ascii="Times New Roman" w:hAnsi="Times New Roman" w:eastAsia="宋体" w:cs="Times New Roman"/>
                      <w:b w:val="0"/>
                      <w:color w:val="auto"/>
                      <w:sz w:val="21"/>
                      <w:szCs w:val="21"/>
                      <w:lang w:eastAsia="zh-CN"/>
                    </w:rPr>
                  </w:pPr>
                  <w:r>
                    <w:rPr>
                      <w:rFonts w:hint="eastAsia" w:ascii="Times New Roman" w:hAnsi="Times New Roman" w:eastAsia="宋体" w:cs="Times New Roman"/>
                      <w:b w:val="0"/>
                      <w:color w:val="auto"/>
                      <w:sz w:val="21"/>
                      <w:szCs w:val="21"/>
                      <w:lang w:val="en-US" w:eastAsia="zh-CN"/>
                    </w:rPr>
                    <w:t>7</w:t>
                  </w:r>
                </w:p>
              </w:tc>
              <w:tc>
                <w:tcPr>
                  <w:tcW w:w="630" w:type="dxa"/>
                  <w:tcBorders>
                    <w:bottom w:val="single" w:color="auto" w:sz="4" w:space="0"/>
                  </w:tcBorders>
                  <w:noWrap w:val="0"/>
                  <w:vAlign w:val="center"/>
                </w:tcPr>
                <w:p w14:paraId="4E329865">
                  <w:pPr>
                    <w:spacing w:line="240" w:lineRule="exact"/>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脱重塔进料泵</w:t>
                  </w:r>
                </w:p>
              </w:tc>
              <w:tc>
                <w:tcPr>
                  <w:tcW w:w="1665" w:type="dxa"/>
                  <w:tcBorders>
                    <w:bottom w:val="single" w:color="auto" w:sz="4" w:space="0"/>
                  </w:tcBorders>
                  <w:noWrap w:val="0"/>
                  <w:vAlign w:val="center"/>
                </w:tcPr>
                <w:p w14:paraId="00E75764">
                  <w:pPr>
                    <w:spacing w:line="240" w:lineRule="exact"/>
                    <w:jc w:val="center"/>
                    <w:rPr>
                      <w:rFonts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lang w:val="en-US" w:eastAsia="zh-CN"/>
                    </w:rPr>
                    <w:t>27500-P701A/B</w:t>
                  </w:r>
                </w:p>
              </w:tc>
              <w:tc>
                <w:tcPr>
                  <w:tcW w:w="630" w:type="dxa"/>
                  <w:tcBorders>
                    <w:bottom w:val="single" w:color="auto" w:sz="4" w:space="0"/>
                  </w:tcBorders>
                  <w:noWrap w:val="0"/>
                  <w:vAlign w:val="center"/>
                </w:tcPr>
                <w:p w14:paraId="4D23779C">
                  <w:pPr>
                    <w:spacing w:line="240" w:lineRule="exact"/>
                    <w:jc w:val="center"/>
                    <w:rPr>
                      <w:rFonts w:ascii="Times New Roman" w:hAnsi="Times New Roman" w:eastAsia="宋体" w:cs="Times New Roman"/>
                      <w:b w:val="0"/>
                      <w:color w:val="auto"/>
                      <w:sz w:val="21"/>
                      <w:szCs w:val="21"/>
                    </w:rPr>
                  </w:pPr>
                  <w:r>
                    <w:rPr>
                      <w:rFonts w:hint="eastAsia"/>
                      <w:color w:val="auto"/>
                      <w:sz w:val="21"/>
                      <w:szCs w:val="21"/>
                      <w:lang w:val="en-US" w:eastAsia="zh-CN"/>
                    </w:rPr>
                    <w:t>台</w:t>
                  </w:r>
                </w:p>
              </w:tc>
              <w:tc>
                <w:tcPr>
                  <w:tcW w:w="675" w:type="dxa"/>
                  <w:tcBorders>
                    <w:bottom w:val="single" w:color="auto" w:sz="4" w:space="0"/>
                  </w:tcBorders>
                  <w:noWrap w:val="0"/>
                  <w:vAlign w:val="center"/>
                </w:tcPr>
                <w:p w14:paraId="229190BE">
                  <w:pPr>
                    <w:spacing w:line="240" w:lineRule="exact"/>
                    <w:jc w:val="center"/>
                    <w:rPr>
                      <w:rFonts w:ascii="Times New Roman" w:hAnsi="Times New Roman" w:eastAsia="宋体" w:cs="Times New Roman"/>
                      <w:b w:val="0"/>
                      <w:color w:val="auto"/>
                      <w:sz w:val="21"/>
                      <w:szCs w:val="21"/>
                    </w:rPr>
                  </w:pPr>
                  <w:r>
                    <w:rPr>
                      <w:rFonts w:hint="eastAsia" w:ascii="Times New Roman" w:hAnsi="Times New Roman" w:eastAsia="宋体" w:cs="Times New Roman"/>
                      <w:b w:val="0"/>
                      <w:color w:val="auto"/>
                      <w:sz w:val="21"/>
                      <w:szCs w:val="21"/>
                      <w:lang w:val="en-US" w:eastAsia="zh-CN"/>
                    </w:rPr>
                    <w:t>1</w:t>
                  </w:r>
                </w:p>
              </w:tc>
              <w:tc>
                <w:tcPr>
                  <w:tcW w:w="690" w:type="dxa"/>
                  <w:tcBorders>
                    <w:bottom w:val="single" w:color="auto" w:sz="4" w:space="0"/>
                  </w:tcBorders>
                  <w:shd w:val="clear" w:color="auto" w:fill="auto"/>
                  <w:noWrap w:val="0"/>
                  <w:vAlign w:val="center"/>
                </w:tcPr>
                <w:p w14:paraId="232F29BC">
                  <w:pPr>
                    <w:widowControl w:val="0"/>
                    <w:adjustRightInd w:val="0"/>
                    <w:snapToGrid w:val="0"/>
                    <w:jc w:val="center"/>
                    <w:rPr>
                      <w:rFonts w:hint="eastAsia" w:ascii="Times New Roman" w:hAnsi="Times New Roman" w:eastAsia="宋体" w:cs="Times New Roman"/>
                      <w:b w:val="0"/>
                      <w:color w:val="auto"/>
                      <w:kern w:val="2"/>
                      <w:sz w:val="21"/>
                      <w:szCs w:val="21"/>
                      <w:lang w:val="en-US" w:eastAsia="zh-CN" w:bidi="ar-SA"/>
                    </w:rPr>
                  </w:pPr>
                  <w:r>
                    <w:rPr>
                      <w:rFonts w:hint="eastAsia" w:cs="Times New Roman"/>
                      <w:b w:val="0"/>
                      <w:color w:val="auto"/>
                      <w:sz w:val="21"/>
                      <w:szCs w:val="21"/>
                      <w:lang w:val="en-US" w:eastAsia="zh-CN"/>
                    </w:rPr>
                    <w:t>/</w:t>
                  </w:r>
                </w:p>
              </w:tc>
              <w:tc>
                <w:tcPr>
                  <w:tcW w:w="720" w:type="dxa"/>
                  <w:tcBorders>
                    <w:bottom w:val="single" w:color="auto" w:sz="4" w:space="0"/>
                  </w:tcBorders>
                  <w:shd w:val="clear" w:color="auto" w:fill="auto"/>
                  <w:noWrap w:val="0"/>
                  <w:vAlign w:val="center"/>
                </w:tcPr>
                <w:p w14:paraId="5F28F9F3">
                  <w:pPr>
                    <w:widowControl w:val="0"/>
                    <w:adjustRightInd w:val="0"/>
                    <w:snapToGrid w:val="0"/>
                    <w:jc w:val="center"/>
                    <w:rPr>
                      <w:rFonts w:hint="eastAsia" w:ascii="Times New Roman" w:hAnsi="Times New Roman" w:eastAsia="宋体" w:cs="Times New Roman"/>
                      <w:b w:val="0"/>
                      <w:color w:val="auto"/>
                      <w:kern w:val="2"/>
                      <w:sz w:val="21"/>
                      <w:szCs w:val="21"/>
                      <w:lang w:val="en-US" w:eastAsia="zh-CN" w:bidi="ar-SA"/>
                    </w:rPr>
                  </w:pPr>
                  <w:r>
                    <w:rPr>
                      <w:rFonts w:hint="eastAsia" w:cs="Times New Roman"/>
                      <w:b w:val="0"/>
                      <w:color w:val="auto"/>
                      <w:sz w:val="21"/>
                      <w:szCs w:val="21"/>
                      <w:lang w:val="en-US" w:eastAsia="zh-CN"/>
                    </w:rPr>
                    <w:t>/</w:t>
                  </w:r>
                </w:p>
              </w:tc>
              <w:tc>
                <w:tcPr>
                  <w:tcW w:w="1304" w:type="dxa"/>
                  <w:tcBorders>
                    <w:bottom w:val="single" w:color="auto" w:sz="4" w:space="0"/>
                  </w:tcBorders>
                  <w:noWrap w:val="0"/>
                  <w:vAlign w:val="center"/>
                </w:tcPr>
                <w:p w14:paraId="2CCE98C1">
                  <w:pPr>
                    <w:widowControl w:val="0"/>
                    <w:adjustRightInd w:val="0"/>
                    <w:snapToGrid w:val="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石脑油、有机酸</w:t>
                  </w:r>
                </w:p>
              </w:tc>
              <w:tc>
                <w:tcPr>
                  <w:tcW w:w="1366" w:type="dxa"/>
                  <w:tcBorders>
                    <w:bottom w:val="single" w:color="auto" w:sz="4" w:space="0"/>
                    <w:right w:val="single" w:color="auto" w:sz="4" w:space="0"/>
                  </w:tcBorders>
                  <w:noWrap w:val="0"/>
                  <w:vAlign w:val="center"/>
                </w:tcPr>
                <w:p w14:paraId="219C7F89">
                  <w:pPr>
                    <w:widowControl w:val="0"/>
                    <w:adjustRightInd w:val="0"/>
                    <w:snapToGrid w:val="0"/>
                    <w:jc w:val="center"/>
                    <w:rPr>
                      <w:rFonts w:hint="eastAsia" w:ascii="Times New Roman" w:hAnsi="Times New Roman" w:eastAsia="宋体" w:cs="Times New Roman"/>
                      <w:b w:val="0"/>
                      <w:color w:val="auto"/>
                      <w:kern w:val="0"/>
                      <w:sz w:val="21"/>
                      <w:szCs w:val="21"/>
                      <w:lang w:val="en-US" w:eastAsia="zh-CN" w:bidi="ar-SA"/>
                    </w:rPr>
                  </w:pPr>
                  <w:r>
                    <w:rPr>
                      <w:rFonts w:hint="eastAsia" w:ascii="Times New Roman" w:hAnsi="Times New Roman" w:eastAsia="宋体" w:cs="Times New Roman"/>
                      <w:b w:val="0"/>
                      <w:color w:val="auto"/>
                      <w:sz w:val="21"/>
                      <w:szCs w:val="21"/>
                      <w:lang w:val="en-US" w:eastAsia="zh-CN"/>
                    </w:rPr>
                    <w:t>新建</w:t>
                  </w:r>
                </w:p>
              </w:tc>
            </w:tr>
          </w:tbl>
          <w:p w14:paraId="67834406">
            <w:pPr>
              <w:widowControl/>
              <w:spacing w:line="360" w:lineRule="auto"/>
              <w:ind w:firstLine="482" w:firstLineChars="200"/>
              <w:rPr>
                <w:rFonts w:hint="eastAsia" w:eastAsia="宋体"/>
                <w:b/>
                <w:color w:val="000000"/>
                <w:kern w:val="0"/>
                <w:sz w:val="24"/>
                <w:lang w:eastAsia="zh-CN"/>
              </w:rPr>
            </w:pPr>
            <w:r>
              <w:rPr>
                <w:rFonts w:hint="eastAsia"/>
                <w:b/>
                <w:color w:val="000000"/>
                <w:kern w:val="0"/>
                <w:sz w:val="24"/>
                <w:lang w:val="en-US" w:eastAsia="zh-CN"/>
              </w:rPr>
              <w:t>3.5物料平衡</w:t>
            </w:r>
          </w:p>
          <w:p w14:paraId="67C9FFEE">
            <w:pPr>
              <w:spacing w:line="360" w:lineRule="auto"/>
              <w:ind w:firstLine="480" w:firstLineChars="200"/>
              <w:rPr>
                <w:b/>
                <w:color w:val="000000"/>
                <w:sz w:val="24"/>
              </w:rPr>
            </w:pPr>
            <w:r>
              <w:rPr>
                <w:rFonts w:hint="eastAsia"/>
                <w:bCs/>
                <w:color w:val="000000"/>
                <w:kern w:val="0"/>
                <w:sz w:val="24"/>
              </w:rPr>
              <w:t>本项目物料平衡详见表</w:t>
            </w:r>
            <w:r>
              <w:rPr>
                <w:rFonts w:hint="eastAsia"/>
                <w:bCs/>
                <w:color w:val="000000"/>
                <w:kern w:val="0"/>
                <w:sz w:val="24"/>
                <w:lang w:val="en-US" w:eastAsia="zh-CN"/>
              </w:rPr>
              <w:t>2-8</w:t>
            </w:r>
            <w:r>
              <w:rPr>
                <w:bCs/>
                <w:color w:val="000000"/>
                <w:kern w:val="0"/>
                <w:sz w:val="24"/>
              </w:rPr>
              <w:t>。</w:t>
            </w:r>
          </w:p>
          <w:p w14:paraId="199C1ED1">
            <w:pPr>
              <w:snapToGrid w:val="0"/>
              <w:ind w:firstLine="241" w:firstLineChars="100"/>
              <w:jc w:val="center"/>
              <w:rPr>
                <w:rFonts w:ascii="Times New Roman" w:hAnsi="Times New Roman" w:eastAsia="宋体" w:cs="Times New Roman"/>
                <w:b/>
                <w:bCs/>
                <w:color w:val="000000"/>
                <w:sz w:val="24"/>
              </w:rPr>
            </w:pPr>
            <w:r>
              <w:rPr>
                <w:rFonts w:ascii="Times New Roman" w:hAnsi="Times New Roman" w:eastAsia="宋体" w:cs="Times New Roman"/>
                <w:b/>
                <w:bCs/>
                <w:color w:val="000000"/>
                <w:sz w:val="24"/>
              </w:rPr>
              <w:t>表2-</w:t>
            </w:r>
            <w:r>
              <w:rPr>
                <w:rFonts w:hint="eastAsia" w:cs="Times New Roman"/>
                <w:b/>
                <w:bCs/>
                <w:color w:val="000000"/>
                <w:sz w:val="24"/>
                <w:lang w:val="en-US" w:eastAsia="zh-CN"/>
              </w:rPr>
              <w:t>8</w:t>
            </w:r>
            <w:r>
              <w:rPr>
                <w:rFonts w:hint="eastAsia" w:ascii="Times New Roman" w:hAnsi="Times New Roman" w:eastAsia="宋体" w:cs="Times New Roman"/>
                <w:b/>
                <w:bCs/>
                <w:color w:val="000000"/>
                <w:sz w:val="24"/>
              </w:rPr>
              <w:t>本项目物料平衡一览表单位t/a</w:t>
            </w:r>
          </w:p>
          <w:tbl>
            <w:tblPr>
              <w:tblStyle w:val="41"/>
              <w:tblW w:w="80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84"/>
              <w:gridCol w:w="1125"/>
              <w:gridCol w:w="3525"/>
              <w:gridCol w:w="1564"/>
            </w:tblGrid>
            <w:tr w14:paraId="7A175A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57" w:type="pct"/>
                  <w:gridSpan w:val="2"/>
                  <w:tcBorders>
                    <w:top w:val="single" w:color="auto" w:sz="4" w:space="0"/>
                    <w:left w:val="single" w:color="auto" w:sz="0" w:space="0"/>
                    <w:tl2br w:val="nil"/>
                    <w:tr2bl w:val="nil"/>
                  </w:tcBorders>
                  <w:noWrap w:val="0"/>
                  <w:vAlign w:val="center"/>
                </w:tcPr>
                <w:p w14:paraId="273E2995">
                  <w:pPr>
                    <w:widowControl/>
                    <w:jc w:val="center"/>
                    <w:rPr>
                      <w:rFonts w:hint="eastAsia" w:ascii="Times New Roman" w:hAnsi="Times New Roman" w:eastAsia="宋体"/>
                      <w:b/>
                      <w:kern w:val="0"/>
                      <w:sz w:val="21"/>
                      <w:szCs w:val="21"/>
                      <w:lang w:eastAsia="zh-CN"/>
                    </w:rPr>
                  </w:pPr>
                  <w:r>
                    <w:rPr>
                      <w:rFonts w:ascii="Times New Roman" w:hAnsi="Times New Roman"/>
                      <w:b/>
                      <w:kern w:val="0"/>
                      <w:sz w:val="21"/>
                      <w:szCs w:val="21"/>
                    </w:rPr>
                    <w:t>投入</w:t>
                  </w:r>
                  <w:r>
                    <w:rPr>
                      <w:rFonts w:hint="eastAsia" w:ascii="Times New Roman" w:hAnsi="Times New Roman"/>
                      <w:b/>
                      <w:kern w:val="0"/>
                      <w:sz w:val="21"/>
                      <w:szCs w:val="21"/>
                      <w:lang w:eastAsia="zh-CN"/>
                    </w:rPr>
                    <w:t>（</w:t>
                  </w:r>
                  <w:r>
                    <w:rPr>
                      <w:rFonts w:hint="eastAsia" w:ascii="Times New Roman" w:hAnsi="Times New Roman"/>
                      <w:b/>
                      <w:kern w:val="0"/>
                      <w:sz w:val="21"/>
                      <w:szCs w:val="21"/>
                      <w:lang w:val="en-US" w:eastAsia="zh-CN"/>
                    </w:rPr>
                    <w:t>万t/a</w:t>
                  </w:r>
                  <w:r>
                    <w:rPr>
                      <w:rFonts w:hint="eastAsia" w:ascii="Times New Roman" w:hAnsi="Times New Roman"/>
                      <w:b/>
                      <w:kern w:val="0"/>
                      <w:sz w:val="21"/>
                      <w:szCs w:val="21"/>
                      <w:lang w:eastAsia="zh-CN"/>
                    </w:rPr>
                    <w:t>）</w:t>
                  </w:r>
                </w:p>
              </w:tc>
              <w:tc>
                <w:tcPr>
                  <w:tcW w:w="3142" w:type="pct"/>
                  <w:gridSpan w:val="2"/>
                  <w:tcBorders>
                    <w:top w:val="single" w:color="auto" w:sz="4" w:space="0"/>
                    <w:right w:val="single" w:color="auto" w:sz="4" w:space="0"/>
                    <w:tl2br w:val="nil"/>
                    <w:tr2bl w:val="nil"/>
                  </w:tcBorders>
                  <w:noWrap w:val="0"/>
                  <w:vAlign w:val="center"/>
                </w:tcPr>
                <w:p w14:paraId="5D2CC1D1">
                  <w:pPr>
                    <w:widowControl/>
                    <w:jc w:val="center"/>
                    <w:rPr>
                      <w:rFonts w:hint="eastAsia" w:ascii="Times New Roman" w:hAnsi="Times New Roman" w:eastAsia="宋体"/>
                      <w:b/>
                      <w:kern w:val="0"/>
                      <w:sz w:val="21"/>
                      <w:szCs w:val="21"/>
                      <w:lang w:eastAsia="zh-CN"/>
                    </w:rPr>
                  </w:pPr>
                  <w:r>
                    <w:rPr>
                      <w:rFonts w:ascii="Times New Roman" w:hAnsi="Times New Roman"/>
                      <w:b/>
                      <w:kern w:val="0"/>
                      <w:sz w:val="21"/>
                      <w:szCs w:val="21"/>
                    </w:rPr>
                    <w:t>产出</w:t>
                  </w:r>
                  <w:r>
                    <w:rPr>
                      <w:rFonts w:hint="eastAsia" w:ascii="Times New Roman" w:hAnsi="Times New Roman"/>
                      <w:b/>
                      <w:kern w:val="0"/>
                      <w:sz w:val="21"/>
                      <w:szCs w:val="21"/>
                      <w:lang w:eastAsia="zh-CN"/>
                    </w:rPr>
                    <w:t>（</w:t>
                  </w:r>
                  <w:r>
                    <w:rPr>
                      <w:rFonts w:hint="eastAsia" w:ascii="Times New Roman" w:hAnsi="Times New Roman"/>
                      <w:b/>
                      <w:kern w:val="0"/>
                      <w:sz w:val="21"/>
                      <w:szCs w:val="21"/>
                      <w:lang w:val="en-US" w:eastAsia="zh-CN"/>
                    </w:rPr>
                    <w:t>万t/a</w:t>
                  </w:r>
                  <w:r>
                    <w:rPr>
                      <w:rFonts w:hint="eastAsia" w:ascii="Times New Roman" w:hAnsi="Times New Roman"/>
                      <w:b/>
                      <w:kern w:val="0"/>
                      <w:sz w:val="21"/>
                      <w:szCs w:val="21"/>
                      <w:lang w:eastAsia="zh-CN"/>
                    </w:rPr>
                    <w:t>）</w:t>
                  </w:r>
                </w:p>
              </w:tc>
            </w:tr>
            <w:tr w14:paraId="2F0021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tcBorders>
                    <w:left w:val="single" w:color="auto" w:sz="4" w:space="0"/>
                    <w:tl2br w:val="nil"/>
                    <w:tr2bl w:val="nil"/>
                  </w:tcBorders>
                  <w:noWrap w:val="0"/>
                  <w:vAlign w:val="center"/>
                </w:tcPr>
                <w:p w14:paraId="2C3C71C7">
                  <w:pPr>
                    <w:widowControl/>
                    <w:jc w:val="center"/>
                    <w:rPr>
                      <w:rFonts w:ascii="Times New Roman" w:hAnsi="Times New Roman"/>
                      <w:b/>
                      <w:kern w:val="0"/>
                      <w:sz w:val="21"/>
                      <w:szCs w:val="21"/>
                    </w:rPr>
                  </w:pPr>
                  <w:r>
                    <w:rPr>
                      <w:rFonts w:ascii="Times New Roman" w:hAnsi="Times New Roman"/>
                      <w:b/>
                      <w:kern w:val="0"/>
                      <w:sz w:val="21"/>
                      <w:szCs w:val="21"/>
                    </w:rPr>
                    <w:t>名称</w:t>
                  </w:r>
                </w:p>
              </w:tc>
              <w:tc>
                <w:tcPr>
                  <w:tcW w:w="694" w:type="pct"/>
                  <w:tcBorders>
                    <w:tl2br w:val="nil"/>
                    <w:tr2bl w:val="nil"/>
                  </w:tcBorders>
                  <w:noWrap w:val="0"/>
                  <w:vAlign w:val="center"/>
                </w:tcPr>
                <w:p w14:paraId="502FD1A1">
                  <w:pPr>
                    <w:widowControl/>
                    <w:jc w:val="center"/>
                    <w:rPr>
                      <w:rFonts w:hint="default" w:ascii="Times New Roman" w:hAnsi="Times New Roman" w:eastAsia="宋体"/>
                      <w:b/>
                      <w:kern w:val="0"/>
                      <w:sz w:val="21"/>
                      <w:szCs w:val="21"/>
                      <w:lang w:val="en-US" w:eastAsia="zh-CN"/>
                    </w:rPr>
                  </w:pPr>
                  <w:r>
                    <w:rPr>
                      <w:rFonts w:ascii="Times New Roman" w:hAnsi="Times New Roman"/>
                      <w:b/>
                      <w:kern w:val="0"/>
                      <w:sz w:val="21"/>
                      <w:szCs w:val="21"/>
                    </w:rPr>
                    <w:t>数量</w:t>
                  </w:r>
                </w:p>
              </w:tc>
              <w:tc>
                <w:tcPr>
                  <w:tcW w:w="2176" w:type="pct"/>
                  <w:tcBorders>
                    <w:tl2br w:val="nil"/>
                    <w:tr2bl w:val="nil"/>
                  </w:tcBorders>
                  <w:noWrap w:val="0"/>
                  <w:vAlign w:val="center"/>
                </w:tcPr>
                <w:p w14:paraId="06742E11">
                  <w:pPr>
                    <w:widowControl/>
                    <w:jc w:val="center"/>
                    <w:rPr>
                      <w:rFonts w:ascii="Times New Roman" w:hAnsi="Times New Roman"/>
                      <w:b/>
                      <w:kern w:val="0"/>
                      <w:sz w:val="21"/>
                      <w:szCs w:val="21"/>
                    </w:rPr>
                  </w:pPr>
                  <w:r>
                    <w:rPr>
                      <w:rFonts w:ascii="Times New Roman" w:hAnsi="Times New Roman"/>
                      <w:b/>
                      <w:kern w:val="0"/>
                      <w:sz w:val="21"/>
                      <w:szCs w:val="21"/>
                    </w:rPr>
                    <w:t>名称</w:t>
                  </w:r>
                </w:p>
              </w:tc>
              <w:tc>
                <w:tcPr>
                  <w:tcW w:w="965" w:type="pct"/>
                  <w:tcBorders>
                    <w:right w:val="single" w:color="auto" w:sz="4" w:space="0"/>
                    <w:tl2br w:val="nil"/>
                    <w:tr2bl w:val="nil"/>
                  </w:tcBorders>
                  <w:noWrap w:val="0"/>
                  <w:vAlign w:val="center"/>
                </w:tcPr>
                <w:p w14:paraId="063758DC">
                  <w:pPr>
                    <w:widowControl/>
                    <w:jc w:val="center"/>
                    <w:rPr>
                      <w:rFonts w:ascii="Times New Roman" w:hAnsi="Times New Roman"/>
                      <w:b/>
                      <w:kern w:val="0"/>
                      <w:sz w:val="21"/>
                      <w:szCs w:val="21"/>
                    </w:rPr>
                  </w:pPr>
                  <w:r>
                    <w:rPr>
                      <w:rFonts w:ascii="Times New Roman" w:hAnsi="Times New Roman"/>
                      <w:b/>
                      <w:kern w:val="0"/>
                      <w:sz w:val="21"/>
                      <w:szCs w:val="21"/>
                    </w:rPr>
                    <w:t>数量</w:t>
                  </w:r>
                </w:p>
              </w:tc>
            </w:tr>
            <w:tr w14:paraId="4D14E4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vMerge w:val="restart"/>
                  <w:tcBorders>
                    <w:left w:val="single" w:color="auto" w:sz="4" w:space="0"/>
                    <w:tl2br w:val="nil"/>
                    <w:tr2bl w:val="nil"/>
                  </w:tcBorders>
                  <w:noWrap w:val="0"/>
                  <w:vAlign w:val="center"/>
                </w:tcPr>
                <w:p w14:paraId="3D6B635F">
                  <w:pPr>
                    <w:widowControl/>
                    <w:jc w:val="center"/>
                    <w:rPr>
                      <w:rFonts w:hint="default" w:ascii="Times New Roman" w:hAnsi="Times New Roman" w:eastAsia="宋体"/>
                      <w:kern w:val="0"/>
                      <w:sz w:val="21"/>
                      <w:szCs w:val="21"/>
                      <w:lang w:val="en-US" w:eastAsia="zh-CN"/>
                    </w:rPr>
                  </w:pPr>
                  <w:r>
                    <w:rPr>
                      <w:rFonts w:hint="eastAsia"/>
                      <w:color w:val="000000"/>
                      <w:kern w:val="0"/>
                      <w:sz w:val="21"/>
                      <w:szCs w:val="21"/>
                      <w:lang w:val="en-US" w:eastAsia="zh-CN"/>
                    </w:rPr>
                    <w:t>费托合成轻质油</w:t>
                  </w:r>
                </w:p>
              </w:tc>
              <w:tc>
                <w:tcPr>
                  <w:tcW w:w="694" w:type="pct"/>
                  <w:vMerge w:val="restart"/>
                  <w:tcBorders>
                    <w:tl2br w:val="nil"/>
                    <w:tr2bl w:val="nil"/>
                  </w:tcBorders>
                  <w:noWrap w:val="0"/>
                  <w:vAlign w:val="center"/>
                </w:tcPr>
                <w:p w14:paraId="476DB604">
                  <w:pPr>
                    <w:widowControl/>
                    <w:jc w:val="center"/>
                    <w:rPr>
                      <w:rFonts w:hint="default" w:ascii="Times New Roman" w:hAnsi="Times New Roman" w:eastAsia="宋体"/>
                      <w:kern w:val="0"/>
                      <w:sz w:val="21"/>
                      <w:szCs w:val="21"/>
                      <w:lang w:val="en-US" w:eastAsia="zh-CN"/>
                    </w:rPr>
                  </w:pPr>
                  <w:r>
                    <w:rPr>
                      <w:rFonts w:hint="eastAsia" w:ascii="Times New Roman" w:hAnsi="Times New Roman"/>
                      <w:kern w:val="0"/>
                      <w:sz w:val="21"/>
                      <w:szCs w:val="21"/>
                      <w:lang w:val="en-US" w:eastAsia="zh-CN"/>
                    </w:rPr>
                    <w:t>36</w:t>
                  </w:r>
                </w:p>
              </w:tc>
              <w:tc>
                <w:tcPr>
                  <w:tcW w:w="2176" w:type="pct"/>
                  <w:tcBorders>
                    <w:tl2br w:val="nil"/>
                    <w:tr2bl w:val="nil"/>
                  </w:tcBorders>
                  <w:noWrap w:val="0"/>
                  <w:vAlign w:val="center"/>
                </w:tcPr>
                <w:p w14:paraId="0B60FF67">
                  <w:pPr>
                    <w:pStyle w:val="393"/>
                    <w:ind w:firstLine="0" w:firstLineChars="0"/>
                    <w:rPr>
                      <w:rFonts w:hint="default" w:eastAsia="宋体"/>
                      <w:kern w:val="2"/>
                      <w:sz w:val="21"/>
                      <w:szCs w:val="21"/>
                      <w:lang w:val="en-US" w:eastAsia="zh-CN" w:bidi="ar-SA"/>
                    </w:rPr>
                  </w:pPr>
                  <w:r>
                    <w:rPr>
                      <w:rFonts w:hint="eastAsia"/>
                      <w:kern w:val="2"/>
                      <w:sz w:val="21"/>
                      <w:szCs w:val="21"/>
                      <w:lang w:val="en-US" w:eastAsia="zh-CN" w:bidi="ar-SA"/>
                    </w:rPr>
                    <w:t>C4及C4-烷烯烃</w:t>
                  </w:r>
                  <w:r>
                    <w:rPr>
                      <w:rFonts w:hint="eastAsia"/>
                      <w:sz w:val="21"/>
                      <w:szCs w:val="21"/>
                      <w:lang w:eastAsia="zh-CN"/>
                    </w:rPr>
                    <w:t>（</w:t>
                  </w:r>
                  <w:r>
                    <w:rPr>
                      <w:rFonts w:hint="eastAsia"/>
                      <w:sz w:val="21"/>
                      <w:szCs w:val="21"/>
                      <w:lang w:val="en-US" w:eastAsia="zh-CN"/>
                    </w:rPr>
                    <w:t>罐区储存，外售）</w:t>
                  </w:r>
                </w:p>
              </w:tc>
              <w:tc>
                <w:tcPr>
                  <w:tcW w:w="965" w:type="pct"/>
                  <w:tcBorders>
                    <w:right w:val="single" w:color="auto" w:sz="4" w:space="0"/>
                    <w:tl2br w:val="nil"/>
                    <w:tr2bl w:val="nil"/>
                  </w:tcBorders>
                  <w:noWrap w:val="0"/>
                  <w:vAlign w:val="center"/>
                </w:tcPr>
                <w:p w14:paraId="30FCE61D">
                  <w:pPr>
                    <w:widowControl/>
                    <w:jc w:val="center"/>
                    <w:rPr>
                      <w:rFonts w:hint="default" w:ascii="Times New Roman" w:hAnsi="Times New Roman" w:eastAsia="宋体"/>
                      <w:kern w:val="0"/>
                      <w:sz w:val="21"/>
                      <w:szCs w:val="21"/>
                      <w:lang w:val="en-US" w:eastAsia="zh-CN"/>
                    </w:rPr>
                  </w:pPr>
                  <w:r>
                    <w:rPr>
                      <w:rFonts w:hint="eastAsia" w:ascii="Times New Roman" w:hAnsi="Times New Roman" w:eastAsia="宋体"/>
                      <w:kern w:val="0"/>
                      <w:sz w:val="21"/>
                      <w:szCs w:val="21"/>
                      <w:lang w:val="en-US" w:eastAsia="zh-CN"/>
                    </w:rPr>
                    <w:t>0.5</w:t>
                  </w:r>
                </w:p>
              </w:tc>
            </w:tr>
            <w:tr w14:paraId="7DE77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vMerge w:val="continue"/>
                  <w:tcBorders>
                    <w:left w:val="single" w:color="auto" w:sz="4" w:space="0"/>
                    <w:tl2br w:val="nil"/>
                    <w:tr2bl w:val="nil"/>
                  </w:tcBorders>
                  <w:noWrap w:val="0"/>
                  <w:vAlign w:val="center"/>
                </w:tcPr>
                <w:p w14:paraId="37078C0F">
                  <w:pPr>
                    <w:widowControl/>
                    <w:jc w:val="center"/>
                    <w:rPr>
                      <w:rFonts w:ascii="Times New Roman" w:hAnsi="Times New Roman"/>
                      <w:kern w:val="0"/>
                      <w:sz w:val="21"/>
                      <w:szCs w:val="21"/>
                    </w:rPr>
                  </w:pPr>
                </w:p>
              </w:tc>
              <w:tc>
                <w:tcPr>
                  <w:tcW w:w="694" w:type="pct"/>
                  <w:vMerge w:val="continue"/>
                  <w:tcBorders>
                    <w:tl2br w:val="nil"/>
                    <w:tr2bl w:val="nil"/>
                  </w:tcBorders>
                  <w:noWrap w:val="0"/>
                  <w:vAlign w:val="center"/>
                </w:tcPr>
                <w:p w14:paraId="436FBD8B">
                  <w:pPr>
                    <w:widowControl/>
                    <w:jc w:val="center"/>
                    <w:rPr>
                      <w:rFonts w:ascii="Times New Roman" w:hAnsi="Times New Roman"/>
                      <w:kern w:val="0"/>
                      <w:sz w:val="21"/>
                      <w:szCs w:val="21"/>
                    </w:rPr>
                  </w:pPr>
                </w:p>
              </w:tc>
              <w:tc>
                <w:tcPr>
                  <w:tcW w:w="2176" w:type="pct"/>
                  <w:tcBorders>
                    <w:tl2br w:val="nil"/>
                    <w:tr2bl w:val="nil"/>
                  </w:tcBorders>
                  <w:noWrap w:val="0"/>
                  <w:vAlign w:val="center"/>
                </w:tcPr>
                <w:p w14:paraId="51FA4831">
                  <w:pPr>
                    <w:pStyle w:val="393"/>
                    <w:ind w:firstLine="0" w:firstLineChars="0"/>
                    <w:rPr>
                      <w:rFonts w:hint="default"/>
                      <w:kern w:val="2"/>
                      <w:sz w:val="21"/>
                      <w:szCs w:val="21"/>
                      <w:lang w:val="en-US" w:eastAsia="zh-CN" w:bidi="ar-SA"/>
                    </w:rPr>
                  </w:pPr>
                  <w:r>
                    <w:rPr>
                      <w:rFonts w:hint="eastAsia"/>
                      <w:kern w:val="2"/>
                      <w:sz w:val="21"/>
                      <w:szCs w:val="21"/>
                      <w:lang w:val="en-US" w:eastAsia="zh-CN" w:bidi="ar-SA"/>
                    </w:rPr>
                    <w:t>C5烷烯烃（管道运出界区，外售）</w:t>
                  </w:r>
                </w:p>
              </w:tc>
              <w:tc>
                <w:tcPr>
                  <w:tcW w:w="965" w:type="pct"/>
                  <w:tcBorders>
                    <w:right w:val="single" w:color="auto" w:sz="4" w:space="0"/>
                    <w:tl2br w:val="nil"/>
                    <w:tr2bl w:val="nil"/>
                  </w:tcBorders>
                  <w:noWrap w:val="0"/>
                  <w:vAlign w:val="center"/>
                </w:tcPr>
                <w:p w14:paraId="68915D37">
                  <w:pPr>
                    <w:widowControl/>
                    <w:jc w:val="center"/>
                    <w:rPr>
                      <w:rFonts w:hint="default" w:ascii="Times New Roman" w:hAnsi="Times New Roman" w:eastAsia="宋体"/>
                      <w:kern w:val="0"/>
                      <w:sz w:val="21"/>
                      <w:szCs w:val="21"/>
                      <w:lang w:val="en-US" w:eastAsia="zh-CN"/>
                    </w:rPr>
                  </w:pPr>
                  <w:r>
                    <w:rPr>
                      <w:rFonts w:hint="eastAsia" w:ascii="Times New Roman" w:hAnsi="Times New Roman" w:eastAsia="宋体"/>
                      <w:kern w:val="0"/>
                      <w:sz w:val="21"/>
                      <w:szCs w:val="21"/>
                      <w:lang w:val="en-US" w:eastAsia="zh-CN"/>
                    </w:rPr>
                    <w:t>1.5</w:t>
                  </w:r>
                </w:p>
              </w:tc>
            </w:tr>
            <w:tr w14:paraId="69BAE1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vMerge w:val="continue"/>
                  <w:tcBorders>
                    <w:left w:val="single" w:color="auto" w:sz="4" w:space="0"/>
                    <w:tl2br w:val="nil"/>
                    <w:tr2bl w:val="nil"/>
                  </w:tcBorders>
                  <w:noWrap w:val="0"/>
                  <w:vAlign w:val="center"/>
                </w:tcPr>
                <w:p w14:paraId="3BBC76E5">
                  <w:pPr>
                    <w:widowControl/>
                    <w:jc w:val="center"/>
                    <w:rPr>
                      <w:rFonts w:ascii="Times New Roman" w:hAnsi="Times New Roman"/>
                      <w:kern w:val="0"/>
                      <w:sz w:val="21"/>
                      <w:szCs w:val="21"/>
                    </w:rPr>
                  </w:pPr>
                </w:p>
              </w:tc>
              <w:tc>
                <w:tcPr>
                  <w:tcW w:w="694" w:type="pct"/>
                  <w:vMerge w:val="continue"/>
                  <w:tcBorders>
                    <w:tl2br w:val="nil"/>
                    <w:tr2bl w:val="nil"/>
                  </w:tcBorders>
                  <w:noWrap w:val="0"/>
                  <w:vAlign w:val="center"/>
                </w:tcPr>
                <w:p w14:paraId="046E8A44">
                  <w:pPr>
                    <w:widowControl/>
                    <w:jc w:val="center"/>
                    <w:rPr>
                      <w:rFonts w:ascii="Times New Roman" w:hAnsi="Times New Roman"/>
                      <w:kern w:val="0"/>
                      <w:sz w:val="21"/>
                      <w:szCs w:val="21"/>
                    </w:rPr>
                  </w:pPr>
                </w:p>
              </w:tc>
              <w:tc>
                <w:tcPr>
                  <w:tcW w:w="2176" w:type="pct"/>
                  <w:tcBorders>
                    <w:tl2br w:val="nil"/>
                    <w:tr2bl w:val="nil"/>
                  </w:tcBorders>
                  <w:noWrap w:val="0"/>
                  <w:vAlign w:val="center"/>
                </w:tcPr>
                <w:p w14:paraId="21203943">
                  <w:pPr>
                    <w:pStyle w:val="393"/>
                    <w:ind w:firstLine="0" w:firstLineChars="0"/>
                    <w:rPr>
                      <w:rFonts w:hint="default"/>
                      <w:kern w:val="2"/>
                      <w:sz w:val="21"/>
                      <w:szCs w:val="21"/>
                      <w:lang w:val="en-US" w:eastAsia="zh-CN" w:bidi="ar-SA"/>
                    </w:rPr>
                  </w:pPr>
                  <w:r>
                    <w:rPr>
                      <w:rFonts w:hint="eastAsia"/>
                      <w:kern w:val="2"/>
                      <w:sz w:val="21"/>
                      <w:szCs w:val="21"/>
                      <w:lang w:val="en-US" w:eastAsia="zh-CN" w:bidi="ar-SA"/>
                    </w:rPr>
                    <w:t>C6及C6+组分（管道送至伊泰化工加工精制单元）</w:t>
                  </w:r>
                </w:p>
              </w:tc>
              <w:tc>
                <w:tcPr>
                  <w:tcW w:w="965" w:type="pct"/>
                  <w:tcBorders>
                    <w:right w:val="single" w:color="auto" w:sz="4" w:space="0"/>
                    <w:tl2br w:val="nil"/>
                    <w:tr2bl w:val="nil"/>
                  </w:tcBorders>
                  <w:noWrap w:val="0"/>
                  <w:vAlign w:val="center"/>
                </w:tcPr>
                <w:p w14:paraId="3C97D6D3">
                  <w:pPr>
                    <w:widowControl/>
                    <w:jc w:val="center"/>
                    <w:rPr>
                      <w:rFonts w:hint="default" w:ascii="Times New Roman" w:hAnsi="Times New Roman" w:eastAsia="宋体"/>
                      <w:kern w:val="0"/>
                      <w:sz w:val="21"/>
                      <w:szCs w:val="21"/>
                      <w:lang w:val="en-US" w:eastAsia="zh-CN"/>
                    </w:rPr>
                  </w:pPr>
                  <w:r>
                    <w:rPr>
                      <w:rFonts w:hint="eastAsia"/>
                      <w:kern w:val="0"/>
                      <w:sz w:val="21"/>
                      <w:szCs w:val="21"/>
                      <w:lang w:val="en-US" w:eastAsia="zh-CN"/>
                    </w:rPr>
                    <w:t>33.7999988</w:t>
                  </w:r>
                </w:p>
              </w:tc>
            </w:tr>
            <w:tr w14:paraId="04158E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vMerge w:val="continue"/>
                  <w:tcBorders>
                    <w:left w:val="single" w:color="auto" w:sz="4" w:space="0"/>
                    <w:tl2br w:val="nil"/>
                    <w:tr2bl w:val="nil"/>
                  </w:tcBorders>
                  <w:noWrap w:val="0"/>
                  <w:vAlign w:val="center"/>
                </w:tcPr>
                <w:p w14:paraId="3EF8EB09">
                  <w:pPr>
                    <w:widowControl/>
                    <w:jc w:val="center"/>
                    <w:rPr>
                      <w:rFonts w:ascii="Times New Roman" w:hAnsi="Times New Roman"/>
                      <w:kern w:val="0"/>
                      <w:sz w:val="21"/>
                      <w:szCs w:val="21"/>
                    </w:rPr>
                  </w:pPr>
                </w:p>
              </w:tc>
              <w:tc>
                <w:tcPr>
                  <w:tcW w:w="694" w:type="pct"/>
                  <w:vMerge w:val="continue"/>
                  <w:tcBorders>
                    <w:tl2br w:val="nil"/>
                    <w:tr2bl w:val="nil"/>
                  </w:tcBorders>
                  <w:noWrap w:val="0"/>
                  <w:vAlign w:val="center"/>
                </w:tcPr>
                <w:p w14:paraId="072EC9EB">
                  <w:pPr>
                    <w:widowControl/>
                    <w:jc w:val="center"/>
                    <w:rPr>
                      <w:rFonts w:ascii="Times New Roman" w:hAnsi="Times New Roman"/>
                      <w:kern w:val="0"/>
                      <w:sz w:val="21"/>
                      <w:szCs w:val="21"/>
                    </w:rPr>
                  </w:pPr>
                </w:p>
              </w:tc>
              <w:tc>
                <w:tcPr>
                  <w:tcW w:w="2176" w:type="pct"/>
                  <w:tcBorders>
                    <w:tl2br w:val="nil"/>
                    <w:tr2bl w:val="nil"/>
                  </w:tcBorders>
                  <w:noWrap w:val="0"/>
                  <w:vAlign w:val="center"/>
                </w:tcPr>
                <w:p w14:paraId="44038FE3">
                  <w:pPr>
                    <w:pStyle w:val="393"/>
                    <w:ind w:firstLine="0" w:firstLineChars="0"/>
                    <w:rPr>
                      <w:rFonts w:hint="default"/>
                      <w:kern w:val="2"/>
                      <w:sz w:val="21"/>
                      <w:szCs w:val="21"/>
                      <w:lang w:val="en-US" w:eastAsia="zh-CN" w:bidi="ar-SA"/>
                    </w:rPr>
                  </w:pPr>
                  <w:r>
                    <w:rPr>
                      <w:rFonts w:hint="eastAsia"/>
                      <w:kern w:val="2"/>
                      <w:sz w:val="21"/>
                      <w:szCs w:val="21"/>
                      <w:lang w:val="en-US" w:eastAsia="zh-CN" w:bidi="ar-SA"/>
                    </w:rPr>
                    <w:t>不凝气</w:t>
                  </w:r>
                </w:p>
              </w:tc>
              <w:tc>
                <w:tcPr>
                  <w:tcW w:w="965" w:type="pct"/>
                  <w:tcBorders>
                    <w:right w:val="single" w:color="auto" w:sz="4" w:space="0"/>
                    <w:tl2br w:val="nil"/>
                    <w:tr2bl w:val="nil"/>
                  </w:tcBorders>
                  <w:noWrap w:val="0"/>
                  <w:vAlign w:val="center"/>
                </w:tcPr>
                <w:p w14:paraId="09CA0633">
                  <w:pPr>
                    <w:widowControl/>
                    <w:jc w:val="center"/>
                    <w:rPr>
                      <w:rFonts w:hint="default" w:ascii="Times New Roman" w:hAnsi="Times New Roman" w:eastAsia="宋体"/>
                      <w:kern w:val="0"/>
                      <w:sz w:val="21"/>
                      <w:szCs w:val="21"/>
                      <w:lang w:val="en-US" w:eastAsia="zh-CN"/>
                    </w:rPr>
                  </w:pPr>
                  <w:r>
                    <w:rPr>
                      <w:rFonts w:hint="eastAsia" w:ascii="Times New Roman" w:hAnsi="Times New Roman" w:eastAsia="宋体"/>
                      <w:kern w:val="0"/>
                      <w:sz w:val="21"/>
                      <w:szCs w:val="21"/>
                      <w:lang w:val="en-US" w:eastAsia="zh-CN"/>
                    </w:rPr>
                    <w:t>0.2</w:t>
                  </w:r>
                </w:p>
              </w:tc>
            </w:tr>
            <w:tr w14:paraId="5175D6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vMerge w:val="continue"/>
                  <w:tcBorders>
                    <w:left w:val="single" w:color="auto" w:sz="4" w:space="0"/>
                    <w:tl2br w:val="nil"/>
                    <w:tr2bl w:val="nil"/>
                  </w:tcBorders>
                  <w:noWrap w:val="0"/>
                  <w:vAlign w:val="center"/>
                </w:tcPr>
                <w:p w14:paraId="75D0BC09">
                  <w:pPr>
                    <w:widowControl/>
                    <w:jc w:val="center"/>
                    <w:rPr>
                      <w:rFonts w:ascii="Times New Roman" w:hAnsi="Times New Roman"/>
                      <w:kern w:val="0"/>
                      <w:sz w:val="21"/>
                      <w:szCs w:val="21"/>
                    </w:rPr>
                  </w:pPr>
                </w:p>
              </w:tc>
              <w:tc>
                <w:tcPr>
                  <w:tcW w:w="694" w:type="pct"/>
                  <w:vMerge w:val="continue"/>
                  <w:tcBorders>
                    <w:tl2br w:val="nil"/>
                    <w:tr2bl w:val="nil"/>
                  </w:tcBorders>
                  <w:noWrap w:val="0"/>
                  <w:vAlign w:val="center"/>
                </w:tcPr>
                <w:p w14:paraId="74EF2EEC">
                  <w:pPr>
                    <w:widowControl/>
                    <w:jc w:val="center"/>
                    <w:rPr>
                      <w:rFonts w:ascii="Times New Roman" w:hAnsi="Times New Roman"/>
                      <w:kern w:val="0"/>
                      <w:sz w:val="21"/>
                      <w:szCs w:val="21"/>
                    </w:rPr>
                  </w:pPr>
                </w:p>
              </w:tc>
              <w:tc>
                <w:tcPr>
                  <w:tcW w:w="2176" w:type="pct"/>
                  <w:tcBorders>
                    <w:tl2br w:val="nil"/>
                    <w:tr2bl w:val="nil"/>
                  </w:tcBorders>
                  <w:noWrap w:val="0"/>
                  <w:vAlign w:val="center"/>
                </w:tcPr>
                <w:p w14:paraId="1F12C52F">
                  <w:pPr>
                    <w:pStyle w:val="393"/>
                    <w:ind w:firstLine="0" w:firstLineChars="0"/>
                    <w:rPr>
                      <w:rFonts w:hint="default"/>
                      <w:kern w:val="2"/>
                      <w:sz w:val="21"/>
                      <w:szCs w:val="21"/>
                      <w:lang w:val="en-US" w:eastAsia="zh-CN" w:bidi="ar-SA"/>
                    </w:rPr>
                  </w:pPr>
                  <w:r>
                    <w:rPr>
                      <w:rFonts w:hint="eastAsia"/>
                      <w:kern w:val="2"/>
                      <w:sz w:val="21"/>
                      <w:szCs w:val="21"/>
                      <w:lang w:val="en-US" w:eastAsia="zh-CN" w:bidi="ar-SA"/>
                    </w:rPr>
                    <w:t>装置区无组织废气</w:t>
                  </w:r>
                </w:p>
              </w:tc>
              <w:tc>
                <w:tcPr>
                  <w:tcW w:w="965" w:type="pct"/>
                  <w:tcBorders>
                    <w:right w:val="single" w:color="auto" w:sz="4" w:space="0"/>
                    <w:tl2br w:val="nil"/>
                    <w:tr2bl w:val="nil"/>
                  </w:tcBorders>
                  <w:noWrap w:val="0"/>
                  <w:vAlign w:val="center"/>
                </w:tcPr>
                <w:p w14:paraId="4F0DBDB5">
                  <w:pPr>
                    <w:widowControl/>
                    <w:jc w:val="center"/>
                    <w:rPr>
                      <w:rFonts w:hint="default" w:ascii="Times New Roman" w:hAnsi="Times New Roman" w:eastAsia="宋体"/>
                      <w:kern w:val="0"/>
                      <w:sz w:val="21"/>
                      <w:szCs w:val="21"/>
                      <w:lang w:val="en-US" w:eastAsia="zh-CN"/>
                    </w:rPr>
                  </w:pPr>
                  <w:r>
                    <w:rPr>
                      <w:rFonts w:hint="eastAsia"/>
                      <w:lang w:val="en-US" w:eastAsia="zh-CN"/>
                    </w:rPr>
                    <w:t>0.0000012</w:t>
                  </w:r>
                </w:p>
              </w:tc>
            </w:tr>
            <w:tr w14:paraId="62F0E2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3" w:type="pct"/>
                  <w:tcBorders>
                    <w:left w:val="single" w:color="auto" w:sz="4" w:space="0"/>
                    <w:bottom w:val="single" w:color="auto" w:sz="4" w:space="0"/>
                    <w:tl2br w:val="nil"/>
                    <w:tr2bl w:val="nil"/>
                  </w:tcBorders>
                  <w:noWrap w:val="0"/>
                  <w:vAlign w:val="center"/>
                </w:tcPr>
                <w:p w14:paraId="65288EF6">
                  <w:pPr>
                    <w:widowControl/>
                    <w:jc w:val="center"/>
                    <w:rPr>
                      <w:rFonts w:hint="eastAsia" w:ascii="Times New Roman" w:hAnsi="Times New Roman" w:eastAsia="宋体"/>
                      <w:b/>
                      <w:kern w:val="0"/>
                      <w:sz w:val="21"/>
                      <w:szCs w:val="21"/>
                      <w:lang w:val="en-US" w:eastAsia="zh-CN"/>
                    </w:rPr>
                  </w:pPr>
                  <w:r>
                    <w:rPr>
                      <w:rFonts w:hint="eastAsia" w:ascii="Times New Roman" w:hAnsi="Times New Roman"/>
                      <w:b w:val="0"/>
                      <w:bCs/>
                      <w:kern w:val="0"/>
                      <w:sz w:val="21"/>
                      <w:szCs w:val="21"/>
                      <w:lang w:val="en-US" w:eastAsia="zh-CN"/>
                    </w:rPr>
                    <w:t>合计</w:t>
                  </w:r>
                </w:p>
              </w:tc>
              <w:tc>
                <w:tcPr>
                  <w:tcW w:w="694" w:type="pct"/>
                  <w:tcBorders>
                    <w:bottom w:val="single" w:color="auto" w:sz="4" w:space="0"/>
                    <w:tl2br w:val="nil"/>
                    <w:tr2bl w:val="nil"/>
                  </w:tcBorders>
                  <w:noWrap w:val="0"/>
                  <w:vAlign w:val="center"/>
                </w:tcPr>
                <w:p w14:paraId="2DC7FA59">
                  <w:pPr>
                    <w:widowControl/>
                    <w:jc w:val="center"/>
                    <w:rPr>
                      <w:rFonts w:hint="default" w:ascii="Times New Roman" w:hAnsi="Times New Roman" w:eastAsia="宋体"/>
                      <w:b/>
                      <w:kern w:val="0"/>
                      <w:sz w:val="21"/>
                      <w:szCs w:val="21"/>
                      <w:lang w:val="en-US" w:eastAsia="zh-CN"/>
                    </w:rPr>
                  </w:pPr>
                  <w:r>
                    <w:rPr>
                      <w:rFonts w:hint="eastAsia" w:ascii="Times New Roman" w:hAnsi="Times New Roman"/>
                      <w:kern w:val="0"/>
                      <w:sz w:val="21"/>
                      <w:szCs w:val="21"/>
                      <w:lang w:val="en-US" w:eastAsia="zh-CN"/>
                    </w:rPr>
                    <w:t>36</w:t>
                  </w:r>
                </w:p>
              </w:tc>
              <w:tc>
                <w:tcPr>
                  <w:tcW w:w="2176" w:type="pct"/>
                  <w:tcBorders>
                    <w:bottom w:val="single" w:color="auto" w:sz="4" w:space="0"/>
                    <w:tl2br w:val="nil"/>
                    <w:tr2bl w:val="nil"/>
                  </w:tcBorders>
                  <w:noWrap w:val="0"/>
                  <w:vAlign w:val="center"/>
                </w:tcPr>
                <w:p w14:paraId="79DAFF3B">
                  <w:pPr>
                    <w:widowControl/>
                    <w:jc w:val="center"/>
                    <w:rPr>
                      <w:rFonts w:ascii="Times New Roman" w:hAnsi="Times New Roman"/>
                      <w:b/>
                      <w:kern w:val="0"/>
                      <w:sz w:val="21"/>
                      <w:szCs w:val="21"/>
                    </w:rPr>
                  </w:pPr>
                  <w:r>
                    <w:rPr>
                      <w:rFonts w:ascii="Times New Roman" w:hAnsi="Times New Roman"/>
                      <w:b/>
                      <w:kern w:val="0"/>
                      <w:sz w:val="21"/>
                      <w:szCs w:val="21"/>
                    </w:rPr>
                    <w:t>/</w:t>
                  </w:r>
                </w:p>
              </w:tc>
              <w:tc>
                <w:tcPr>
                  <w:tcW w:w="965" w:type="pct"/>
                  <w:tcBorders>
                    <w:bottom w:val="single" w:color="auto" w:sz="4" w:space="0"/>
                    <w:right w:val="single" w:color="auto" w:sz="4" w:space="0"/>
                    <w:tl2br w:val="nil"/>
                    <w:tr2bl w:val="nil"/>
                  </w:tcBorders>
                  <w:noWrap w:val="0"/>
                  <w:vAlign w:val="center"/>
                </w:tcPr>
                <w:p w14:paraId="4E8A3387">
                  <w:pPr>
                    <w:widowControl/>
                    <w:jc w:val="center"/>
                    <w:rPr>
                      <w:rFonts w:hint="default" w:ascii="Times New Roman" w:hAnsi="Times New Roman" w:eastAsia="宋体"/>
                      <w:kern w:val="0"/>
                      <w:sz w:val="21"/>
                      <w:szCs w:val="21"/>
                      <w:lang w:val="en-US" w:eastAsia="zh-CN"/>
                    </w:rPr>
                  </w:pPr>
                  <w:r>
                    <w:rPr>
                      <w:rFonts w:hint="eastAsia" w:ascii="Times New Roman" w:hAnsi="Times New Roman" w:eastAsia="宋体"/>
                      <w:kern w:val="0"/>
                      <w:sz w:val="21"/>
                      <w:szCs w:val="21"/>
                      <w:lang w:val="en-US" w:eastAsia="zh-CN"/>
                    </w:rPr>
                    <w:t>36</w:t>
                  </w:r>
                </w:p>
              </w:tc>
            </w:tr>
          </w:tbl>
          <w:p w14:paraId="1CEBF70D">
            <w:pPr>
              <w:numPr>
                <w:ilvl w:val="0"/>
                <w:numId w:val="2"/>
              </w:numPr>
              <w:adjustRightInd w:val="0"/>
              <w:snapToGrid w:val="0"/>
              <w:spacing w:line="360" w:lineRule="auto"/>
              <w:jc w:val="left"/>
              <w:rPr>
                <w:rFonts w:hint="eastAsia"/>
                <w:b/>
                <w:color w:val="000000"/>
                <w:sz w:val="24"/>
                <w:lang w:val="en-US" w:eastAsia="zh-CN"/>
              </w:rPr>
            </w:pPr>
            <w:r>
              <w:rPr>
                <w:rFonts w:hint="eastAsia"/>
                <w:b/>
                <w:color w:val="000000"/>
                <w:sz w:val="24"/>
                <w:lang w:val="en-US" w:eastAsia="zh-CN"/>
              </w:rPr>
              <w:t>储运工程</w:t>
            </w:r>
          </w:p>
          <w:p w14:paraId="1B9B08A1">
            <w:pPr>
              <w:spacing w:line="360" w:lineRule="auto"/>
              <w:ind w:firstLine="480" w:firstLineChars="200"/>
              <w:rPr>
                <w:rFonts w:hint="default" w:ascii="Times New Roman" w:hAnsi="Times New Roman" w:eastAsia="宋体" w:cs="Times New Roman"/>
                <w:bCs/>
                <w:color w:val="000000"/>
                <w:kern w:val="0"/>
                <w:sz w:val="24"/>
                <w:lang w:val="en-US"/>
              </w:rPr>
            </w:pPr>
            <w:r>
              <w:rPr>
                <w:rFonts w:hint="eastAsia" w:ascii="Times New Roman" w:hAnsi="Times New Roman" w:eastAsia="宋体" w:cs="Times New Roman"/>
                <w:bCs/>
                <w:color w:val="000000"/>
                <w:kern w:val="0"/>
                <w:sz w:val="24"/>
              </w:rPr>
              <w:t>本项目</w:t>
            </w:r>
            <w:r>
              <w:rPr>
                <w:rFonts w:hint="eastAsia" w:ascii="Times New Roman" w:hAnsi="Times New Roman" w:eastAsia="宋体" w:cs="Times New Roman"/>
                <w:bCs/>
                <w:color w:val="000000"/>
                <w:kern w:val="0"/>
                <w:sz w:val="24"/>
                <w:lang w:val="en-US" w:eastAsia="zh-CN"/>
              </w:rPr>
              <w:t>原料及产品运输方式拟采用管道运输方式，其中原料主要通过管道输送至本项目界区内；液体产品C5通过管道运输出界区，C4及C4-</w:t>
            </w:r>
            <w:r>
              <w:rPr>
                <w:rFonts w:hint="eastAsia" w:cs="Times New Roman"/>
                <w:bCs/>
                <w:color w:val="000000"/>
                <w:kern w:val="0"/>
                <w:sz w:val="24"/>
                <w:lang w:val="en-US" w:eastAsia="zh-CN"/>
              </w:rPr>
              <w:t>罐区储存后外售</w:t>
            </w:r>
            <w:r>
              <w:rPr>
                <w:rFonts w:hint="eastAsia" w:ascii="Times New Roman" w:hAnsi="Times New Roman" w:eastAsia="宋体" w:cs="Times New Roman"/>
                <w:bCs/>
                <w:color w:val="000000"/>
                <w:kern w:val="0"/>
                <w:sz w:val="24"/>
                <w:lang w:val="en-US" w:eastAsia="zh-CN"/>
              </w:rPr>
              <w:t>。本项目不建设原料、产品贮存设施。</w:t>
            </w:r>
          </w:p>
          <w:p w14:paraId="647E9052">
            <w:pPr>
              <w:jc w:val="center"/>
              <w:rPr>
                <w:b/>
                <w:sz w:val="24"/>
              </w:rPr>
            </w:pPr>
            <w:bookmarkStart w:id="2" w:name="_Ref163813357"/>
            <w:r>
              <w:rPr>
                <w:b/>
                <w:sz w:val="24"/>
              </w:rPr>
              <w:t>表</w:t>
            </w:r>
            <w:r>
              <w:rPr>
                <w:rFonts w:hint="eastAsia"/>
                <w:b/>
                <w:sz w:val="24"/>
                <w:lang w:val="en-US" w:eastAsia="zh-CN"/>
              </w:rPr>
              <w:t>2-</w:t>
            </w:r>
            <w:bookmarkEnd w:id="2"/>
            <w:r>
              <w:rPr>
                <w:rFonts w:hint="eastAsia"/>
                <w:b/>
                <w:sz w:val="24"/>
                <w:lang w:val="en-US" w:eastAsia="zh-CN"/>
              </w:rPr>
              <w:t>9外管廊管线</w:t>
            </w:r>
            <w:r>
              <w:rPr>
                <w:rFonts w:hint="eastAsia"/>
                <w:b/>
                <w:sz w:val="24"/>
              </w:rPr>
              <w:t>设置情况一览表</w:t>
            </w:r>
          </w:p>
          <w:tbl>
            <w:tblPr>
              <w:tblStyle w:val="4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80"/>
              <w:gridCol w:w="1954"/>
              <w:gridCol w:w="1098"/>
              <w:gridCol w:w="1343"/>
              <w:gridCol w:w="3123"/>
            </w:tblGrid>
            <w:tr w14:paraId="601A88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8" w:type="pct"/>
                  <w:tcBorders>
                    <w:top w:val="single" w:color="auto" w:sz="4" w:space="0"/>
                    <w:left w:val="single" w:color="auto" w:sz="0" w:space="0"/>
                    <w:tl2br w:val="nil"/>
                    <w:tr2bl w:val="nil"/>
                  </w:tcBorders>
                  <w:noWrap w:val="0"/>
                  <w:vAlign w:val="center"/>
                </w:tcPr>
                <w:p w14:paraId="0EBBB56A">
                  <w:pPr>
                    <w:pStyle w:val="13"/>
                    <w:spacing w:after="0" w:line="240" w:lineRule="auto"/>
                    <w:ind w:left="0" w:leftChars="0" w:firstLine="0" w:firstLineChars="0"/>
                    <w:jc w:val="center"/>
                    <w:rPr>
                      <w:rFonts w:hint="eastAsia"/>
                      <w:b w:val="0"/>
                      <w:bCs w:val="0"/>
                      <w:kern w:val="0"/>
                      <w:sz w:val="21"/>
                      <w:szCs w:val="21"/>
                      <w:highlight w:val="none"/>
                    </w:rPr>
                  </w:pPr>
                  <w:r>
                    <w:rPr>
                      <w:rFonts w:hint="eastAsia"/>
                      <w:b w:val="0"/>
                      <w:bCs w:val="0"/>
                      <w:kern w:val="0"/>
                      <w:sz w:val="21"/>
                      <w:szCs w:val="21"/>
                      <w:highlight w:val="none"/>
                    </w:rPr>
                    <w:t>序号</w:t>
                  </w:r>
                </w:p>
              </w:tc>
              <w:tc>
                <w:tcPr>
                  <w:tcW w:w="1206" w:type="pct"/>
                  <w:tcBorders>
                    <w:top w:val="single" w:color="auto" w:sz="4" w:space="0"/>
                    <w:tl2br w:val="nil"/>
                    <w:tr2bl w:val="nil"/>
                  </w:tcBorders>
                  <w:noWrap w:val="0"/>
                  <w:vAlign w:val="center"/>
                </w:tcPr>
                <w:p w14:paraId="32586AB8">
                  <w:pPr>
                    <w:pStyle w:val="13"/>
                    <w:spacing w:after="0" w:line="240" w:lineRule="auto"/>
                    <w:ind w:left="0" w:leftChars="0" w:firstLine="0" w:firstLineChars="0"/>
                    <w:jc w:val="center"/>
                    <w:rPr>
                      <w:rFonts w:hint="eastAsia"/>
                      <w:b w:val="0"/>
                      <w:bCs w:val="0"/>
                      <w:kern w:val="0"/>
                      <w:sz w:val="21"/>
                      <w:szCs w:val="21"/>
                      <w:highlight w:val="none"/>
                    </w:rPr>
                  </w:pPr>
                  <w:r>
                    <w:rPr>
                      <w:rFonts w:hint="eastAsia"/>
                      <w:b w:val="0"/>
                      <w:bCs w:val="0"/>
                      <w:kern w:val="0"/>
                      <w:sz w:val="21"/>
                      <w:szCs w:val="21"/>
                      <w:highlight w:val="none"/>
                    </w:rPr>
                    <w:t>装车鹤位</w:t>
                  </w:r>
                </w:p>
              </w:tc>
              <w:tc>
                <w:tcPr>
                  <w:tcW w:w="678" w:type="pct"/>
                  <w:tcBorders>
                    <w:top w:val="single" w:color="auto" w:sz="4" w:space="0"/>
                    <w:tl2br w:val="nil"/>
                    <w:tr2bl w:val="nil"/>
                  </w:tcBorders>
                  <w:noWrap w:val="0"/>
                  <w:vAlign w:val="center"/>
                </w:tcPr>
                <w:p w14:paraId="5BF221DF">
                  <w:pPr>
                    <w:pStyle w:val="13"/>
                    <w:spacing w:after="0" w:line="240" w:lineRule="auto"/>
                    <w:ind w:left="0" w:leftChars="0" w:firstLine="0" w:firstLineChars="0"/>
                    <w:jc w:val="center"/>
                    <w:rPr>
                      <w:rFonts w:hint="eastAsia" w:eastAsia="宋体"/>
                      <w:b w:val="0"/>
                      <w:bCs w:val="0"/>
                      <w:kern w:val="0"/>
                      <w:sz w:val="21"/>
                      <w:szCs w:val="21"/>
                      <w:highlight w:val="none"/>
                      <w:lang w:eastAsia="zh-CN"/>
                    </w:rPr>
                  </w:pPr>
                  <w:r>
                    <w:rPr>
                      <w:rFonts w:hint="eastAsia"/>
                      <w:b w:val="0"/>
                      <w:bCs w:val="0"/>
                      <w:kern w:val="0"/>
                      <w:sz w:val="21"/>
                      <w:szCs w:val="21"/>
                      <w:highlight w:val="none"/>
                      <w:lang w:val="en-US" w:eastAsia="zh-CN"/>
                    </w:rPr>
                    <w:t>长度</w:t>
                  </w:r>
                </w:p>
              </w:tc>
              <w:tc>
                <w:tcPr>
                  <w:tcW w:w="829" w:type="pct"/>
                  <w:tcBorders>
                    <w:top w:val="single" w:color="auto" w:sz="4" w:space="0"/>
                    <w:tl2br w:val="nil"/>
                    <w:tr2bl w:val="nil"/>
                  </w:tcBorders>
                  <w:noWrap w:val="0"/>
                  <w:vAlign w:val="center"/>
                </w:tcPr>
                <w:p w14:paraId="400B4DC7">
                  <w:pPr>
                    <w:pStyle w:val="13"/>
                    <w:spacing w:after="0" w:line="240" w:lineRule="auto"/>
                    <w:ind w:left="0" w:leftChars="0" w:firstLine="0" w:firstLineChars="0"/>
                    <w:jc w:val="center"/>
                    <w:rPr>
                      <w:rFonts w:hint="eastAsia"/>
                      <w:b w:val="0"/>
                      <w:bCs w:val="0"/>
                      <w:kern w:val="0"/>
                      <w:sz w:val="21"/>
                      <w:szCs w:val="21"/>
                      <w:highlight w:val="none"/>
                    </w:rPr>
                  </w:pPr>
                  <w:r>
                    <w:rPr>
                      <w:rFonts w:hint="eastAsia"/>
                      <w:b w:val="0"/>
                      <w:bCs w:val="0"/>
                      <w:kern w:val="0"/>
                      <w:sz w:val="21"/>
                      <w:szCs w:val="21"/>
                      <w:highlight w:val="none"/>
                    </w:rPr>
                    <w:t>规格</w:t>
                  </w:r>
                </w:p>
              </w:tc>
              <w:tc>
                <w:tcPr>
                  <w:tcW w:w="1927" w:type="pct"/>
                  <w:tcBorders>
                    <w:top w:val="single" w:color="auto" w:sz="4" w:space="0"/>
                    <w:right w:val="single" w:color="auto" w:sz="4" w:space="0"/>
                    <w:tl2br w:val="nil"/>
                    <w:tr2bl w:val="nil"/>
                  </w:tcBorders>
                  <w:noWrap w:val="0"/>
                  <w:vAlign w:val="center"/>
                </w:tcPr>
                <w:p w14:paraId="00422996">
                  <w:pPr>
                    <w:pStyle w:val="13"/>
                    <w:spacing w:after="0" w:line="240" w:lineRule="auto"/>
                    <w:ind w:left="0" w:leftChars="0" w:firstLine="0" w:firstLineChars="0"/>
                    <w:jc w:val="center"/>
                    <w:rPr>
                      <w:rFonts w:hint="eastAsia"/>
                      <w:b w:val="0"/>
                      <w:bCs w:val="0"/>
                      <w:kern w:val="0"/>
                      <w:sz w:val="21"/>
                      <w:szCs w:val="21"/>
                      <w:highlight w:val="none"/>
                    </w:rPr>
                  </w:pPr>
                  <w:r>
                    <w:rPr>
                      <w:rFonts w:hint="eastAsia"/>
                      <w:b w:val="0"/>
                      <w:bCs w:val="0"/>
                      <w:kern w:val="0"/>
                      <w:sz w:val="21"/>
                      <w:szCs w:val="21"/>
                      <w:highlight w:val="none"/>
                    </w:rPr>
                    <w:t>备注</w:t>
                  </w:r>
                </w:p>
              </w:tc>
            </w:tr>
            <w:tr w14:paraId="3A830E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8" w:type="pct"/>
                  <w:tcBorders>
                    <w:left w:val="single" w:color="auto" w:sz="4" w:space="0"/>
                    <w:tl2br w:val="nil"/>
                    <w:tr2bl w:val="nil"/>
                  </w:tcBorders>
                  <w:noWrap w:val="0"/>
                  <w:vAlign w:val="center"/>
                </w:tcPr>
                <w:p w14:paraId="013306EC">
                  <w:pPr>
                    <w:pStyle w:val="13"/>
                    <w:spacing w:after="0" w:line="240" w:lineRule="auto"/>
                    <w:ind w:left="0" w:leftChars="0" w:firstLine="0" w:firstLineChars="0"/>
                    <w:jc w:val="center"/>
                    <w:rPr>
                      <w:rFonts w:hint="eastAsia"/>
                      <w:kern w:val="0"/>
                      <w:sz w:val="21"/>
                      <w:szCs w:val="21"/>
                      <w:highlight w:val="none"/>
                    </w:rPr>
                  </w:pPr>
                  <w:r>
                    <w:rPr>
                      <w:rFonts w:hint="eastAsia"/>
                      <w:kern w:val="0"/>
                      <w:sz w:val="21"/>
                      <w:szCs w:val="21"/>
                      <w:highlight w:val="none"/>
                    </w:rPr>
                    <w:t>1</w:t>
                  </w:r>
                </w:p>
              </w:tc>
              <w:tc>
                <w:tcPr>
                  <w:tcW w:w="1206" w:type="pct"/>
                  <w:tcBorders>
                    <w:tl2br w:val="nil"/>
                    <w:tr2bl w:val="nil"/>
                  </w:tcBorders>
                  <w:noWrap w:val="0"/>
                  <w:vAlign w:val="center"/>
                </w:tcPr>
                <w:p w14:paraId="7F8C7B6E">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费托轻质油管线</w:t>
                  </w:r>
                </w:p>
              </w:tc>
              <w:tc>
                <w:tcPr>
                  <w:tcW w:w="678" w:type="pct"/>
                  <w:tcBorders>
                    <w:tl2br w:val="nil"/>
                    <w:tr2bl w:val="nil"/>
                  </w:tcBorders>
                  <w:noWrap w:val="0"/>
                  <w:vAlign w:val="center"/>
                </w:tcPr>
                <w:p w14:paraId="588B03DB">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450m</w:t>
                  </w:r>
                </w:p>
              </w:tc>
              <w:tc>
                <w:tcPr>
                  <w:tcW w:w="829" w:type="pct"/>
                  <w:tcBorders>
                    <w:tl2br w:val="nil"/>
                    <w:tr2bl w:val="nil"/>
                  </w:tcBorders>
                  <w:noWrap w:val="0"/>
                  <w:vAlign w:val="center"/>
                </w:tcPr>
                <w:p w14:paraId="6871F52E">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rPr>
                    <w:t>DN</w:t>
                  </w:r>
                  <w:r>
                    <w:rPr>
                      <w:rFonts w:hint="eastAsia"/>
                      <w:kern w:val="0"/>
                      <w:sz w:val="21"/>
                      <w:szCs w:val="21"/>
                      <w:highlight w:val="none"/>
                      <w:lang w:val="en-US" w:eastAsia="zh-CN"/>
                    </w:rPr>
                    <w:t>150</w:t>
                  </w:r>
                </w:p>
              </w:tc>
              <w:tc>
                <w:tcPr>
                  <w:tcW w:w="1927" w:type="pct"/>
                  <w:tcBorders>
                    <w:right w:val="single" w:color="auto" w:sz="4" w:space="0"/>
                    <w:tl2br w:val="nil"/>
                    <w:tr2bl w:val="nil"/>
                  </w:tcBorders>
                  <w:noWrap w:val="0"/>
                  <w:vAlign w:val="center"/>
                </w:tcPr>
                <w:p w14:paraId="70927C5D">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依托油品加工装置加氢精制单元费托轻质油管线。</w:t>
                  </w:r>
                </w:p>
              </w:tc>
            </w:tr>
            <w:tr w14:paraId="0F6641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8" w:type="pct"/>
                  <w:tcBorders>
                    <w:left w:val="single" w:color="auto" w:sz="4" w:space="0"/>
                    <w:tl2br w:val="nil"/>
                    <w:tr2bl w:val="nil"/>
                  </w:tcBorders>
                  <w:noWrap w:val="0"/>
                  <w:vAlign w:val="center"/>
                </w:tcPr>
                <w:p w14:paraId="000A5318">
                  <w:pPr>
                    <w:pStyle w:val="13"/>
                    <w:spacing w:after="0" w:line="240" w:lineRule="auto"/>
                    <w:ind w:left="0" w:leftChars="0" w:firstLine="0" w:firstLineChars="0"/>
                    <w:jc w:val="center"/>
                    <w:rPr>
                      <w:rFonts w:hint="eastAsia" w:eastAsia="宋体"/>
                      <w:kern w:val="0"/>
                      <w:sz w:val="21"/>
                      <w:szCs w:val="21"/>
                      <w:highlight w:val="none"/>
                      <w:lang w:eastAsia="zh-CN"/>
                    </w:rPr>
                  </w:pPr>
                  <w:r>
                    <w:rPr>
                      <w:rFonts w:hint="eastAsia"/>
                      <w:kern w:val="0"/>
                      <w:sz w:val="21"/>
                      <w:szCs w:val="21"/>
                      <w:highlight w:val="none"/>
                      <w:lang w:val="en-US" w:eastAsia="zh-CN"/>
                    </w:rPr>
                    <w:t>2</w:t>
                  </w:r>
                </w:p>
              </w:tc>
              <w:tc>
                <w:tcPr>
                  <w:tcW w:w="1206" w:type="pct"/>
                  <w:tcBorders>
                    <w:tl2br w:val="nil"/>
                    <w:tr2bl w:val="nil"/>
                  </w:tcBorders>
                  <w:noWrap w:val="0"/>
                  <w:vAlign w:val="center"/>
                </w:tcPr>
                <w:p w14:paraId="4F990BB9">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C5烷烯烃管线</w:t>
                  </w:r>
                </w:p>
              </w:tc>
              <w:tc>
                <w:tcPr>
                  <w:tcW w:w="678" w:type="pct"/>
                  <w:tcBorders>
                    <w:tl2br w:val="nil"/>
                    <w:tr2bl w:val="nil"/>
                  </w:tcBorders>
                  <w:noWrap w:val="0"/>
                  <w:vAlign w:val="center"/>
                </w:tcPr>
                <w:p w14:paraId="1890C758">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1000m</w:t>
                  </w:r>
                </w:p>
              </w:tc>
              <w:tc>
                <w:tcPr>
                  <w:tcW w:w="829" w:type="pct"/>
                  <w:tcBorders>
                    <w:tl2br w:val="nil"/>
                    <w:tr2bl w:val="nil"/>
                  </w:tcBorders>
                  <w:noWrap w:val="0"/>
                  <w:vAlign w:val="center"/>
                </w:tcPr>
                <w:p w14:paraId="57023340">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rPr>
                    <w:t>DN</w:t>
                  </w:r>
                  <w:r>
                    <w:rPr>
                      <w:rFonts w:hint="eastAsia"/>
                      <w:kern w:val="0"/>
                      <w:sz w:val="21"/>
                      <w:szCs w:val="21"/>
                      <w:highlight w:val="none"/>
                      <w:lang w:val="en-US" w:eastAsia="zh-CN"/>
                    </w:rPr>
                    <w:t>50</w:t>
                  </w:r>
                </w:p>
              </w:tc>
              <w:tc>
                <w:tcPr>
                  <w:tcW w:w="1927" w:type="pct"/>
                  <w:tcBorders>
                    <w:right w:val="single" w:color="auto" w:sz="4" w:space="0"/>
                    <w:tl2br w:val="nil"/>
                    <w:tr2bl w:val="nil"/>
                  </w:tcBorders>
                  <w:noWrap w:val="0"/>
                  <w:vAlign w:val="top"/>
                </w:tcPr>
                <w:p w14:paraId="7046B60D">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新建</w:t>
                  </w:r>
                  <w:r>
                    <w:rPr>
                      <w:rFonts w:hint="eastAsia" w:cs="Times New Roman"/>
                      <w:kern w:val="0"/>
                      <w:sz w:val="21"/>
                      <w:szCs w:val="21"/>
                      <w:highlight w:val="none"/>
                      <w:lang w:val="en-US" w:eastAsia="zh-CN"/>
                    </w:rPr>
                    <w:t>架空</w:t>
                  </w:r>
                  <w:r>
                    <w:rPr>
                      <w:rFonts w:hint="eastAsia" w:ascii="Times New Roman" w:hAnsi="Times New Roman" w:eastAsia="宋体" w:cs="Times New Roman"/>
                      <w:kern w:val="0"/>
                      <w:sz w:val="21"/>
                      <w:szCs w:val="21"/>
                      <w:highlight w:val="none"/>
                      <w:lang w:val="en-US" w:eastAsia="zh-CN"/>
                    </w:rPr>
                    <w:t>管线1km，从项目厂区至</w:t>
                  </w:r>
                  <w:r>
                    <w:rPr>
                      <w:rFonts w:hint="eastAsia" w:cs="Times New Roman"/>
                      <w:kern w:val="0"/>
                      <w:sz w:val="21"/>
                      <w:szCs w:val="21"/>
                      <w:highlight w:val="none"/>
                      <w:lang w:val="en-US" w:eastAsia="zh-CN"/>
                    </w:rPr>
                    <w:t>本项目厂界，厂外管线不属于本次评价内容。</w:t>
                  </w:r>
                </w:p>
              </w:tc>
            </w:tr>
            <w:tr w14:paraId="437B3B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8" w:type="pct"/>
                  <w:tcBorders>
                    <w:left w:val="single" w:color="auto" w:sz="4" w:space="0"/>
                    <w:tl2br w:val="nil"/>
                    <w:tr2bl w:val="nil"/>
                  </w:tcBorders>
                  <w:noWrap w:val="0"/>
                  <w:vAlign w:val="center"/>
                </w:tcPr>
                <w:p w14:paraId="2780ACBC">
                  <w:pPr>
                    <w:pStyle w:val="13"/>
                    <w:spacing w:after="0" w:line="240" w:lineRule="auto"/>
                    <w:ind w:left="0" w:leftChars="0" w:firstLine="0" w:firstLineChars="0"/>
                    <w:jc w:val="center"/>
                    <w:rPr>
                      <w:rFonts w:hint="eastAsia" w:eastAsia="宋体"/>
                      <w:kern w:val="0"/>
                      <w:sz w:val="21"/>
                      <w:szCs w:val="21"/>
                      <w:highlight w:val="none"/>
                      <w:lang w:eastAsia="zh-CN"/>
                    </w:rPr>
                  </w:pPr>
                  <w:r>
                    <w:rPr>
                      <w:rFonts w:hint="eastAsia"/>
                      <w:kern w:val="0"/>
                      <w:sz w:val="21"/>
                      <w:szCs w:val="21"/>
                      <w:highlight w:val="none"/>
                      <w:lang w:val="en-US" w:eastAsia="zh-CN"/>
                    </w:rPr>
                    <w:t>3</w:t>
                  </w:r>
                </w:p>
              </w:tc>
              <w:tc>
                <w:tcPr>
                  <w:tcW w:w="1206" w:type="pct"/>
                  <w:tcBorders>
                    <w:tl2br w:val="nil"/>
                    <w:tr2bl w:val="nil"/>
                  </w:tcBorders>
                  <w:noWrap w:val="0"/>
                  <w:vAlign w:val="center"/>
                </w:tcPr>
                <w:p w14:paraId="064412EB">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C6+轻质油管线</w:t>
                  </w:r>
                </w:p>
              </w:tc>
              <w:tc>
                <w:tcPr>
                  <w:tcW w:w="678" w:type="pct"/>
                  <w:tcBorders>
                    <w:tl2br w:val="nil"/>
                    <w:tr2bl w:val="nil"/>
                  </w:tcBorders>
                  <w:noWrap w:val="0"/>
                  <w:vAlign w:val="center"/>
                </w:tcPr>
                <w:p w14:paraId="68660F37">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450m</w:t>
                  </w:r>
                </w:p>
              </w:tc>
              <w:tc>
                <w:tcPr>
                  <w:tcW w:w="829" w:type="pct"/>
                  <w:tcBorders>
                    <w:tl2br w:val="nil"/>
                    <w:tr2bl w:val="nil"/>
                  </w:tcBorders>
                  <w:noWrap w:val="0"/>
                  <w:vAlign w:val="center"/>
                </w:tcPr>
                <w:p w14:paraId="2181F531">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rPr>
                    <w:t>DN</w:t>
                  </w:r>
                  <w:r>
                    <w:rPr>
                      <w:rFonts w:hint="eastAsia"/>
                      <w:kern w:val="0"/>
                      <w:sz w:val="21"/>
                      <w:szCs w:val="21"/>
                      <w:highlight w:val="none"/>
                      <w:lang w:val="en-US" w:eastAsia="zh-CN"/>
                    </w:rPr>
                    <w:t>150</w:t>
                  </w:r>
                </w:p>
              </w:tc>
              <w:tc>
                <w:tcPr>
                  <w:tcW w:w="1927" w:type="pct"/>
                  <w:tcBorders>
                    <w:right w:val="single" w:color="auto" w:sz="4" w:space="0"/>
                    <w:tl2br w:val="nil"/>
                    <w:tr2bl w:val="nil"/>
                  </w:tcBorders>
                  <w:noWrap w:val="0"/>
                  <w:vAlign w:val="top"/>
                </w:tcPr>
                <w:p w14:paraId="51096E1F">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新建管线300m，直接接至伊泰化工加工精制单元。</w:t>
                  </w:r>
                </w:p>
              </w:tc>
            </w:tr>
            <w:tr w14:paraId="0A8B1C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8" w:type="pct"/>
                  <w:tcBorders>
                    <w:left w:val="single" w:color="auto" w:sz="4" w:space="0"/>
                    <w:bottom w:val="single" w:color="auto" w:sz="4" w:space="0"/>
                    <w:tl2br w:val="nil"/>
                    <w:tr2bl w:val="nil"/>
                  </w:tcBorders>
                  <w:noWrap w:val="0"/>
                  <w:vAlign w:val="center"/>
                </w:tcPr>
                <w:p w14:paraId="7FF5CACC">
                  <w:pPr>
                    <w:pStyle w:val="13"/>
                    <w:spacing w:after="0" w:line="240" w:lineRule="auto"/>
                    <w:ind w:left="0" w:leftChars="0" w:firstLine="0" w:firstLineChars="0"/>
                    <w:jc w:val="center"/>
                    <w:rPr>
                      <w:rFonts w:hint="eastAsia" w:eastAsia="宋体"/>
                      <w:kern w:val="0"/>
                      <w:sz w:val="21"/>
                      <w:szCs w:val="21"/>
                      <w:highlight w:val="none"/>
                      <w:lang w:val="en-US" w:eastAsia="zh-CN"/>
                    </w:rPr>
                  </w:pPr>
                  <w:r>
                    <w:rPr>
                      <w:rFonts w:hint="eastAsia"/>
                      <w:kern w:val="0"/>
                      <w:sz w:val="21"/>
                      <w:szCs w:val="21"/>
                      <w:highlight w:val="none"/>
                      <w:lang w:val="en-US" w:eastAsia="zh-CN"/>
                    </w:rPr>
                    <w:t>4</w:t>
                  </w:r>
                </w:p>
              </w:tc>
              <w:tc>
                <w:tcPr>
                  <w:tcW w:w="1206" w:type="pct"/>
                  <w:tcBorders>
                    <w:bottom w:val="single" w:color="auto" w:sz="4" w:space="0"/>
                    <w:tl2br w:val="nil"/>
                    <w:tr2bl w:val="nil"/>
                  </w:tcBorders>
                  <w:noWrap w:val="0"/>
                  <w:vAlign w:val="center"/>
                </w:tcPr>
                <w:p w14:paraId="158EC702">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不凝气管线</w:t>
                  </w:r>
                </w:p>
              </w:tc>
              <w:tc>
                <w:tcPr>
                  <w:tcW w:w="678" w:type="pct"/>
                  <w:tcBorders>
                    <w:bottom w:val="single" w:color="auto" w:sz="4" w:space="0"/>
                    <w:tl2br w:val="nil"/>
                    <w:tr2bl w:val="nil"/>
                  </w:tcBorders>
                  <w:noWrap w:val="0"/>
                  <w:vAlign w:val="center"/>
                </w:tcPr>
                <w:p w14:paraId="016B696F">
                  <w:pPr>
                    <w:pStyle w:val="13"/>
                    <w:spacing w:after="0" w:line="240" w:lineRule="auto"/>
                    <w:ind w:left="0" w:leftChars="0" w:firstLine="0" w:firstLineChars="0"/>
                    <w:jc w:val="center"/>
                    <w:rPr>
                      <w:rFonts w:hint="default"/>
                      <w:kern w:val="0"/>
                      <w:sz w:val="21"/>
                      <w:szCs w:val="21"/>
                      <w:highlight w:val="none"/>
                      <w:lang w:val="en-US" w:eastAsia="zh-CN"/>
                    </w:rPr>
                  </w:pPr>
                  <w:r>
                    <w:rPr>
                      <w:rFonts w:hint="eastAsia"/>
                      <w:kern w:val="0"/>
                      <w:sz w:val="21"/>
                      <w:szCs w:val="21"/>
                      <w:highlight w:val="none"/>
                      <w:lang w:val="en-US" w:eastAsia="zh-CN"/>
                    </w:rPr>
                    <w:t>850m</w:t>
                  </w:r>
                </w:p>
              </w:tc>
              <w:tc>
                <w:tcPr>
                  <w:tcW w:w="829" w:type="pct"/>
                  <w:tcBorders>
                    <w:bottom w:val="single" w:color="auto" w:sz="4" w:space="0"/>
                    <w:tl2br w:val="nil"/>
                    <w:tr2bl w:val="nil"/>
                  </w:tcBorders>
                  <w:noWrap w:val="0"/>
                  <w:vAlign w:val="center"/>
                </w:tcPr>
                <w:p w14:paraId="0CC82817">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DN50</w:t>
                  </w:r>
                </w:p>
              </w:tc>
              <w:tc>
                <w:tcPr>
                  <w:tcW w:w="1927" w:type="pct"/>
                  <w:tcBorders>
                    <w:bottom w:val="single" w:color="auto" w:sz="4" w:space="0"/>
                    <w:right w:val="single" w:color="auto" w:sz="4" w:space="0"/>
                    <w:tl2br w:val="nil"/>
                    <w:tr2bl w:val="nil"/>
                  </w:tcBorders>
                  <w:noWrap w:val="0"/>
                  <w:vAlign w:val="top"/>
                </w:tcPr>
                <w:p w14:paraId="1A11A6AD">
                  <w:pPr>
                    <w:pStyle w:val="13"/>
                    <w:spacing w:after="0" w:line="240" w:lineRule="auto"/>
                    <w:ind w:left="0" w:leftChars="0" w:firstLine="0" w:firstLineChars="0"/>
                    <w:jc w:val="center"/>
                    <w:rPr>
                      <w:rFonts w:hint="default" w:eastAsia="宋体"/>
                      <w:kern w:val="0"/>
                      <w:sz w:val="21"/>
                      <w:szCs w:val="21"/>
                      <w:highlight w:val="none"/>
                      <w:lang w:val="en-US" w:eastAsia="zh-CN"/>
                    </w:rPr>
                  </w:pPr>
                  <w:r>
                    <w:rPr>
                      <w:rFonts w:hint="eastAsia"/>
                      <w:kern w:val="0"/>
                      <w:sz w:val="21"/>
                      <w:szCs w:val="21"/>
                      <w:highlight w:val="none"/>
                      <w:lang w:val="en-US" w:eastAsia="zh-CN"/>
                    </w:rPr>
                    <w:t>依托油品合成装置FT合成单元不凝气</w:t>
                  </w:r>
                  <w:r>
                    <w:rPr>
                      <w:rFonts w:hint="eastAsia" w:ascii="Times New Roman" w:hAnsi="Times New Roman" w:eastAsia="宋体" w:cs="Times New Roman"/>
                      <w:kern w:val="0"/>
                      <w:sz w:val="21"/>
                      <w:szCs w:val="21"/>
                      <w:highlight w:val="none"/>
                      <w:lang w:val="en-US" w:eastAsia="zh-CN"/>
                    </w:rPr>
                    <w:t>经</w:t>
                  </w:r>
                  <w:r>
                    <w:rPr>
                      <w:rFonts w:hint="eastAsia" w:ascii="Times New Roman" w:hAnsi="Times New Roman" w:eastAsia="宋体" w:cs="Times New Roman"/>
                      <w:kern w:val="0"/>
                      <w:sz w:val="21"/>
                      <w:szCs w:val="21"/>
                      <w:highlight w:val="none"/>
                    </w:rPr>
                    <w:t>过</w:t>
                  </w:r>
                  <w:r>
                    <w:rPr>
                      <w:rFonts w:hint="eastAsia" w:ascii="Times New Roman" w:hAnsi="Times New Roman" w:eastAsia="宋体" w:cs="Times New Roman"/>
                      <w:kern w:val="0"/>
                      <w:sz w:val="21"/>
                      <w:szCs w:val="21"/>
                      <w:highlight w:val="none"/>
                      <w:lang w:val="en-US" w:eastAsia="zh-CN"/>
                    </w:rPr>
                    <w:t>合成装置</w:t>
                  </w:r>
                  <w:r>
                    <w:rPr>
                      <w:rFonts w:hint="eastAsia" w:ascii="Times New Roman" w:hAnsi="Times New Roman" w:eastAsia="宋体" w:cs="Times New Roman"/>
                      <w:kern w:val="0"/>
                      <w:sz w:val="21"/>
                      <w:szCs w:val="21"/>
                      <w:highlight w:val="none"/>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kern w:val="0"/>
                      <w:sz w:val="21"/>
                      <w:szCs w:val="21"/>
                      <w:highlight w:val="none"/>
                      <w:lang w:val="en-US" w:eastAsia="zh-CN"/>
                    </w:rPr>
                    <w:t>尾气脱碳单元一部分气体进入合</w:t>
                  </w:r>
                  <w:r>
                    <w:rPr>
                      <w:rFonts w:hint="eastAsia" w:cs="Times New Roman"/>
                      <w:kern w:val="0"/>
                      <w:sz w:val="21"/>
                      <w:szCs w:val="21"/>
                      <w:highlight w:val="none"/>
                      <w:lang w:val="en-US" w:eastAsia="zh-CN"/>
                    </w:rPr>
                    <w:t>成装置产出产品，另一部分气体进入加工油洗单元</w:t>
                  </w:r>
                  <w:r>
                    <w:rPr>
                      <w:rFonts w:hint="eastAsia" w:ascii="Times New Roman" w:hAnsi="Times New Roman" w:eastAsia="宋体" w:cs="Times New Roman"/>
                      <w:kern w:val="0"/>
                      <w:sz w:val="21"/>
                      <w:szCs w:val="21"/>
                      <w:highlight w:val="none"/>
                      <w:lang w:val="en-US" w:eastAsia="zh-CN"/>
                    </w:rPr>
                    <w:t>产出产品。</w:t>
                  </w:r>
                </w:p>
              </w:tc>
            </w:tr>
          </w:tbl>
          <w:p w14:paraId="20DE3CA4">
            <w:pPr>
              <w:adjustRightInd w:val="0"/>
              <w:snapToGrid w:val="0"/>
              <w:spacing w:line="360" w:lineRule="auto"/>
              <w:jc w:val="left"/>
              <w:rPr>
                <w:b/>
                <w:color w:val="000000"/>
                <w:sz w:val="24"/>
              </w:rPr>
            </w:pPr>
            <w:r>
              <w:rPr>
                <w:rFonts w:hint="eastAsia"/>
                <w:b/>
                <w:color w:val="000000"/>
                <w:sz w:val="24"/>
                <w:lang w:val="en-US" w:eastAsia="zh-CN"/>
              </w:rPr>
              <w:t>5.</w:t>
            </w:r>
            <w:r>
              <w:rPr>
                <w:b/>
                <w:color w:val="000000"/>
                <w:sz w:val="24"/>
              </w:rPr>
              <w:t>公用工程</w:t>
            </w:r>
          </w:p>
          <w:p w14:paraId="3F4ABE7C">
            <w:pPr>
              <w:adjustRightInd w:val="0"/>
              <w:snapToGrid w:val="0"/>
              <w:spacing w:line="360" w:lineRule="auto"/>
              <w:ind w:firstLine="482" w:firstLineChars="200"/>
              <w:rPr>
                <w:b/>
                <w:color w:val="000000"/>
                <w:sz w:val="24"/>
              </w:rPr>
            </w:pPr>
            <w:r>
              <w:rPr>
                <w:b/>
                <w:color w:val="000000"/>
                <w:sz w:val="24"/>
              </w:rPr>
              <w:fldChar w:fldCharType="begin"/>
            </w:r>
            <w:r>
              <w:rPr>
                <w:b/>
                <w:color w:val="000000"/>
                <w:sz w:val="24"/>
              </w:rPr>
              <w:instrText xml:space="preserve"> = 1 \* GB2 </w:instrText>
            </w:r>
            <w:r>
              <w:rPr>
                <w:b/>
                <w:color w:val="000000"/>
                <w:sz w:val="24"/>
              </w:rPr>
              <w:fldChar w:fldCharType="separate"/>
            </w:r>
            <w:r>
              <w:rPr>
                <w:rFonts w:hint="eastAsia" w:ascii="宋体" w:hAnsi="宋体" w:cs="宋体"/>
                <w:b/>
                <w:color w:val="000000"/>
                <w:sz w:val="24"/>
              </w:rPr>
              <w:t>⑴</w:t>
            </w:r>
            <w:r>
              <w:rPr>
                <w:b/>
                <w:color w:val="000000"/>
                <w:sz w:val="24"/>
              </w:rPr>
              <w:fldChar w:fldCharType="end"/>
            </w:r>
            <w:r>
              <w:rPr>
                <w:b/>
                <w:color w:val="000000"/>
                <w:sz w:val="24"/>
              </w:rPr>
              <w:t>给水</w:t>
            </w:r>
          </w:p>
          <w:p w14:paraId="413905A2">
            <w:pPr>
              <w:adjustRightInd w:val="0"/>
              <w:spacing w:line="360" w:lineRule="auto"/>
              <w:ind w:firstLine="480" w:firstLineChars="200"/>
              <w:rPr>
                <w:rFonts w:hint="default" w:eastAsia="宋体"/>
                <w:color w:val="000000"/>
                <w:sz w:val="24"/>
                <w:szCs w:val="24"/>
                <w:lang w:val="en-US" w:eastAsia="zh-CN"/>
              </w:rPr>
            </w:pPr>
            <w:r>
              <w:rPr>
                <w:color w:val="000000"/>
                <w:sz w:val="24"/>
              </w:rPr>
              <w:t>本项目</w:t>
            </w:r>
            <w:r>
              <w:rPr>
                <w:rFonts w:hint="eastAsia"/>
                <w:color w:val="000000"/>
                <w:sz w:val="24"/>
                <w:lang w:val="en-US" w:eastAsia="zh-CN"/>
              </w:rPr>
              <w:t>不新增劳动人员，</w:t>
            </w:r>
            <w:r>
              <w:rPr>
                <w:color w:val="000000"/>
                <w:sz w:val="24"/>
              </w:rPr>
              <w:t>用水主要为</w:t>
            </w:r>
            <w:r>
              <w:rPr>
                <w:rFonts w:hint="eastAsia"/>
                <w:color w:val="000000"/>
                <w:sz w:val="24"/>
              </w:rPr>
              <w:t>生产</w:t>
            </w:r>
            <w:r>
              <w:rPr>
                <w:rFonts w:hint="eastAsia"/>
                <w:color w:val="000000"/>
                <w:sz w:val="24"/>
                <w:lang w:val="en-US" w:eastAsia="zh-CN"/>
              </w:rPr>
              <w:t>用水</w:t>
            </w:r>
            <w:r>
              <w:rPr>
                <w:rFonts w:hint="eastAsia"/>
                <w:color w:val="000000"/>
                <w:sz w:val="24"/>
              </w:rPr>
              <w:t>、消防</w:t>
            </w:r>
            <w:r>
              <w:rPr>
                <w:rFonts w:hint="eastAsia"/>
                <w:color w:val="000000"/>
                <w:sz w:val="24"/>
                <w:lang w:val="en-US" w:eastAsia="zh-CN"/>
              </w:rPr>
              <w:t>用水</w:t>
            </w:r>
            <w:r>
              <w:rPr>
                <w:color w:val="000000"/>
                <w:sz w:val="24"/>
              </w:rPr>
              <w:t>。</w:t>
            </w:r>
            <w:r>
              <w:rPr>
                <w:rFonts w:hint="eastAsia"/>
                <w:color w:val="000000"/>
                <w:sz w:val="24"/>
                <w:lang w:val="en-US" w:eastAsia="zh-CN"/>
              </w:rPr>
              <w:t>本项目用水依托120万吨/年精细化学品示范项目现有用水系统和设施，新增用水量为水洗用水，用水量为0.25</w:t>
            </w:r>
            <w:r>
              <w:rPr>
                <w:rFonts w:hint="eastAsia"/>
                <w:color w:val="000000"/>
                <w:sz w:val="24"/>
              </w:rPr>
              <w:t>m</w:t>
            </w:r>
            <w:r>
              <w:rPr>
                <w:rFonts w:hint="eastAsia"/>
                <w:color w:val="000000"/>
                <w:sz w:val="24"/>
                <w:vertAlign w:val="superscript"/>
              </w:rPr>
              <w:t>3</w:t>
            </w:r>
            <w:r>
              <w:rPr>
                <w:rFonts w:hint="eastAsia"/>
                <w:color w:val="000000"/>
                <w:sz w:val="24"/>
              </w:rPr>
              <w:t>/</w:t>
            </w:r>
            <w:r>
              <w:rPr>
                <w:rFonts w:hint="eastAsia"/>
                <w:color w:val="000000"/>
                <w:sz w:val="24"/>
                <w:lang w:val="en-US" w:eastAsia="zh-CN"/>
              </w:rPr>
              <w:t>h。</w:t>
            </w:r>
          </w:p>
          <w:p w14:paraId="0AD6C8AA">
            <w:pPr>
              <w:numPr>
                <w:ilvl w:val="0"/>
                <w:numId w:val="3"/>
              </w:numPr>
              <w:adjustRightInd w:val="0"/>
              <w:snapToGrid w:val="0"/>
              <w:spacing w:line="360" w:lineRule="auto"/>
              <w:rPr>
                <w:color w:val="000000"/>
                <w:sz w:val="24"/>
              </w:rPr>
            </w:pPr>
            <w:r>
              <w:rPr>
                <w:color w:val="000000"/>
                <w:sz w:val="24"/>
              </w:rPr>
              <w:t>生产用水</w:t>
            </w:r>
          </w:p>
          <w:p w14:paraId="20A68A46">
            <w:pPr>
              <w:adjustRightInd w:val="0"/>
              <w:snapToGrid w:val="0"/>
              <w:spacing w:line="360" w:lineRule="auto"/>
              <w:ind w:firstLine="480" w:firstLineChars="200"/>
              <w:rPr>
                <w:bCs/>
                <w:kern w:val="0"/>
                <w:sz w:val="24"/>
              </w:rPr>
            </w:pPr>
            <w:r>
              <w:rPr>
                <w:bCs/>
                <w:kern w:val="0"/>
                <w:sz w:val="24"/>
              </w:rPr>
              <w:t>本项目生产用</w:t>
            </w:r>
            <w:r>
              <w:rPr>
                <w:rFonts w:hint="eastAsia"/>
                <w:bCs/>
                <w:kern w:val="0"/>
                <w:sz w:val="24"/>
              </w:rPr>
              <w:t>水</w:t>
            </w:r>
            <w:r>
              <w:rPr>
                <w:bCs/>
                <w:kern w:val="0"/>
                <w:sz w:val="24"/>
              </w:rPr>
              <w:t>环节</w:t>
            </w:r>
            <w:r>
              <w:rPr>
                <w:rFonts w:hint="eastAsia"/>
                <w:bCs/>
                <w:kern w:val="0"/>
                <w:sz w:val="24"/>
              </w:rPr>
              <w:t>主要为</w:t>
            </w:r>
            <w:r>
              <w:rPr>
                <w:rFonts w:hint="eastAsia"/>
                <w:bCs/>
                <w:kern w:val="0"/>
                <w:sz w:val="24"/>
                <w:lang w:val="en-US" w:eastAsia="zh-CN"/>
              </w:rPr>
              <w:t>水洗用水、</w:t>
            </w:r>
            <w:r>
              <w:rPr>
                <w:rFonts w:hint="eastAsia"/>
                <w:bCs/>
                <w:kern w:val="0"/>
                <w:sz w:val="24"/>
              </w:rPr>
              <w:t>循环水、消防水。</w:t>
            </w:r>
          </w:p>
          <w:p w14:paraId="490EB547">
            <w:pPr>
              <w:adjustRightInd w:val="0"/>
              <w:snapToGrid w:val="0"/>
              <w:spacing w:line="360" w:lineRule="auto"/>
              <w:ind w:firstLine="480" w:firstLineChars="200"/>
              <w:rPr>
                <w:rFonts w:hint="eastAsia"/>
                <w:color w:val="000000"/>
                <w:sz w:val="24"/>
              </w:rPr>
            </w:pPr>
            <w:r>
              <w:rPr>
                <w:color w:val="000000"/>
                <w:sz w:val="24"/>
              </w:rPr>
              <w:t>a循环</w:t>
            </w:r>
            <w:r>
              <w:rPr>
                <w:rFonts w:hint="eastAsia"/>
                <w:color w:val="000000"/>
                <w:sz w:val="24"/>
              </w:rPr>
              <w:t>水</w:t>
            </w:r>
          </w:p>
          <w:p w14:paraId="1F74F5FD">
            <w:pPr>
              <w:adjustRightInd w:val="0"/>
              <w:spacing w:line="360" w:lineRule="auto"/>
              <w:ind w:firstLine="480" w:firstLineChars="200"/>
              <w:rPr>
                <w:rFonts w:hint="default" w:eastAsia="宋体"/>
                <w:color w:val="000000"/>
                <w:sz w:val="24"/>
                <w:lang w:val="en-US" w:eastAsia="zh-CN"/>
              </w:rPr>
            </w:pPr>
            <w:r>
              <w:rPr>
                <w:rFonts w:hint="eastAsia"/>
                <w:color w:val="000000"/>
                <w:sz w:val="24"/>
              </w:rPr>
              <w:t>根据项目设计资料，项目循环水量</w:t>
            </w:r>
            <w:r>
              <w:rPr>
                <w:rFonts w:hint="eastAsia"/>
                <w:color w:val="000000"/>
                <w:sz w:val="24"/>
                <w:lang w:val="en-US" w:eastAsia="zh-CN"/>
              </w:rPr>
              <w:t>192.6</w:t>
            </w:r>
            <w:r>
              <w:rPr>
                <w:rFonts w:hint="eastAsia"/>
                <w:color w:val="000000"/>
                <w:sz w:val="24"/>
              </w:rPr>
              <w:t>m</w:t>
            </w:r>
            <w:r>
              <w:rPr>
                <w:rFonts w:hint="eastAsia"/>
                <w:color w:val="000000"/>
                <w:sz w:val="24"/>
                <w:vertAlign w:val="superscript"/>
              </w:rPr>
              <w:t>3</w:t>
            </w:r>
            <w:r>
              <w:rPr>
                <w:rFonts w:hint="eastAsia"/>
                <w:color w:val="000000"/>
                <w:sz w:val="24"/>
              </w:rPr>
              <w:t>/h，本项目依托于内蒙古伊泰化工有限责任公司120万吨/年精细化学品示范项目循环水系统，</w:t>
            </w:r>
            <w:r>
              <w:rPr>
                <w:rFonts w:hint="eastAsia"/>
                <w:color w:val="000000"/>
                <w:sz w:val="24"/>
                <w:lang w:val="en-US" w:eastAsia="zh-CN"/>
              </w:rPr>
              <w:t>该项目</w:t>
            </w:r>
            <w:r>
              <w:rPr>
                <w:rFonts w:hint="eastAsia"/>
                <w:color w:val="000000"/>
                <w:sz w:val="24"/>
              </w:rPr>
              <w:t>第三循环水站（开式）设计能力29000m</w:t>
            </w:r>
            <w:r>
              <w:rPr>
                <w:rFonts w:hint="eastAsia"/>
                <w:color w:val="000000"/>
                <w:sz w:val="24"/>
                <w:vertAlign w:val="superscript"/>
              </w:rPr>
              <w:t>3</w:t>
            </w:r>
            <w:r>
              <w:rPr>
                <w:rFonts w:hint="eastAsia"/>
                <w:color w:val="000000"/>
                <w:sz w:val="24"/>
              </w:rPr>
              <w:t>/h，目前第三循环水站实际最大循环水</w:t>
            </w:r>
            <w:r>
              <w:rPr>
                <w:rFonts w:hint="eastAsia"/>
                <w:color w:val="000000"/>
                <w:sz w:val="24"/>
                <w:lang w:val="en-US" w:eastAsia="zh-CN"/>
              </w:rPr>
              <w:t>用</w:t>
            </w:r>
            <w:r>
              <w:rPr>
                <w:rFonts w:hint="eastAsia"/>
                <w:color w:val="000000"/>
                <w:sz w:val="24"/>
              </w:rPr>
              <w:t>量为22164m</w:t>
            </w:r>
            <w:r>
              <w:rPr>
                <w:rFonts w:hint="eastAsia"/>
                <w:color w:val="000000"/>
                <w:sz w:val="24"/>
                <w:vertAlign w:val="superscript"/>
              </w:rPr>
              <w:t>3</w:t>
            </w:r>
            <w:r>
              <w:rPr>
                <w:rFonts w:hint="eastAsia"/>
                <w:color w:val="000000"/>
                <w:sz w:val="24"/>
              </w:rPr>
              <w:t>/h，本项目循环水用量为</w:t>
            </w:r>
            <w:r>
              <w:rPr>
                <w:rFonts w:hint="eastAsia"/>
                <w:color w:val="000000"/>
                <w:sz w:val="24"/>
                <w:lang w:val="en-US" w:eastAsia="zh-CN"/>
              </w:rPr>
              <w:t>192.6</w:t>
            </w:r>
            <w:r>
              <w:rPr>
                <w:rFonts w:hint="eastAsia"/>
                <w:color w:val="000000"/>
                <w:sz w:val="24"/>
              </w:rPr>
              <w:t>m</w:t>
            </w:r>
            <w:r>
              <w:rPr>
                <w:rFonts w:hint="eastAsia"/>
                <w:color w:val="000000"/>
                <w:sz w:val="24"/>
                <w:vertAlign w:val="superscript"/>
              </w:rPr>
              <w:t>3</w:t>
            </w:r>
            <w:r>
              <w:rPr>
                <w:rFonts w:hint="eastAsia"/>
                <w:color w:val="000000"/>
                <w:sz w:val="24"/>
              </w:rPr>
              <w:t>/h</w:t>
            </w:r>
            <w:r>
              <w:rPr>
                <w:rFonts w:hint="eastAsia"/>
                <w:color w:val="000000"/>
                <w:sz w:val="24"/>
                <w:lang w:eastAsia="zh-CN"/>
              </w:rPr>
              <w:t>，</w:t>
            </w:r>
            <w:r>
              <w:rPr>
                <w:rFonts w:hint="eastAsia"/>
                <w:color w:val="000000"/>
                <w:sz w:val="24"/>
                <w:lang w:val="en-US" w:eastAsia="zh-CN"/>
              </w:rPr>
              <w:t>可满足本项目使用需求，循环水站不新增排水。</w:t>
            </w:r>
            <w:r>
              <w:rPr>
                <w:rFonts w:hint="eastAsia"/>
                <w:color w:val="000000"/>
                <w:sz w:val="24"/>
              </w:rPr>
              <w:t>循环水系统上水界区压力0.45MPaG，界区温度32℃；回水界区压力0.2MPaG，界区温度40℃</w:t>
            </w:r>
            <w:r>
              <w:rPr>
                <w:color w:val="000000"/>
                <w:sz w:val="24"/>
              </w:rPr>
              <w:t>。</w:t>
            </w:r>
          </w:p>
          <w:p w14:paraId="1529D6F2">
            <w:pPr>
              <w:adjustRightInd w:val="0"/>
              <w:snapToGrid w:val="0"/>
              <w:spacing w:line="360" w:lineRule="auto"/>
              <w:ind w:firstLine="480" w:firstLineChars="200"/>
              <w:rPr>
                <w:rFonts w:hint="eastAsia" w:ascii="Times New Roman" w:hAnsi="Times New Roman" w:eastAsia="宋体" w:cs="Times New Roman"/>
                <w:color w:val="000000"/>
                <w:sz w:val="24"/>
                <w:lang w:val="en-US" w:eastAsia="zh-CN"/>
              </w:rPr>
            </w:pPr>
            <w:r>
              <w:rPr>
                <w:rFonts w:hint="eastAsia" w:cs="Times New Roman"/>
                <w:color w:val="000000"/>
                <w:sz w:val="24"/>
                <w:lang w:val="en-US" w:eastAsia="zh-CN"/>
              </w:rPr>
              <w:t>b</w:t>
            </w:r>
            <w:r>
              <w:rPr>
                <w:rFonts w:hint="eastAsia" w:ascii="Times New Roman" w:hAnsi="Times New Roman" w:eastAsia="宋体" w:cs="Times New Roman"/>
                <w:color w:val="000000"/>
                <w:sz w:val="24"/>
                <w:lang w:val="en-US" w:eastAsia="zh-CN"/>
              </w:rPr>
              <w:t>水洗用水</w:t>
            </w:r>
          </w:p>
          <w:p w14:paraId="4E82E504">
            <w:pPr>
              <w:adjustRightInd w:val="0"/>
              <w:snapToGrid w:val="0"/>
              <w:spacing w:line="360" w:lineRule="auto"/>
              <w:ind w:firstLine="480" w:firstLineChars="200"/>
              <w:rPr>
                <w:rFonts w:hint="eastAsia" w:ascii="Times New Roman" w:hAnsi="Times New Roman" w:eastAsia="宋体" w:cs="Times New Roman"/>
                <w:color w:val="000000"/>
                <w:sz w:val="24"/>
                <w:lang w:val="en-US" w:eastAsia="zh-CN"/>
              </w:rPr>
            </w:pPr>
            <w:r>
              <w:rPr>
                <w:rFonts w:hint="eastAsia"/>
                <w:color w:val="000000"/>
                <w:sz w:val="24"/>
              </w:rPr>
              <w:t>根据项目设计资料及物料平衡，</w:t>
            </w:r>
            <w:r>
              <w:rPr>
                <w:rFonts w:hint="eastAsia" w:ascii="Times New Roman" w:hAnsi="Times New Roman" w:eastAsia="宋体" w:cs="Times New Roman"/>
                <w:color w:val="000000"/>
                <w:sz w:val="24"/>
                <w:lang w:val="en-US" w:eastAsia="zh-CN"/>
              </w:rPr>
              <w:t>本项目工艺水洗用水量为0.25m</w:t>
            </w:r>
            <w:r>
              <w:rPr>
                <w:rFonts w:hint="eastAsia" w:ascii="Times New Roman" w:hAnsi="Times New Roman" w:eastAsia="宋体" w:cs="Times New Roman"/>
                <w:color w:val="000000"/>
                <w:sz w:val="24"/>
                <w:vertAlign w:val="superscript"/>
                <w:lang w:val="en-US" w:eastAsia="zh-CN"/>
              </w:rPr>
              <w:t>3</w:t>
            </w:r>
            <w:r>
              <w:rPr>
                <w:rFonts w:hint="eastAsia" w:ascii="Times New Roman" w:hAnsi="Times New Roman" w:eastAsia="宋体" w:cs="Times New Roman"/>
                <w:color w:val="000000"/>
                <w:sz w:val="24"/>
                <w:lang w:val="en-US" w:eastAsia="zh-CN"/>
              </w:rPr>
              <w:t>/h。</w:t>
            </w:r>
          </w:p>
          <w:p w14:paraId="12F072FA">
            <w:pPr>
              <w:adjustRightInd w:val="0"/>
              <w:snapToGrid w:val="0"/>
              <w:spacing w:line="360" w:lineRule="auto"/>
              <w:ind w:firstLine="480" w:firstLineChars="200"/>
              <w:rPr>
                <w:rFonts w:hint="eastAsia" w:ascii="Times New Roman" w:hAnsi="Times New Roman" w:eastAsia="宋体" w:cs="Times New Roman"/>
                <w:color w:val="000000"/>
                <w:sz w:val="24"/>
              </w:rPr>
            </w:pPr>
            <w:r>
              <w:rPr>
                <w:rFonts w:hint="eastAsia" w:cs="Times New Roman"/>
                <w:color w:val="000000"/>
                <w:sz w:val="24"/>
                <w:lang w:val="en-US" w:eastAsia="zh-CN"/>
              </w:rPr>
              <w:t>c</w:t>
            </w:r>
            <w:r>
              <w:rPr>
                <w:rFonts w:hint="eastAsia" w:ascii="Times New Roman" w:hAnsi="Times New Roman" w:eastAsia="宋体" w:cs="Times New Roman"/>
                <w:color w:val="000000"/>
                <w:sz w:val="24"/>
              </w:rPr>
              <w:t>消防水</w:t>
            </w:r>
          </w:p>
          <w:p w14:paraId="747BE5B1">
            <w:pPr>
              <w:adjustRightInd w:val="0"/>
              <w:snapToGrid w:val="0"/>
              <w:spacing w:line="360" w:lineRule="auto"/>
              <w:ind w:firstLine="480" w:firstLineChars="200"/>
              <w:rPr>
                <w:color w:val="000000"/>
                <w:sz w:val="24"/>
              </w:rPr>
            </w:pPr>
            <w:r>
              <w:rPr>
                <w:rFonts w:hint="eastAsia"/>
                <w:color w:val="000000"/>
                <w:sz w:val="24"/>
              </w:rPr>
              <w:t>本项目不新建消防站，依托</w:t>
            </w:r>
            <w:r>
              <w:rPr>
                <w:rFonts w:hint="eastAsia"/>
                <w:color w:val="000000"/>
                <w:sz w:val="24"/>
                <w:lang w:eastAsia="zh-CN"/>
              </w:rPr>
              <w:t>“</w:t>
            </w:r>
            <w:r>
              <w:rPr>
                <w:rFonts w:hint="eastAsia"/>
                <w:color w:val="000000"/>
                <w:sz w:val="24"/>
              </w:rPr>
              <w:t>内蒙古伊泰化工有限责任公司120万吨/年精细化学品示范项目</w:t>
            </w:r>
            <w:r>
              <w:rPr>
                <w:rFonts w:hint="eastAsia"/>
                <w:color w:val="000000"/>
                <w:sz w:val="24"/>
                <w:lang w:eastAsia="zh-CN"/>
              </w:rPr>
              <w:t>”</w:t>
            </w:r>
            <w:r>
              <w:rPr>
                <w:rFonts w:hint="eastAsia"/>
                <w:color w:val="000000"/>
                <w:sz w:val="24"/>
              </w:rPr>
              <w:t>厂区内建设的一座消防站作为机动消防力量。根据</w:t>
            </w:r>
            <w:r>
              <w:rPr>
                <w:rFonts w:hint="eastAsia"/>
                <w:color w:val="000000"/>
                <w:sz w:val="24"/>
                <w:lang w:val="en-US" w:eastAsia="zh-CN"/>
              </w:rPr>
              <w:t>企业提供资料</w:t>
            </w:r>
            <w:r>
              <w:rPr>
                <w:rFonts w:hint="eastAsia"/>
                <w:color w:val="000000"/>
                <w:sz w:val="24"/>
              </w:rPr>
              <w:t>，本项目设计流量300L/s，火灾延续时间6h，消防</w:t>
            </w:r>
            <w:r>
              <w:rPr>
                <w:rFonts w:hint="eastAsia"/>
                <w:color w:val="000000"/>
                <w:sz w:val="24"/>
                <w:lang w:val="en-US" w:eastAsia="zh-CN"/>
              </w:rPr>
              <w:t>用</w:t>
            </w:r>
            <w:r>
              <w:rPr>
                <w:rFonts w:hint="eastAsia"/>
                <w:color w:val="000000"/>
                <w:sz w:val="24"/>
              </w:rPr>
              <w:t>水量6480m</w:t>
            </w:r>
            <w:r>
              <w:rPr>
                <w:rFonts w:hint="eastAsia"/>
                <w:color w:val="000000"/>
                <w:sz w:val="24"/>
                <w:vertAlign w:val="superscript"/>
              </w:rPr>
              <w:t>3</w:t>
            </w:r>
            <w:r>
              <w:rPr>
                <w:rFonts w:hint="eastAsia"/>
                <w:color w:val="000000"/>
                <w:sz w:val="24"/>
              </w:rPr>
              <w:t>。</w:t>
            </w:r>
            <w:r>
              <w:rPr>
                <w:rFonts w:hint="eastAsia"/>
                <w:sz w:val="24"/>
              </w:rPr>
              <w:t>本项目依托</w:t>
            </w:r>
            <w:r>
              <w:rPr>
                <w:rFonts w:hint="eastAsia"/>
                <w:color w:val="000000"/>
                <w:sz w:val="24"/>
              </w:rPr>
              <w:t>内蒙古伊泰化工有限责任公司120万吨/年精细化学品示范项目</w:t>
            </w:r>
            <w:r>
              <w:rPr>
                <w:rFonts w:hint="eastAsia"/>
                <w:sz w:val="24"/>
              </w:rPr>
              <w:t>设置的</w:t>
            </w:r>
            <w:r>
              <w:rPr>
                <w:rFonts w:hint="eastAsia"/>
                <w:sz w:val="24"/>
                <w:lang w:val="en-US" w:eastAsia="zh-CN"/>
              </w:rPr>
              <w:t>1</w:t>
            </w:r>
            <w:r>
              <w:rPr>
                <w:rFonts w:hint="eastAsia"/>
                <w:sz w:val="24"/>
              </w:rPr>
              <w:t>座消防事故水池，有效容积为</w:t>
            </w:r>
            <w:r>
              <w:rPr>
                <w:sz w:val="24"/>
              </w:rPr>
              <w:t>3</w:t>
            </w:r>
            <w:r>
              <w:rPr>
                <w:rFonts w:hint="eastAsia"/>
                <w:sz w:val="24"/>
                <w:lang w:val="en-US" w:eastAsia="zh-CN"/>
              </w:rPr>
              <w:t>0</w:t>
            </w:r>
            <w:r>
              <w:rPr>
                <w:sz w:val="24"/>
              </w:rPr>
              <w:t>000m</w:t>
            </w:r>
            <w:r>
              <w:rPr>
                <w:sz w:val="24"/>
                <w:vertAlign w:val="superscript"/>
              </w:rPr>
              <w:t>3</w:t>
            </w:r>
            <w:r>
              <w:rPr>
                <w:rFonts w:hint="eastAsia"/>
                <w:sz w:val="24"/>
              </w:rPr>
              <w:t>。</w:t>
            </w:r>
            <w:r>
              <w:rPr>
                <w:rFonts w:hint="eastAsia"/>
                <w:color w:val="000000"/>
                <w:sz w:val="24"/>
              </w:rPr>
              <w:t>工艺装置周围设置环形稳高压消防水管道，管道上设置室外地上式消火栓，供消防车灭火及移动水炮使用。装置内沿消防通道亦设置消防水管道，并在管道上设置室外地上式消火栓</w:t>
            </w:r>
            <w:r>
              <w:rPr>
                <w:color w:val="000000"/>
                <w:sz w:val="24"/>
              </w:rPr>
              <w:t>。</w:t>
            </w:r>
          </w:p>
          <w:p w14:paraId="68631524">
            <w:pPr>
              <w:snapToGrid w:val="0"/>
              <w:spacing w:line="360" w:lineRule="auto"/>
              <w:ind w:firstLine="482" w:firstLineChars="200"/>
              <w:rPr>
                <w:b/>
                <w:color w:val="000000"/>
                <w:sz w:val="24"/>
              </w:rPr>
            </w:pPr>
            <w:r>
              <w:rPr>
                <w:b/>
                <w:color w:val="000000"/>
                <w:sz w:val="24"/>
              </w:rPr>
              <w:fldChar w:fldCharType="begin"/>
            </w:r>
            <w:r>
              <w:rPr>
                <w:b/>
                <w:color w:val="000000"/>
                <w:sz w:val="24"/>
              </w:rPr>
              <w:instrText xml:space="preserve"> = 2 \* GB2 </w:instrText>
            </w:r>
            <w:r>
              <w:rPr>
                <w:b/>
                <w:color w:val="000000"/>
                <w:sz w:val="24"/>
              </w:rPr>
              <w:fldChar w:fldCharType="separate"/>
            </w:r>
            <w:r>
              <w:rPr>
                <w:rFonts w:hint="eastAsia" w:ascii="宋体" w:hAnsi="宋体" w:cs="宋体"/>
                <w:b/>
                <w:color w:val="000000"/>
                <w:sz w:val="24"/>
              </w:rPr>
              <w:t>⑵</w:t>
            </w:r>
            <w:r>
              <w:rPr>
                <w:b/>
                <w:color w:val="000000"/>
                <w:sz w:val="24"/>
              </w:rPr>
              <w:fldChar w:fldCharType="end"/>
            </w:r>
            <w:r>
              <w:rPr>
                <w:b/>
                <w:color w:val="000000"/>
                <w:sz w:val="24"/>
              </w:rPr>
              <w:t>排水</w:t>
            </w:r>
          </w:p>
          <w:p w14:paraId="77D036F1">
            <w:pPr>
              <w:adjustRightInd w:val="0"/>
              <w:snapToGrid w:val="0"/>
              <w:spacing w:line="360" w:lineRule="auto"/>
              <w:ind w:firstLine="480" w:firstLineChars="200"/>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a</w:t>
            </w:r>
            <w:r>
              <w:rPr>
                <w:rFonts w:hint="eastAsia" w:ascii="Times New Roman" w:hAnsi="Times New Roman" w:eastAsia="宋体" w:cs="Times New Roman"/>
                <w:color w:val="000000"/>
                <w:sz w:val="24"/>
              </w:rPr>
              <w:t>生产污水排水系统</w:t>
            </w:r>
          </w:p>
          <w:p w14:paraId="65ABB828">
            <w:pPr>
              <w:pStyle w:val="397"/>
              <w:ind w:firstLine="480"/>
              <w:rPr>
                <w:rFonts w:ascii="Times New Roman"/>
                <w:color w:val="auto"/>
              </w:rPr>
            </w:pPr>
            <w:r>
              <w:rPr>
                <w:rFonts w:ascii="Times New Roman"/>
                <w:color w:val="auto"/>
              </w:rPr>
              <w:t>本项目生产污水主要为</w:t>
            </w:r>
            <w:r>
              <w:rPr>
                <w:rFonts w:hint="eastAsia" w:ascii="Times New Roman"/>
                <w:color w:val="auto"/>
                <w:lang w:val="en-US" w:eastAsia="zh-CN"/>
              </w:rPr>
              <w:t>水洗废水和凝结水</w:t>
            </w:r>
            <w:r>
              <w:rPr>
                <w:rFonts w:ascii="Times New Roman"/>
                <w:color w:val="auto"/>
              </w:rPr>
              <w:t>。</w:t>
            </w:r>
          </w:p>
          <w:p w14:paraId="1F0CDD8C">
            <w:pPr>
              <w:spacing w:line="360" w:lineRule="auto"/>
              <w:ind w:firstLine="480" w:firstLineChars="200"/>
              <w:rPr>
                <w:sz w:val="24"/>
              </w:rPr>
            </w:pPr>
            <w:r>
              <w:rPr>
                <w:rFonts w:hint="eastAsia"/>
                <w:bCs/>
                <w:kern w:val="0"/>
                <w:sz w:val="24"/>
                <w:lang w:val="en-US" w:eastAsia="zh-CN"/>
              </w:rPr>
              <w:t>本项目水洗废水量为0.22m</w:t>
            </w:r>
            <w:r>
              <w:rPr>
                <w:rFonts w:hint="eastAsia"/>
                <w:bCs/>
                <w:kern w:val="0"/>
                <w:sz w:val="24"/>
                <w:vertAlign w:val="superscript"/>
                <w:lang w:val="en-US" w:eastAsia="zh-CN"/>
              </w:rPr>
              <w:t>3</w:t>
            </w:r>
            <w:r>
              <w:rPr>
                <w:rFonts w:hint="eastAsia"/>
                <w:bCs/>
                <w:kern w:val="0"/>
                <w:sz w:val="24"/>
                <w:lang w:val="en-US" w:eastAsia="zh-CN"/>
              </w:rPr>
              <w:t>/h、凝结水量为7.6m</w:t>
            </w:r>
            <w:r>
              <w:rPr>
                <w:rFonts w:hint="eastAsia"/>
                <w:bCs/>
                <w:kern w:val="0"/>
                <w:sz w:val="24"/>
                <w:vertAlign w:val="superscript"/>
                <w:lang w:val="en-US" w:eastAsia="zh-CN"/>
              </w:rPr>
              <w:t>3</w:t>
            </w:r>
            <w:r>
              <w:rPr>
                <w:rFonts w:hint="eastAsia"/>
                <w:bCs/>
                <w:kern w:val="0"/>
                <w:sz w:val="24"/>
                <w:lang w:val="en-US" w:eastAsia="zh-CN"/>
              </w:rPr>
              <w:t>/h，</w:t>
            </w:r>
            <w:r>
              <w:rPr>
                <w:rFonts w:hint="eastAsia"/>
                <w:sz w:val="24"/>
                <w:lang w:val="en-US" w:eastAsia="zh-CN"/>
              </w:rPr>
              <w:t>本项目废水量为7.82</w:t>
            </w:r>
            <w:r>
              <w:rPr>
                <w:rFonts w:hint="eastAsia"/>
                <w:bCs/>
                <w:kern w:val="0"/>
                <w:sz w:val="24"/>
                <w:lang w:val="en-US" w:eastAsia="zh-CN"/>
              </w:rPr>
              <w:t>m</w:t>
            </w:r>
            <w:r>
              <w:rPr>
                <w:rFonts w:hint="eastAsia"/>
                <w:bCs/>
                <w:kern w:val="0"/>
                <w:sz w:val="24"/>
                <w:vertAlign w:val="superscript"/>
                <w:lang w:val="en-US" w:eastAsia="zh-CN"/>
              </w:rPr>
              <w:t>3</w:t>
            </w:r>
            <w:r>
              <w:rPr>
                <w:rFonts w:hint="eastAsia"/>
                <w:bCs/>
                <w:kern w:val="0"/>
                <w:sz w:val="24"/>
                <w:lang w:val="en-US" w:eastAsia="zh-CN"/>
              </w:rPr>
              <w:t>/h，凝结水和水洗废水送至污水处理厂</w:t>
            </w:r>
            <w:r>
              <w:rPr>
                <w:rFonts w:hint="eastAsia"/>
                <w:sz w:val="24"/>
              </w:rPr>
              <w:t>处理</w:t>
            </w:r>
            <w:r>
              <w:rPr>
                <w:sz w:val="24"/>
              </w:rPr>
              <w:t>。</w:t>
            </w:r>
          </w:p>
          <w:p w14:paraId="773EE69D">
            <w:pPr>
              <w:adjustRightInd w:val="0"/>
              <w:snapToGrid w:val="0"/>
              <w:spacing w:line="360" w:lineRule="auto"/>
              <w:ind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b雨水排水系统</w:t>
            </w:r>
          </w:p>
          <w:p w14:paraId="1C23D624">
            <w:pPr>
              <w:spacing w:line="360" w:lineRule="auto"/>
              <w:ind w:firstLine="480" w:firstLineChars="200"/>
              <w:rPr>
                <w:rFonts w:hint="eastAsia"/>
              </w:rPr>
            </w:pPr>
            <w:r>
              <w:rPr>
                <w:rFonts w:hint="eastAsia"/>
                <w:sz w:val="24"/>
              </w:rPr>
              <w:t>项目依托30万吨/年稳定轻烃和液化气改质装置项目的</w:t>
            </w:r>
            <w:r>
              <w:rPr>
                <w:rFonts w:hint="eastAsia"/>
                <w:sz w:val="24"/>
                <w:lang w:val="en-US" w:eastAsia="zh-CN"/>
              </w:rPr>
              <w:t>1</w:t>
            </w:r>
            <w:r>
              <w:rPr>
                <w:rFonts w:hint="eastAsia"/>
                <w:sz w:val="24"/>
              </w:rPr>
              <w:t>座</w:t>
            </w:r>
            <w:r>
              <w:rPr>
                <w:rFonts w:hint="eastAsia"/>
                <w:sz w:val="24"/>
                <w:lang w:val="en-US" w:eastAsia="zh-CN"/>
              </w:rPr>
              <w:t>初期</w:t>
            </w:r>
            <w:r>
              <w:rPr>
                <w:rFonts w:hint="eastAsia"/>
                <w:sz w:val="24"/>
              </w:rPr>
              <w:t>雨水池</w:t>
            </w:r>
            <w:r>
              <w:rPr>
                <w:rFonts w:hint="eastAsia"/>
                <w:sz w:val="24"/>
                <w:lang w:eastAsia="zh-CN"/>
              </w:rPr>
              <w:t>（</w:t>
            </w:r>
            <w:r>
              <w:rPr>
                <w:rFonts w:hint="eastAsia"/>
                <w:sz w:val="24"/>
              </w:rPr>
              <w:t>有效容积为</w:t>
            </w:r>
            <w:r>
              <w:rPr>
                <w:rFonts w:hint="eastAsia"/>
                <w:sz w:val="24"/>
                <w:lang w:val="en-US" w:eastAsia="zh-CN"/>
              </w:rPr>
              <w:t>105</w:t>
            </w:r>
            <w:r>
              <w:rPr>
                <w:rFonts w:hint="eastAsia"/>
                <w:sz w:val="24"/>
              </w:rPr>
              <w:t>m</w:t>
            </w:r>
            <w:r>
              <w:rPr>
                <w:rFonts w:hint="eastAsia"/>
                <w:sz w:val="24"/>
                <w:vertAlign w:val="superscript"/>
              </w:rPr>
              <w:t>3</w:t>
            </w:r>
            <w:r>
              <w:rPr>
                <w:rFonts w:hint="eastAsia"/>
                <w:sz w:val="24"/>
                <w:lang w:eastAsia="zh-CN"/>
              </w:rPr>
              <w:t>）</w:t>
            </w:r>
            <w:r>
              <w:rPr>
                <w:rFonts w:hint="eastAsia"/>
                <w:sz w:val="24"/>
              </w:rPr>
              <w:t>，</w:t>
            </w:r>
            <w:r>
              <w:rPr>
                <w:rFonts w:hint="eastAsia"/>
                <w:sz w:val="24"/>
                <w:lang w:val="en-US" w:eastAsia="zh-CN"/>
              </w:rPr>
              <w:t>1</w:t>
            </w:r>
            <w:r>
              <w:rPr>
                <w:rFonts w:hint="eastAsia"/>
                <w:sz w:val="24"/>
              </w:rPr>
              <w:t>座</w:t>
            </w:r>
            <w:r>
              <w:rPr>
                <w:rFonts w:hint="eastAsia"/>
                <w:sz w:val="24"/>
                <w:lang w:val="en-US" w:eastAsia="zh-CN"/>
              </w:rPr>
              <w:t>隔油</w:t>
            </w:r>
            <w:r>
              <w:rPr>
                <w:rFonts w:hint="eastAsia"/>
                <w:sz w:val="24"/>
              </w:rPr>
              <w:t>池</w:t>
            </w:r>
            <w:r>
              <w:rPr>
                <w:rFonts w:hint="eastAsia"/>
                <w:sz w:val="24"/>
                <w:lang w:eastAsia="zh-CN"/>
              </w:rPr>
              <w:t>（</w:t>
            </w:r>
            <w:r>
              <w:rPr>
                <w:rFonts w:hint="eastAsia"/>
                <w:sz w:val="24"/>
              </w:rPr>
              <w:t>有效容积为</w:t>
            </w:r>
            <w:r>
              <w:rPr>
                <w:rFonts w:hint="eastAsia"/>
                <w:sz w:val="24"/>
                <w:lang w:val="en-US" w:eastAsia="zh-CN"/>
              </w:rPr>
              <w:t>105</w:t>
            </w:r>
            <w:r>
              <w:rPr>
                <w:rFonts w:hint="eastAsia"/>
                <w:sz w:val="24"/>
              </w:rPr>
              <w:t>m</w:t>
            </w:r>
            <w:r>
              <w:rPr>
                <w:rFonts w:hint="eastAsia"/>
                <w:sz w:val="24"/>
                <w:vertAlign w:val="superscript"/>
              </w:rPr>
              <w:t>3</w:t>
            </w:r>
            <w:r>
              <w:rPr>
                <w:rFonts w:hint="eastAsia"/>
                <w:sz w:val="24"/>
                <w:lang w:eastAsia="zh-CN"/>
              </w:rPr>
              <w:t>）</w:t>
            </w:r>
            <w:r>
              <w:rPr>
                <w:rFonts w:hint="eastAsia"/>
                <w:sz w:val="24"/>
              </w:rPr>
              <w:t>。</w:t>
            </w:r>
          </w:p>
          <w:p w14:paraId="66A9E969">
            <w:pPr>
              <w:spacing w:line="360" w:lineRule="auto"/>
              <w:ind w:firstLine="480" w:firstLineChars="200"/>
              <w:rPr>
                <w:rFonts w:hint="eastAsia"/>
                <w:sz w:val="24"/>
              </w:rPr>
            </w:pPr>
            <w:r>
              <w:rPr>
                <w:rFonts w:hint="eastAsia"/>
                <w:sz w:val="24"/>
              </w:rPr>
              <w:t>初期雨水采用重力流管道收集，经过围堰收集后进入初期雨水池</w:t>
            </w:r>
            <w:r>
              <w:rPr>
                <w:rFonts w:hint="eastAsia"/>
                <w:sz w:val="24"/>
                <w:lang w:eastAsia="zh-CN"/>
              </w:rPr>
              <w:t>。</w:t>
            </w:r>
            <w:r>
              <w:rPr>
                <w:rFonts w:hint="eastAsia"/>
                <w:sz w:val="24"/>
                <w:lang w:val="en-US" w:eastAsia="zh-CN"/>
              </w:rPr>
              <w:t>装置内场地排雨水方式采用暗管排水方式，</w:t>
            </w:r>
            <w:r>
              <w:rPr>
                <w:rFonts w:hint="eastAsia"/>
                <w:sz w:val="24"/>
              </w:rPr>
              <w:t>经隔油池处理后送至伊泰化工有限责任公司污水处理厂处理</w:t>
            </w:r>
            <w:r>
              <w:rPr>
                <w:rFonts w:hint="eastAsia"/>
                <w:sz w:val="24"/>
                <w:lang w:eastAsia="zh-CN"/>
              </w:rPr>
              <w:t>。</w:t>
            </w:r>
            <w:r>
              <w:rPr>
                <w:rFonts w:hint="eastAsia"/>
                <w:sz w:val="24"/>
                <w:lang w:val="en-US" w:eastAsia="zh-CN"/>
              </w:rPr>
              <w:t>清净雨水经道路上设置的雨水篦井收集，由装置内管网系统汇入全厂管网</w:t>
            </w:r>
            <w:r>
              <w:rPr>
                <w:rFonts w:hint="eastAsia"/>
                <w:sz w:val="24"/>
              </w:rPr>
              <w:t>。</w:t>
            </w:r>
          </w:p>
          <w:p w14:paraId="014BD45A">
            <w:pPr>
              <w:adjustRightInd w:val="0"/>
              <w:snapToGrid w:val="0"/>
              <w:spacing w:line="360" w:lineRule="auto"/>
              <w:ind w:firstLine="480" w:firstLineChars="200"/>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lang w:val="en-US" w:eastAsia="zh-CN"/>
              </w:rPr>
              <w:t>c事故消防废水排水系统</w:t>
            </w:r>
          </w:p>
          <w:p w14:paraId="5CA054CF">
            <w:pPr>
              <w:spacing w:line="360" w:lineRule="auto"/>
              <w:ind w:firstLine="480" w:firstLineChars="200"/>
              <w:rPr>
                <w:bCs/>
                <w:kern w:val="0"/>
                <w:sz w:val="24"/>
              </w:rPr>
            </w:pPr>
            <w:r>
              <w:rPr>
                <w:rFonts w:hint="eastAsia"/>
                <w:sz w:val="24"/>
              </w:rPr>
              <w:t>发生消防事故时，有污染的各生产装置和辅助生产设施界区内消防事故污水，首先经装置区内管线重力排入装置区内</w:t>
            </w:r>
            <w:r>
              <w:rPr>
                <w:rFonts w:hint="eastAsia"/>
                <w:sz w:val="24"/>
                <w:lang w:val="en-US" w:eastAsia="zh-CN"/>
              </w:rPr>
              <w:t>初期雨水</w:t>
            </w:r>
            <w:r>
              <w:rPr>
                <w:rFonts w:hint="eastAsia"/>
                <w:sz w:val="24"/>
              </w:rPr>
              <w:t>池，</w:t>
            </w:r>
            <w:r>
              <w:rPr>
                <w:rFonts w:hint="eastAsia"/>
                <w:sz w:val="24"/>
                <w:lang w:val="en-US" w:eastAsia="zh-CN"/>
              </w:rPr>
              <w:t>雨水</w:t>
            </w:r>
            <w:r>
              <w:rPr>
                <w:rFonts w:hint="eastAsia"/>
                <w:sz w:val="24"/>
              </w:rPr>
              <w:t>池前设置溢流井，储满后，事故水经溢流井流到雨水管线，由雨水管线最终送至消防事故水池收集储存。本项目依托</w:t>
            </w:r>
            <w:r>
              <w:rPr>
                <w:rFonts w:hint="eastAsia"/>
                <w:color w:val="000000"/>
                <w:sz w:val="24"/>
              </w:rPr>
              <w:t>内蒙古伊泰化工有限责任公司120万吨/年精细化学品示范项目</w:t>
            </w:r>
            <w:r>
              <w:rPr>
                <w:rFonts w:hint="eastAsia"/>
                <w:sz w:val="24"/>
              </w:rPr>
              <w:t>设置的</w:t>
            </w:r>
            <w:r>
              <w:rPr>
                <w:rFonts w:hint="eastAsia"/>
                <w:sz w:val="24"/>
                <w:lang w:val="en-US" w:eastAsia="zh-CN"/>
              </w:rPr>
              <w:t>1</w:t>
            </w:r>
            <w:r>
              <w:rPr>
                <w:rFonts w:hint="eastAsia"/>
                <w:sz w:val="24"/>
              </w:rPr>
              <w:t>座消防事故水池，有效容积为</w:t>
            </w:r>
            <w:r>
              <w:rPr>
                <w:sz w:val="24"/>
              </w:rPr>
              <w:t>3</w:t>
            </w:r>
            <w:r>
              <w:rPr>
                <w:rFonts w:hint="eastAsia"/>
                <w:sz w:val="24"/>
                <w:lang w:val="en-US" w:eastAsia="zh-CN"/>
              </w:rPr>
              <w:t>0</w:t>
            </w:r>
            <w:r>
              <w:rPr>
                <w:sz w:val="24"/>
              </w:rPr>
              <w:t>000m</w:t>
            </w:r>
            <w:r>
              <w:rPr>
                <w:sz w:val="24"/>
                <w:vertAlign w:val="superscript"/>
              </w:rPr>
              <w:t>3</w:t>
            </w:r>
            <w:r>
              <w:rPr>
                <w:rFonts w:hint="eastAsia"/>
                <w:sz w:val="24"/>
              </w:rPr>
              <w:t>。</w:t>
            </w:r>
          </w:p>
          <w:p w14:paraId="7712E5F1">
            <w:pPr>
              <w:ind w:firstLine="2168" w:firstLineChars="900"/>
              <w:rPr>
                <w:b/>
                <w:bCs/>
                <w:color w:val="000000"/>
                <w:kern w:val="0"/>
                <w:sz w:val="24"/>
              </w:rPr>
            </w:pPr>
            <w:r>
              <w:rPr>
                <w:b/>
                <w:bCs/>
                <w:color w:val="000000"/>
                <w:kern w:val="0"/>
                <w:sz w:val="24"/>
              </w:rPr>
              <w:t>表2-</w:t>
            </w:r>
            <w:r>
              <w:rPr>
                <w:rFonts w:hint="eastAsia"/>
                <w:b/>
                <w:bCs/>
                <w:color w:val="000000"/>
                <w:kern w:val="0"/>
                <w:sz w:val="24"/>
                <w:lang w:val="en-US" w:eastAsia="zh-CN"/>
              </w:rPr>
              <w:t>10</w:t>
            </w:r>
            <w:r>
              <w:rPr>
                <w:b/>
                <w:bCs/>
                <w:color w:val="000000"/>
                <w:kern w:val="0"/>
                <w:sz w:val="24"/>
              </w:rPr>
              <w:t>全厂水量平衡一览表</w:t>
            </w:r>
            <w:r>
              <w:rPr>
                <w:rFonts w:hint="eastAsia"/>
                <w:b/>
                <w:bCs/>
                <w:color w:val="000000"/>
                <w:kern w:val="0"/>
                <w:sz w:val="24"/>
              </w:rPr>
              <w:t>（</w:t>
            </w:r>
            <w:r>
              <w:rPr>
                <w:b/>
                <w:bCs/>
                <w:color w:val="000000"/>
                <w:kern w:val="0"/>
                <w:sz w:val="24"/>
              </w:rPr>
              <w:t>单位：m</w:t>
            </w:r>
            <w:r>
              <w:rPr>
                <w:b/>
                <w:bCs/>
                <w:color w:val="000000"/>
                <w:kern w:val="0"/>
                <w:sz w:val="24"/>
                <w:vertAlign w:val="superscript"/>
              </w:rPr>
              <w:t>3</w:t>
            </w:r>
            <w:r>
              <w:rPr>
                <w:b/>
                <w:bCs/>
                <w:color w:val="000000"/>
                <w:kern w:val="0"/>
                <w:sz w:val="24"/>
              </w:rPr>
              <w:t>/</w:t>
            </w:r>
            <w:r>
              <w:rPr>
                <w:rFonts w:hint="eastAsia"/>
                <w:b/>
                <w:bCs/>
                <w:color w:val="000000"/>
                <w:kern w:val="0"/>
                <w:sz w:val="24"/>
                <w:lang w:val="en-US" w:eastAsia="zh-CN"/>
              </w:rPr>
              <w:t>h</w:t>
            </w:r>
            <w:r>
              <w:rPr>
                <w:rFonts w:hint="eastAsia"/>
                <w:b/>
                <w:bCs/>
                <w:color w:val="000000"/>
                <w:kern w:val="0"/>
                <w:sz w:val="24"/>
              </w:rPr>
              <w:t>）</w:t>
            </w:r>
          </w:p>
          <w:tbl>
            <w:tblPr>
              <w:tblStyle w:val="4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85"/>
              <w:gridCol w:w="1625"/>
              <w:gridCol w:w="1120"/>
              <w:gridCol w:w="1120"/>
              <w:gridCol w:w="1120"/>
              <w:gridCol w:w="1120"/>
              <w:gridCol w:w="1395"/>
            </w:tblGrid>
            <w:tr w14:paraId="6BE25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2" w:hRule="exact"/>
                <w:jc w:val="center"/>
              </w:trPr>
              <w:tc>
                <w:tcPr>
                  <w:tcW w:w="362" w:type="pct"/>
                  <w:tcBorders>
                    <w:tl2br w:val="nil"/>
                    <w:tr2bl w:val="nil"/>
                  </w:tcBorders>
                  <w:shd w:val="clear" w:color="auto" w:fill="FFFFFF"/>
                  <w:noWrap w:val="0"/>
                  <w:vAlign w:val="center"/>
                </w:tcPr>
                <w:p w14:paraId="6BE155C0">
                  <w:pPr>
                    <w:snapToGrid w:val="0"/>
                    <w:jc w:val="center"/>
                    <w:rPr>
                      <w:color w:val="000000"/>
                      <w:sz w:val="21"/>
                      <w:szCs w:val="21"/>
                    </w:rPr>
                  </w:pPr>
                  <w:r>
                    <w:rPr>
                      <w:color w:val="000000"/>
                      <w:sz w:val="21"/>
                      <w:szCs w:val="21"/>
                    </w:rPr>
                    <w:t>序号</w:t>
                  </w:r>
                </w:p>
              </w:tc>
              <w:tc>
                <w:tcPr>
                  <w:tcW w:w="1004" w:type="pct"/>
                  <w:tcBorders>
                    <w:tl2br w:val="nil"/>
                    <w:tr2bl w:val="nil"/>
                  </w:tcBorders>
                  <w:shd w:val="clear" w:color="auto" w:fill="FFFFFF"/>
                  <w:noWrap w:val="0"/>
                  <w:vAlign w:val="center"/>
                </w:tcPr>
                <w:p w14:paraId="32075287">
                  <w:pPr>
                    <w:snapToGrid w:val="0"/>
                    <w:jc w:val="center"/>
                    <w:rPr>
                      <w:color w:val="000000"/>
                      <w:sz w:val="21"/>
                      <w:szCs w:val="21"/>
                    </w:rPr>
                  </w:pPr>
                  <w:r>
                    <w:rPr>
                      <w:color w:val="000000"/>
                      <w:sz w:val="21"/>
                      <w:szCs w:val="21"/>
                    </w:rPr>
                    <w:t>项目</w:t>
                  </w:r>
                </w:p>
              </w:tc>
              <w:tc>
                <w:tcPr>
                  <w:tcW w:w="692" w:type="pct"/>
                  <w:tcBorders>
                    <w:tl2br w:val="nil"/>
                    <w:tr2bl w:val="nil"/>
                  </w:tcBorders>
                  <w:shd w:val="clear" w:color="auto" w:fill="FFFFFF"/>
                  <w:noWrap w:val="0"/>
                  <w:vAlign w:val="center"/>
                </w:tcPr>
                <w:p w14:paraId="7715DB2C">
                  <w:pPr>
                    <w:snapToGrid w:val="0"/>
                    <w:jc w:val="center"/>
                    <w:rPr>
                      <w:rFonts w:hint="default"/>
                      <w:color w:val="000000"/>
                      <w:sz w:val="21"/>
                      <w:szCs w:val="21"/>
                      <w:lang w:val="en-US" w:eastAsia="zh-CN"/>
                    </w:rPr>
                  </w:pPr>
                  <w:r>
                    <w:rPr>
                      <w:rFonts w:hint="eastAsia"/>
                      <w:color w:val="000000"/>
                      <w:sz w:val="21"/>
                      <w:szCs w:val="21"/>
                      <w:lang w:val="en-US" w:eastAsia="zh-CN"/>
                    </w:rPr>
                    <w:t>新鲜水</w:t>
                  </w:r>
                </w:p>
              </w:tc>
              <w:tc>
                <w:tcPr>
                  <w:tcW w:w="692" w:type="pct"/>
                  <w:tcBorders>
                    <w:tl2br w:val="nil"/>
                    <w:tr2bl w:val="nil"/>
                  </w:tcBorders>
                  <w:shd w:val="clear" w:color="auto" w:fill="FFFFFF"/>
                  <w:noWrap w:val="0"/>
                  <w:vAlign w:val="center"/>
                </w:tcPr>
                <w:p w14:paraId="783E80B2">
                  <w:pPr>
                    <w:snapToGrid w:val="0"/>
                    <w:jc w:val="center"/>
                    <w:rPr>
                      <w:rFonts w:hint="default"/>
                      <w:color w:val="000000"/>
                      <w:sz w:val="21"/>
                      <w:szCs w:val="21"/>
                      <w:lang w:val="en-US" w:eastAsia="zh-CN"/>
                    </w:rPr>
                  </w:pPr>
                  <w:r>
                    <w:rPr>
                      <w:rFonts w:hint="eastAsia"/>
                      <w:color w:val="000000"/>
                      <w:sz w:val="21"/>
                      <w:szCs w:val="21"/>
                      <w:lang w:val="en-US" w:eastAsia="zh-CN"/>
                    </w:rPr>
                    <w:t>蒸汽</w:t>
                  </w:r>
                </w:p>
              </w:tc>
              <w:tc>
                <w:tcPr>
                  <w:tcW w:w="692" w:type="pct"/>
                  <w:tcBorders>
                    <w:tl2br w:val="nil"/>
                    <w:tr2bl w:val="nil"/>
                  </w:tcBorders>
                  <w:shd w:val="clear" w:color="auto" w:fill="FFFFFF"/>
                  <w:noWrap w:val="0"/>
                  <w:vAlign w:val="center"/>
                </w:tcPr>
                <w:p w14:paraId="68565772">
                  <w:pPr>
                    <w:snapToGrid w:val="0"/>
                    <w:jc w:val="center"/>
                    <w:rPr>
                      <w:rFonts w:hint="eastAsia" w:eastAsia="宋体"/>
                      <w:color w:val="000000"/>
                      <w:sz w:val="21"/>
                      <w:szCs w:val="21"/>
                      <w:lang w:eastAsia="zh-CN"/>
                    </w:rPr>
                  </w:pPr>
                  <w:r>
                    <w:rPr>
                      <w:rFonts w:hint="eastAsia"/>
                      <w:color w:val="000000"/>
                      <w:sz w:val="21"/>
                      <w:szCs w:val="21"/>
                      <w:lang w:val="en-US" w:eastAsia="zh-CN"/>
                    </w:rPr>
                    <w:t>循环水</w:t>
                  </w:r>
                </w:p>
              </w:tc>
              <w:tc>
                <w:tcPr>
                  <w:tcW w:w="692" w:type="pct"/>
                  <w:tcBorders>
                    <w:tl2br w:val="nil"/>
                    <w:tr2bl w:val="nil"/>
                  </w:tcBorders>
                  <w:shd w:val="clear" w:color="auto" w:fill="FFFFFF"/>
                  <w:noWrap w:val="0"/>
                  <w:vAlign w:val="center"/>
                </w:tcPr>
                <w:p w14:paraId="3443F201">
                  <w:pPr>
                    <w:snapToGrid w:val="0"/>
                    <w:jc w:val="center"/>
                    <w:rPr>
                      <w:color w:val="000000"/>
                      <w:sz w:val="21"/>
                      <w:szCs w:val="21"/>
                    </w:rPr>
                  </w:pPr>
                  <w:r>
                    <w:rPr>
                      <w:color w:val="000000"/>
                      <w:sz w:val="21"/>
                      <w:szCs w:val="21"/>
                    </w:rPr>
                    <w:t>损耗量</w:t>
                  </w:r>
                </w:p>
              </w:tc>
              <w:tc>
                <w:tcPr>
                  <w:tcW w:w="862" w:type="pct"/>
                  <w:tcBorders>
                    <w:tl2br w:val="nil"/>
                    <w:tr2bl w:val="nil"/>
                  </w:tcBorders>
                  <w:shd w:val="clear" w:color="auto" w:fill="FFFFFF"/>
                  <w:noWrap w:val="0"/>
                  <w:vAlign w:val="center"/>
                </w:tcPr>
                <w:p w14:paraId="7BF0A06C">
                  <w:pPr>
                    <w:snapToGrid w:val="0"/>
                    <w:jc w:val="center"/>
                    <w:rPr>
                      <w:color w:val="000000"/>
                      <w:sz w:val="21"/>
                      <w:szCs w:val="21"/>
                    </w:rPr>
                  </w:pPr>
                  <w:r>
                    <w:rPr>
                      <w:color w:val="000000"/>
                      <w:sz w:val="21"/>
                      <w:szCs w:val="21"/>
                    </w:rPr>
                    <w:t>排放量</w:t>
                  </w:r>
                </w:p>
              </w:tc>
            </w:tr>
            <w:tr w14:paraId="7F03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6" w:hRule="exact"/>
                <w:jc w:val="center"/>
              </w:trPr>
              <w:tc>
                <w:tcPr>
                  <w:tcW w:w="362" w:type="pct"/>
                  <w:tcBorders>
                    <w:tl2br w:val="nil"/>
                    <w:tr2bl w:val="nil"/>
                  </w:tcBorders>
                  <w:shd w:val="clear" w:color="auto" w:fill="FFFFFF"/>
                  <w:noWrap w:val="0"/>
                  <w:vAlign w:val="center"/>
                </w:tcPr>
                <w:p w14:paraId="21D6315D">
                  <w:pPr>
                    <w:snapToGrid w:val="0"/>
                    <w:jc w:val="center"/>
                    <w:rPr>
                      <w:rFonts w:hint="eastAsia" w:eastAsia="宋体"/>
                      <w:color w:val="000000"/>
                      <w:sz w:val="21"/>
                      <w:szCs w:val="21"/>
                      <w:lang w:eastAsia="zh-CN"/>
                    </w:rPr>
                  </w:pPr>
                  <w:r>
                    <w:rPr>
                      <w:rFonts w:hint="eastAsia"/>
                      <w:color w:val="000000"/>
                      <w:sz w:val="21"/>
                      <w:szCs w:val="21"/>
                      <w:lang w:val="en-US" w:eastAsia="zh-CN"/>
                    </w:rPr>
                    <w:t>1</w:t>
                  </w:r>
                </w:p>
              </w:tc>
              <w:tc>
                <w:tcPr>
                  <w:tcW w:w="1004" w:type="pct"/>
                  <w:tcBorders>
                    <w:tl2br w:val="nil"/>
                    <w:tr2bl w:val="nil"/>
                  </w:tcBorders>
                  <w:shd w:val="clear" w:color="auto" w:fill="FFFFFF"/>
                  <w:noWrap w:val="0"/>
                  <w:vAlign w:val="center"/>
                </w:tcPr>
                <w:p w14:paraId="23A22AF6">
                  <w:pPr>
                    <w:snapToGrid w:val="0"/>
                    <w:jc w:val="center"/>
                    <w:rPr>
                      <w:rFonts w:hint="eastAsia" w:eastAsia="宋体"/>
                      <w:color w:val="000000"/>
                      <w:sz w:val="21"/>
                      <w:szCs w:val="21"/>
                      <w:lang w:eastAsia="zh-CN"/>
                    </w:rPr>
                  </w:pPr>
                  <w:r>
                    <w:rPr>
                      <w:color w:val="000000"/>
                      <w:sz w:val="21"/>
                      <w:szCs w:val="21"/>
                    </w:rPr>
                    <w:t>循环水</w:t>
                  </w:r>
                  <w:r>
                    <w:rPr>
                      <w:rFonts w:hint="eastAsia"/>
                      <w:color w:val="000000"/>
                      <w:sz w:val="21"/>
                      <w:szCs w:val="21"/>
                      <w:lang w:eastAsia="zh-CN"/>
                    </w:rPr>
                    <w:t>（</w:t>
                  </w:r>
                  <w:r>
                    <w:rPr>
                      <w:rFonts w:hint="eastAsia"/>
                      <w:color w:val="000000"/>
                      <w:sz w:val="21"/>
                      <w:szCs w:val="21"/>
                      <w:lang w:val="en-US" w:eastAsia="zh-CN"/>
                    </w:rPr>
                    <w:t>补排水量不计入本项目</w:t>
                  </w:r>
                  <w:r>
                    <w:rPr>
                      <w:rFonts w:hint="eastAsia"/>
                      <w:color w:val="000000"/>
                      <w:sz w:val="21"/>
                      <w:szCs w:val="21"/>
                      <w:lang w:eastAsia="zh-CN"/>
                    </w:rPr>
                    <w:t>）</w:t>
                  </w:r>
                </w:p>
              </w:tc>
              <w:tc>
                <w:tcPr>
                  <w:tcW w:w="692" w:type="pct"/>
                  <w:tcBorders>
                    <w:tl2br w:val="nil"/>
                    <w:tr2bl w:val="nil"/>
                  </w:tcBorders>
                  <w:shd w:val="clear" w:color="auto" w:fill="FFFFFF"/>
                  <w:noWrap w:val="0"/>
                  <w:vAlign w:val="center"/>
                </w:tcPr>
                <w:p w14:paraId="08ACBC4C">
                  <w:pPr>
                    <w:snapToGrid w:val="0"/>
                    <w:jc w:val="center"/>
                    <w:rPr>
                      <w:rFonts w:hint="eastAsia"/>
                      <w:color w:val="000000"/>
                      <w:sz w:val="21"/>
                      <w:szCs w:val="21"/>
                      <w:lang w:val="en-US" w:eastAsia="zh-CN"/>
                    </w:rPr>
                  </w:pPr>
                </w:p>
              </w:tc>
              <w:tc>
                <w:tcPr>
                  <w:tcW w:w="692" w:type="pct"/>
                  <w:tcBorders>
                    <w:tl2br w:val="nil"/>
                    <w:tr2bl w:val="nil"/>
                  </w:tcBorders>
                  <w:shd w:val="clear" w:color="auto" w:fill="FFFFFF"/>
                  <w:noWrap w:val="0"/>
                  <w:vAlign w:val="center"/>
                </w:tcPr>
                <w:p w14:paraId="6D666C13">
                  <w:pPr>
                    <w:snapToGrid w:val="0"/>
                    <w:jc w:val="center"/>
                    <w:rPr>
                      <w:rFonts w:hint="eastAsia"/>
                      <w:color w:val="000000"/>
                      <w:sz w:val="21"/>
                      <w:szCs w:val="21"/>
                      <w:lang w:val="en-US" w:eastAsia="zh-CN"/>
                    </w:rPr>
                  </w:pPr>
                </w:p>
              </w:tc>
              <w:tc>
                <w:tcPr>
                  <w:tcW w:w="692" w:type="pct"/>
                  <w:tcBorders>
                    <w:tl2br w:val="nil"/>
                    <w:tr2bl w:val="nil"/>
                  </w:tcBorders>
                  <w:shd w:val="clear" w:color="auto" w:fill="FFFFFF"/>
                  <w:noWrap w:val="0"/>
                  <w:vAlign w:val="center"/>
                </w:tcPr>
                <w:p w14:paraId="340F770B">
                  <w:pPr>
                    <w:snapToGrid w:val="0"/>
                    <w:jc w:val="center"/>
                    <w:rPr>
                      <w:rFonts w:hint="default" w:eastAsia="宋体"/>
                      <w:color w:val="000000"/>
                      <w:sz w:val="21"/>
                      <w:szCs w:val="21"/>
                      <w:lang w:val="en-US" w:eastAsia="zh-CN"/>
                    </w:rPr>
                  </w:pPr>
                  <w:r>
                    <w:rPr>
                      <w:rFonts w:hint="eastAsia"/>
                      <w:color w:val="000000"/>
                      <w:sz w:val="21"/>
                      <w:szCs w:val="21"/>
                      <w:lang w:val="en-US" w:eastAsia="zh-CN"/>
                    </w:rPr>
                    <w:t>192.6</w:t>
                  </w:r>
                </w:p>
              </w:tc>
              <w:tc>
                <w:tcPr>
                  <w:tcW w:w="692" w:type="pct"/>
                  <w:tcBorders>
                    <w:tl2br w:val="nil"/>
                    <w:tr2bl w:val="nil"/>
                  </w:tcBorders>
                  <w:shd w:val="clear" w:color="auto" w:fill="FFFFFF"/>
                  <w:noWrap w:val="0"/>
                  <w:vAlign w:val="center"/>
                </w:tcPr>
                <w:p w14:paraId="33D49C08">
                  <w:pPr>
                    <w:snapToGrid w:val="0"/>
                    <w:jc w:val="center"/>
                    <w:rPr>
                      <w:rFonts w:hint="eastAsia" w:eastAsia="宋体"/>
                      <w:color w:val="000000"/>
                      <w:sz w:val="21"/>
                      <w:szCs w:val="21"/>
                      <w:lang w:eastAsia="zh-CN"/>
                    </w:rPr>
                  </w:pPr>
                  <w:r>
                    <w:rPr>
                      <w:rFonts w:hint="eastAsia"/>
                      <w:color w:val="000000"/>
                      <w:sz w:val="21"/>
                      <w:szCs w:val="21"/>
                      <w:lang w:val="en-US" w:eastAsia="zh-CN"/>
                    </w:rPr>
                    <w:t>/</w:t>
                  </w:r>
                </w:p>
              </w:tc>
              <w:tc>
                <w:tcPr>
                  <w:tcW w:w="862" w:type="pct"/>
                  <w:tcBorders>
                    <w:tl2br w:val="nil"/>
                    <w:tr2bl w:val="nil"/>
                  </w:tcBorders>
                  <w:shd w:val="clear" w:color="auto" w:fill="FFFFFF"/>
                  <w:noWrap w:val="0"/>
                  <w:vAlign w:val="center"/>
                </w:tcPr>
                <w:p w14:paraId="61A431E3">
                  <w:pPr>
                    <w:snapToGrid w:val="0"/>
                    <w:jc w:val="center"/>
                    <w:rPr>
                      <w:rFonts w:hint="default" w:eastAsia="宋体"/>
                      <w:color w:val="000000"/>
                      <w:sz w:val="21"/>
                      <w:szCs w:val="21"/>
                      <w:lang w:val="en-US" w:eastAsia="zh-CN"/>
                    </w:rPr>
                  </w:pPr>
                  <w:r>
                    <w:rPr>
                      <w:rFonts w:hint="eastAsia"/>
                      <w:color w:val="000000"/>
                      <w:sz w:val="21"/>
                      <w:szCs w:val="21"/>
                      <w:lang w:val="en-US" w:eastAsia="zh-CN"/>
                    </w:rPr>
                    <w:t>/</w:t>
                  </w:r>
                </w:p>
              </w:tc>
            </w:tr>
            <w:tr w14:paraId="05A55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7" w:hRule="exact"/>
                <w:jc w:val="center"/>
              </w:trPr>
              <w:tc>
                <w:tcPr>
                  <w:tcW w:w="362" w:type="pct"/>
                  <w:tcBorders>
                    <w:tl2br w:val="nil"/>
                    <w:tr2bl w:val="nil"/>
                  </w:tcBorders>
                  <w:shd w:val="clear" w:color="auto" w:fill="FFFFFF"/>
                  <w:noWrap w:val="0"/>
                  <w:vAlign w:val="center"/>
                </w:tcPr>
                <w:p w14:paraId="0AE28E3A">
                  <w:pPr>
                    <w:snapToGrid w:val="0"/>
                    <w:jc w:val="center"/>
                    <w:rPr>
                      <w:rFonts w:hint="default"/>
                      <w:color w:val="000000"/>
                      <w:sz w:val="21"/>
                      <w:szCs w:val="21"/>
                      <w:lang w:val="en-US" w:eastAsia="zh-CN"/>
                    </w:rPr>
                  </w:pPr>
                  <w:r>
                    <w:rPr>
                      <w:rFonts w:hint="eastAsia"/>
                      <w:color w:val="000000"/>
                      <w:sz w:val="21"/>
                      <w:szCs w:val="21"/>
                      <w:lang w:val="en-US" w:eastAsia="zh-CN"/>
                    </w:rPr>
                    <w:t>2</w:t>
                  </w:r>
                </w:p>
              </w:tc>
              <w:tc>
                <w:tcPr>
                  <w:tcW w:w="1004" w:type="pct"/>
                  <w:tcBorders>
                    <w:tl2br w:val="nil"/>
                    <w:tr2bl w:val="nil"/>
                  </w:tcBorders>
                  <w:shd w:val="clear" w:color="auto" w:fill="FFFFFF"/>
                  <w:noWrap w:val="0"/>
                  <w:vAlign w:val="center"/>
                </w:tcPr>
                <w:p w14:paraId="2F766B92">
                  <w:pPr>
                    <w:jc w:val="center"/>
                    <w:rPr>
                      <w:rFonts w:hint="default"/>
                      <w:color w:val="000000"/>
                      <w:sz w:val="21"/>
                      <w:szCs w:val="21"/>
                      <w:lang w:val="en-US" w:eastAsia="zh-CN"/>
                    </w:rPr>
                  </w:pPr>
                  <w:r>
                    <w:rPr>
                      <w:rFonts w:hint="eastAsia"/>
                      <w:color w:val="000000"/>
                      <w:sz w:val="21"/>
                      <w:szCs w:val="21"/>
                      <w:lang w:val="en-US" w:eastAsia="zh-CN"/>
                    </w:rPr>
                    <w:t>水洗废水</w:t>
                  </w:r>
                </w:p>
              </w:tc>
              <w:tc>
                <w:tcPr>
                  <w:tcW w:w="692" w:type="pct"/>
                  <w:tcBorders>
                    <w:tl2br w:val="nil"/>
                    <w:tr2bl w:val="nil"/>
                  </w:tcBorders>
                  <w:shd w:val="clear" w:color="auto" w:fill="FFFFFF"/>
                  <w:noWrap w:val="0"/>
                  <w:vAlign w:val="center"/>
                </w:tcPr>
                <w:p w14:paraId="17EE640B">
                  <w:pPr>
                    <w:autoSpaceDN w:val="0"/>
                    <w:jc w:val="center"/>
                    <w:textAlignment w:val="center"/>
                    <w:rPr>
                      <w:rFonts w:hint="default"/>
                      <w:color w:val="000000"/>
                      <w:sz w:val="21"/>
                      <w:szCs w:val="21"/>
                      <w:lang w:val="en-US" w:eastAsia="zh-CN"/>
                    </w:rPr>
                  </w:pPr>
                  <w:r>
                    <w:rPr>
                      <w:rFonts w:hint="eastAsia"/>
                      <w:color w:val="000000"/>
                      <w:sz w:val="21"/>
                      <w:szCs w:val="21"/>
                      <w:lang w:val="en-US" w:eastAsia="zh-CN"/>
                    </w:rPr>
                    <w:t>0.25</w:t>
                  </w:r>
                </w:p>
              </w:tc>
              <w:tc>
                <w:tcPr>
                  <w:tcW w:w="692" w:type="pct"/>
                  <w:tcBorders>
                    <w:tl2br w:val="nil"/>
                    <w:tr2bl w:val="nil"/>
                  </w:tcBorders>
                  <w:shd w:val="clear" w:color="auto" w:fill="FFFFFF"/>
                  <w:noWrap w:val="0"/>
                  <w:vAlign w:val="center"/>
                </w:tcPr>
                <w:p w14:paraId="2A28D135">
                  <w:pPr>
                    <w:autoSpaceDN w:val="0"/>
                    <w:jc w:val="center"/>
                    <w:textAlignment w:val="center"/>
                    <w:rPr>
                      <w:rFonts w:hint="eastAsia"/>
                      <w:color w:val="000000"/>
                      <w:sz w:val="21"/>
                      <w:szCs w:val="21"/>
                      <w:lang w:val="en-US" w:eastAsia="zh-CN"/>
                    </w:rPr>
                  </w:pPr>
                </w:p>
              </w:tc>
              <w:tc>
                <w:tcPr>
                  <w:tcW w:w="692" w:type="pct"/>
                  <w:tcBorders>
                    <w:tl2br w:val="nil"/>
                    <w:tr2bl w:val="nil"/>
                  </w:tcBorders>
                  <w:shd w:val="clear" w:color="auto" w:fill="FFFFFF"/>
                  <w:noWrap w:val="0"/>
                  <w:vAlign w:val="center"/>
                </w:tcPr>
                <w:p w14:paraId="170D1CD0">
                  <w:pPr>
                    <w:autoSpaceDN w:val="0"/>
                    <w:jc w:val="center"/>
                    <w:textAlignment w:val="center"/>
                    <w:rPr>
                      <w:rFonts w:hint="eastAsia"/>
                      <w:color w:val="000000"/>
                      <w:sz w:val="21"/>
                      <w:szCs w:val="21"/>
                      <w:lang w:val="en-US" w:eastAsia="zh-CN"/>
                    </w:rPr>
                  </w:pPr>
                </w:p>
              </w:tc>
              <w:tc>
                <w:tcPr>
                  <w:tcW w:w="692" w:type="pct"/>
                  <w:tcBorders>
                    <w:tl2br w:val="nil"/>
                    <w:tr2bl w:val="nil"/>
                  </w:tcBorders>
                  <w:shd w:val="clear" w:color="auto" w:fill="FFFFFF"/>
                  <w:noWrap w:val="0"/>
                  <w:vAlign w:val="center"/>
                </w:tcPr>
                <w:p w14:paraId="33A1A3CA">
                  <w:pPr>
                    <w:snapToGrid w:val="0"/>
                    <w:jc w:val="center"/>
                    <w:rPr>
                      <w:rFonts w:hint="default"/>
                      <w:color w:val="000000"/>
                      <w:sz w:val="21"/>
                      <w:szCs w:val="21"/>
                      <w:lang w:val="en-US" w:eastAsia="zh-CN"/>
                    </w:rPr>
                  </w:pPr>
                  <w:r>
                    <w:rPr>
                      <w:rFonts w:hint="eastAsia"/>
                      <w:color w:val="000000"/>
                      <w:sz w:val="21"/>
                      <w:szCs w:val="21"/>
                      <w:lang w:val="en-US" w:eastAsia="zh-CN"/>
                    </w:rPr>
                    <w:t>0.03</w:t>
                  </w:r>
                </w:p>
              </w:tc>
              <w:tc>
                <w:tcPr>
                  <w:tcW w:w="862" w:type="pct"/>
                  <w:tcBorders>
                    <w:tl2br w:val="nil"/>
                    <w:tr2bl w:val="nil"/>
                  </w:tcBorders>
                  <w:shd w:val="clear" w:color="auto" w:fill="FFFFFF"/>
                  <w:noWrap w:val="0"/>
                  <w:vAlign w:val="center"/>
                </w:tcPr>
                <w:p w14:paraId="76760C7E">
                  <w:pPr>
                    <w:autoSpaceDN w:val="0"/>
                    <w:jc w:val="center"/>
                    <w:textAlignment w:val="center"/>
                    <w:rPr>
                      <w:rFonts w:hint="default"/>
                      <w:color w:val="000000"/>
                      <w:sz w:val="21"/>
                      <w:szCs w:val="21"/>
                      <w:lang w:val="en-US" w:eastAsia="zh-CN"/>
                    </w:rPr>
                  </w:pPr>
                  <w:r>
                    <w:rPr>
                      <w:rFonts w:hint="eastAsia"/>
                      <w:color w:val="000000"/>
                      <w:sz w:val="21"/>
                      <w:szCs w:val="21"/>
                      <w:lang w:val="en-US" w:eastAsia="zh-CN"/>
                    </w:rPr>
                    <w:t>0.22</w:t>
                  </w:r>
                </w:p>
              </w:tc>
            </w:tr>
            <w:tr w14:paraId="5BCF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57" w:hRule="exact"/>
                <w:jc w:val="center"/>
              </w:trPr>
              <w:tc>
                <w:tcPr>
                  <w:tcW w:w="362" w:type="pct"/>
                  <w:tcBorders>
                    <w:tl2br w:val="nil"/>
                    <w:tr2bl w:val="nil"/>
                  </w:tcBorders>
                  <w:shd w:val="clear" w:color="auto" w:fill="FFFFFF"/>
                  <w:noWrap w:val="0"/>
                  <w:vAlign w:val="center"/>
                </w:tcPr>
                <w:p w14:paraId="2289D2B2">
                  <w:pPr>
                    <w:snapToGrid w:val="0"/>
                    <w:jc w:val="center"/>
                    <w:rPr>
                      <w:rFonts w:hint="default"/>
                      <w:color w:val="000000"/>
                      <w:sz w:val="21"/>
                      <w:szCs w:val="21"/>
                      <w:lang w:val="en-US" w:eastAsia="zh-CN"/>
                    </w:rPr>
                  </w:pPr>
                  <w:r>
                    <w:rPr>
                      <w:rFonts w:hint="eastAsia"/>
                      <w:color w:val="000000"/>
                      <w:sz w:val="21"/>
                      <w:szCs w:val="21"/>
                      <w:lang w:val="en-US" w:eastAsia="zh-CN"/>
                    </w:rPr>
                    <w:t>3</w:t>
                  </w:r>
                </w:p>
              </w:tc>
              <w:tc>
                <w:tcPr>
                  <w:tcW w:w="1004" w:type="pct"/>
                  <w:tcBorders>
                    <w:tl2br w:val="nil"/>
                    <w:tr2bl w:val="nil"/>
                  </w:tcBorders>
                  <w:shd w:val="clear" w:color="auto" w:fill="FFFFFF"/>
                  <w:noWrap w:val="0"/>
                  <w:vAlign w:val="center"/>
                </w:tcPr>
                <w:p w14:paraId="6C9E4ED7">
                  <w:pPr>
                    <w:jc w:val="center"/>
                    <w:rPr>
                      <w:rFonts w:hint="default"/>
                      <w:color w:val="000000"/>
                      <w:sz w:val="21"/>
                      <w:szCs w:val="21"/>
                      <w:lang w:val="en-US" w:eastAsia="zh-CN"/>
                    </w:rPr>
                  </w:pPr>
                  <w:r>
                    <w:rPr>
                      <w:rFonts w:hint="eastAsia"/>
                      <w:color w:val="000000"/>
                      <w:sz w:val="21"/>
                      <w:szCs w:val="21"/>
                      <w:lang w:val="en-US" w:eastAsia="zh-CN"/>
                    </w:rPr>
                    <w:t>凝结水</w:t>
                  </w:r>
                </w:p>
              </w:tc>
              <w:tc>
                <w:tcPr>
                  <w:tcW w:w="692" w:type="pct"/>
                  <w:tcBorders>
                    <w:tl2br w:val="nil"/>
                    <w:tr2bl w:val="nil"/>
                  </w:tcBorders>
                  <w:shd w:val="clear" w:color="auto" w:fill="FFFFFF"/>
                  <w:noWrap w:val="0"/>
                  <w:vAlign w:val="center"/>
                </w:tcPr>
                <w:p w14:paraId="2EC676B1">
                  <w:pPr>
                    <w:autoSpaceDN w:val="0"/>
                    <w:jc w:val="center"/>
                    <w:textAlignment w:val="center"/>
                    <w:rPr>
                      <w:rFonts w:hint="eastAsia"/>
                      <w:color w:val="000000"/>
                      <w:sz w:val="21"/>
                      <w:szCs w:val="21"/>
                      <w:lang w:val="en-US" w:eastAsia="zh-CN"/>
                    </w:rPr>
                  </w:pPr>
                </w:p>
              </w:tc>
              <w:tc>
                <w:tcPr>
                  <w:tcW w:w="692" w:type="pct"/>
                  <w:tcBorders>
                    <w:tl2br w:val="nil"/>
                    <w:tr2bl w:val="nil"/>
                  </w:tcBorders>
                  <w:shd w:val="clear" w:color="auto" w:fill="FFFFFF"/>
                  <w:noWrap w:val="0"/>
                  <w:vAlign w:val="center"/>
                </w:tcPr>
                <w:p w14:paraId="4092330D">
                  <w:pPr>
                    <w:autoSpaceDN w:val="0"/>
                    <w:jc w:val="center"/>
                    <w:textAlignment w:val="center"/>
                    <w:rPr>
                      <w:rFonts w:hint="default"/>
                      <w:color w:val="000000"/>
                      <w:sz w:val="21"/>
                      <w:szCs w:val="21"/>
                      <w:lang w:val="en-US" w:eastAsia="zh-CN"/>
                    </w:rPr>
                  </w:pPr>
                  <w:r>
                    <w:rPr>
                      <w:rFonts w:hint="eastAsia"/>
                      <w:color w:val="000000"/>
                      <w:sz w:val="21"/>
                      <w:szCs w:val="21"/>
                      <w:lang w:val="en-US" w:eastAsia="zh-CN"/>
                    </w:rPr>
                    <w:t>7.6</w:t>
                  </w:r>
                </w:p>
              </w:tc>
              <w:tc>
                <w:tcPr>
                  <w:tcW w:w="692" w:type="pct"/>
                  <w:tcBorders>
                    <w:tl2br w:val="nil"/>
                    <w:tr2bl w:val="nil"/>
                  </w:tcBorders>
                  <w:shd w:val="clear" w:color="auto" w:fill="FFFFFF"/>
                  <w:noWrap w:val="0"/>
                  <w:vAlign w:val="center"/>
                </w:tcPr>
                <w:p w14:paraId="2D30834F">
                  <w:pPr>
                    <w:autoSpaceDN w:val="0"/>
                    <w:jc w:val="center"/>
                    <w:textAlignment w:val="center"/>
                    <w:rPr>
                      <w:rFonts w:hint="eastAsia"/>
                      <w:color w:val="000000"/>
                      <w:sz w:val="21"/>
                      <w:szCs w:val="21"/>
                      <w:lang w:val="en-US" w:eastAsia="zh-CN"/>
                    </w:rPr>
                  </w:pPr>
                </w:p>
              </w:tc>
              <w:tc>
                <w:tcPr>
                  <w:tcW w:w="692" w:type="pct"/>
                  <w:tcBorders>
                    <w:tl2br w:val="nil"/>
                    <w:tr2bl w:val="nil"/>
                  </w:tcBorders>
                  <w:shd w:val="clear" w:color="auto" w:fill="FFFFFF"/>
                  <w:noWrap w:val="0"/>
                  <w:vAlign w:val="center"/>
                </w:tcPr>
                <w:p w14:paraId="03D42F61">
                  <w:pPr>
                    <w:snapToGrid w:val="0"/>
                    <w:jc w:val="center"/>
                    <w:rPr>
                      <w:rFonts w:hint="eastAsia"/>
                      <w:color w:val="000000"/>
                      <w:sz w:val="21"/>
                      <w:szCs w:val="21"/>
                      <w:lang w:val="en-US" w:eastAsia="zh-CN"/>
                    </w:rPr>
                  </w:pPr>
                </w:p>
              </w:tc>
              <w:tc>
                <w:tcPr>
                  <w:tcW w:w="862" w:type="pct"/>
                  <w:tcBorders>
                    <w:tl2br w:val="nil"/>
                    <w:tr2bl w:val="nil"/>
                  </w:tcBorders>
                  <w:shd w:val="clear" w:color="auto" w:fill="FFFFFF"/>
                  <w:noWrap w:val="0"/>
                  <w:vAlign w:val="center"/>
                </w:tcPr>
                <w:p w14:paraId="292058E8">
                  <w:pPr>
                    <w:autoSpaceDN w:val="0"/>
                    <w:jc w:val="center"/>
                    <w:textAlignment w:val="center"/>
                    <w:rPr>
                      <w:rFonts w:hint="default"/>
                      <w:color w:val="000000"/>
                      <w:sz w:val="21"/>
                      <w:szCs w:val="21"/>
                      <w:lang w:val="en-US" w:eastAsia="zh-CN"/>
                    </w:rPr>
                  </w:pPr>
                  <w:r>
                    <w:rPr>
                      <w:rFonts w:hint="eastAsia"/>
                      <w:color w:val="000000"/>
                      <w:sz w:val="21"/>
                      <w:szCs w:val="21"/>
                      <w:lang w:val="en-US" w:eastAsia="zh-CN"/>
                    </w:rPr>
                    <w:t>7.6</w:t>
                  </w:r>
                </w:p>
              </w:tc>
            </w:tr>
            <w:tr w14:paraId="241E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41" w:hRule="exact"/>
                <w:jc w:val="center"/>
              </w:trPr>
              <w:tc>
                <w:tcPr>
                  <w:tcW w:w="1367" w:type="pct"/>
                  <w:gridSpan w:val="2"/>
                  <w:tcBorders>
                    <w:tl2br w:val="nil"/>
                    <w:tr2bl w:val="nil"/>
                  </w:tcBorders>
                  <w:shd w:val="clear" w:color="auto" w:fill="FFFFFF"/>
                  <w:noWrap w:val="0"/>
                  <w:vAlign w:val="center"/>
                </w:tcPr>
                <w:p w14:paraId="3BDCCFB1">
                  <w:pPr>
                    <w:snapToGrid w:val="0"/>
                    <w:jc w:val="center"/>
                    <w:rPr>
                      <w:color w:val="000000"/>
                      <w:sz w:val="21"/>
                      <w:szCs w:val="21"/>
                    </w:rPr>
                  </w:pPr>
                  <w:r>
                    <w:rPr>
                      <w:color w:val="000000"/>
                      <w:sz w:val="21"/>
                      <w:szCs w:val="21"/>
                    </w:rPr>
                    <w:t>合计</w:t>
                  </w:r>
                </w:p>
              </w:tc>
              <w:tc>
                <w:tcPr>
                  <w:tcW w:w="692" w:type="pct"/>
                  <w:tcBorders>
                    <w:tl2br w:val="nil"/>
                    <w:tr2bl w:val="nil"/>
                  </w:tcBorders>
                  <w:shd w:val="clear" w:color="auto" w:fill="FFFFFF"/>
                  <w:noWrap w:val="0"/>
                  <w:vAlign w:val="center"/>
                </w:tcPr>
                <w:p w14:paraId="23E7DF39">
                  <w:pPr>
                    <w:snapToGrid w:val="0"/>
                    <w:jc w:val="center"/>
                    <w:rPr>
                      <w:rFonts w:hint="default"/>
                      <w:color w:val="000000"/>
                      <w:sz w:val="21"/>
                      <w:szCs w:val="21"/>
                      <w:lang w:val="en-US" w:eastAsia="zh-CN"/>
                    </w:rPr>
                  </w:pPr>
                  <w:r>
                    <w:rPr>
                      <w:rFonts w:hint="eastAsia"/>
                      <w:color w:val="000000"/>
                      <w:sz w:val="21"/>
                      <w:szCs w:val="21"/>
                      <w:lang w:val="en-US" w:eastAsia="zh-CN"/>
                    </w:rPr>
                    <w:t>0.25</w:t>
                  </w:r>
                </w:p>
              </w:tc>
              <w:tc>
                <w:tcPr>
                  <w:tcW w:w="692" w:type="pct"/>
                  <w:tcBorders>
                    <w:tl2br w:val="nil"/>
                    <w:tr2bl w:val="nil"/>
                  </w:tcBorders>
                  <w:shd w:val="clear" w:color="auto" w:fill="FFFFFF"/>
                  <w:noWrap w:val="0"/>
                  <w:vAlign w:val="center"/>
                </w:tcPr>
                <w:p w14:paraId="1D5149F8">
                  <w:pPr>
                    <w:snapToGrid w:val="0"/>
                    <w:jc w:val="center"/>
                    <w:rPr>
                      <w:rFonts w:hint="default"/>
                      <w:color w:val="000000"/>
                      <w:sz w:val="21"/>
                      <w:szCs w:val="21"/>
                      <w:lang w:val="en-US" w:eastAsia="zh-CN"/>
                    </w:rPr>
                  </w:pPr>
                  <w:r>
                    <w:rPr>
                      <w:rFonts w:hint="eastAsia"/>
                      <w:color w:val="000000"/>
                      <w:sz w:val="21"/>
                      <w:szCs w:val="21"/>
                      <w:lang w:val="en-US" w:eastAsia="zh-CN"/>
                    </w:rPr>
                    <w:t>7.6</w:t>
                  </w:r>
                </w:p>
              </w:tc>
              <w:tc>
                <w:tcPr>
                  <w:tcW w:w="692" w:type="pct"/>
                  <w:tcBorders>
                    <w:tl2br w:val="nil"/>
                    <w:tr2bl w:val="nil"/>
                  </w:tcBorders>
                  <w:shd w:val="clear" w:color="auto" w:fill="FFFFFF"/>
                  <w:noWrap w:val="0"/>
                  <w:vAlign w:val="center"/>
                </w:tcPr>
                <w:p w14:paraId="1438C21B">
                  <w:pPr>
                    <w:snapToGrid w:val="0"/>
                    <w:jc w:val="center"/>
                    <w:rPr>
                      <w:rFonts w:hint="default" w:eastAsia="宋体"/>
                      <w:color w:val="000000"/>
                      <w:sz w:val="21"/>
                      <w:szCs w:val="21"/>
                      <w:lang w:val="en-US" w:eastAsia="zh-CN"/>
                    </w:rPr>
                  </w:pPr>
                  <w:r>
                    <w:rPr>
                      <w:rFonts w:hint="eastAsia"/>
                      <w:color w:val="000000"/>
                      <w:sz w:val="21"/>
                      <w:szCs w:val="21"/>
                      <w:lang w:val="en-US" w:eastAsia="zh-CN"/>
                    </w:rPr>
                    <w:t>192.6</w:t>
                  </w:r>
                </w:p>
              </w:tc>
              <w:tc>
                <w:tcPr>
                  <w:tcW w:w="692" w:type="pct"/>
                  <w:tcBorders>
                    <w:tl2br w:val="nil"/>
                    <w:tr2bl w:val="nil"/>
                  </w:tcBorders>
                  <w:shd w:val="clear" w:color="auto" w:fill="FFFFFF"/>
                  <w:noWrap w:val="0"/>
                  <w:vAlign w:val="center"/>
                </w:tcPr>
                <w:p w14:paraId="732A35FD">
                  <w:pPr>
                    <w:snapToGrid w:val="0"/>
                    <w:jc w:val="center"/>
                    <w:rPr>
                      <w:rFonts w:hint="default" w:eastAsia="宋体"/>
                      <w:color w:val="000000"/>
                      <w:sz w:val="21"/>
                      <w:szCs w:val="21"/>
                      <w:lang w:val="en-US" w:eastAsia="zh-CN"/>
                    </w:rPr>
                  </w:pPr>
                  <w:r>
                    <w:rPr>
                      <w:rFonts w:hint="eastAsia"/>
                      <w:color w:val="000000"/>
                      <w:sz w:val="21"/>
                      <w:szCs w:val="21"/>
                      <w:lang w:val="en-US" w:eastAsia="zh-CN"/>
                    </w:rPr>
                    <w:t>0.03</w:t>
                  </w:r>
                </w:p>
              </w:tc>
              <w:tc>
                <w:tcPr>
                  <w:tcW w:w="862" w:type="pct"/>
                  <w:tcBorders>
                    <w:tl2br w:val="nil"/>
                    <w:tr2bl w:val="nil"/>
                  </w:tcBorders>
                  <w:shd w:val="clear" w:color="auto" w:fill="FFFFFF"/>
                  <w:noWrap w:val="0"/>
                  <w:vAlign w:val="center"/>
                </w:tcPr>
                <w:p w14:paraId="0C58B754">
                  <w:pPr>
                    <w:snapToGrid w:val="0"/>
                    <w:jc w:val="center"/>
                    <w:rPr>
                      <w:rFonts w:hint="default" w:eastAsia="宋体"/>
                      <w:color w:val="000000"/>
                      <w:sz w:val="21"/>
                      <w:szCs w:val="21"/>
                      <w:lang w:val="en-US" w:eastAsia="zh-CN"/>
                    </w:rPr>
                  </w:pPr>
                  <w:r>
                    <w:rPr>
                      <w:rFonts w:hint="eastAsia"/>
                      <w:color w:val="000000"/>
                      <w:sz w:val="21"/>
                      <w:szCs w:val="21"/>
                      <w:lang w:val="en-US" w:eastAsia="zh-CN"/>
                    </w:rPr>
                    <w:t>7.82</w:t>
                  </w:r>
                </w:p>
              </w:tc>
            </w:tr>
          </w:tbl>
          <w:p w14:paraId="0E9AF71D">
            <w:pPr>
              <w:spacing w:line="360" w:lineRule="auto"/>
              <w:jc w:val="center"/>
              <w:rPr>
                <w:bCs/>
                <w:color w:val="000000"/>
                <w:sz w:val="24"/>
                <w:szCs w:val="20"/>
              </w:rPr>
            </w:pPr>
            <w:r>
              <w:rPr>
                <w:rFonts w:hint="eastAsia"/>
                <w:bCs/>
                <w:color w:val="000000"/>
                <w:sz w:val="24"/>
                <w:szCs w:val="20"/>
                <w:lang w:val="en-US" w:eastAsia="zh-CN"/>
              </w:rPr>
              <w:t xml:space="preserve"> </w:t>
            </w:r>
            <w:r>
              <w:rPr>
                <w:bCs/>
                <w:color w:val="000000"/>
                <w:sz w:val="24"/>
                <w:szCs w:val="20"/>
              </w:rPr>
              <w:object>
                <v:shape id="_x0000_i1025" o:spt="75" type="#_x0000_t75" style="height:163.4pt;width:341.2pt;" o:ole="t" filled="f" o:preferrelative="t" stroked="f" coordsize="21600,21600">
                  <v:path/>
                  <v:fill on="f" focussize="0,0"/>
                  <v:stroke on="f"/>
                  <v:imagedata r:id="rId15" o:title=""/>
                  <o:lock v:ext="edit" aspectratio="f"/>
                  <w10:wrap type="none"/>
                  <w10:anchorlock/>
                </v:shape>
                <o:OLEObject Type="Embed" ProgID="Visio.Drawing.11" ShapeID="_x0000_i1025" DrawAspect="Content" ObjectID="_1468075725" r:id="rId14">
                  <o:LockedField>false</o:LockedField>
                </o:OLEObject>
              </w:object>
            </w:r>
          </w:p>
          <w:p w14:paraId="3D1D606E">
            <w:pPr>
              <w:pStyle w:val="111"/>
              <w:ind w:firstLine="0" w:firstLineChars="0"/>
              <w:jc w:val="center"/>
              <w:rPr>
                <w:rFonts w:hint="eastAsia" w:eastAsia="宋体"/>
                <w:color w:val="000000"/>
                <w:lang w:eastAsia="zh-CN"/>
              </w:rPr>
            </w:pPr>
            <w:r>
              <w:rPr>
                <w:b/>
                <w:bCs/>
                <w:color w:val="000000"/>
              </w:rPr>
              <w:t>图2-</w:t>
            </w:r>
            <w:r>
              <w:rPr>
                <w:rFonts w:hint="eastAsia"/>
                <w:b/>
                <w:bCs/>
                <w:color w:val="000000"/>
              </w:rPr>
              <w:t>1</w:t>
            </w:r>
            <w:r>
              <w:rPr>
                <w:rFonts w:hint="eastAsia"/>
                <w:b/>
                <w:bCs/>
                <w:color w:val="000000"/>
                <w:lang w:eastAsia="zh-CN"/>
              </w:rPr>
              <w:t>：</w:t>
            </w:r>
            <w:r>
              <w:rPr>
                <w:b/>
                <w:bCs/>
                <w:color w:val="000000"/>
              </w:rPr>
              <w:t>项目水平衡图单位：m</w:t>
            </w:r>
            <w:r>
              <w:rPr>
                <w:b/>
                <w:bCs/>
                <w:color w:val="000000"/>
                <w:vertAlign w:val="superscript"/>
              </w:rPr>
              <w:t>3</w:t>
            </w:r>
            <w:r>
              <w:rPr>
                <w:b/>
                <w:bCs/>
                <w:color w:val="000000"/>
              </w:rPr>
              <w:t>/</w:t>
            </w:r>
            <w:r>
              <w:rPr>
                <w:rFonts w:hint="eastAsia"/>
                <w:b/>
                <w:bCs/>
                <w:color w:val="000000"/>
                <w:lang w:val="en-US" w:eastAsia="zh-CN"/>
              </w:rPr>
              <w:t>h</w:t>
            </w:r>
          </w:p>
          <w:p w14:paraId="6D6AEADB">
            <w:pPr>
              <w:autoSpaceDE w:val="0"/>
              <w:autoSpaceDN w:val="0"/>
              <w:adjustRightInd w:val="0"/>
              <w:spacing w:line="360" w:lineRule="auto"/>
              <w:ind w:firstLine="482" w:firstLineChars="200"/>
              <w:rPr>
                <w:rFonts w:hint="eastAsia"/>
                <w:color w:val="000000"/>
                <w:sz w:val="24"/>
                <w:szCs w:val="20"/>
              </w:rPr>
            </w:pPr>
            <w:r>
              <w:rPr>
                <w:rFonts w:hint="eastAsia"/>
                <w:b/>
                <w:bCs/>
                <w:color w:val="000000"/>
                <w:sz w:val="24"/>
                <w:szCs w:val="20"/>
              </w:rPr>
              <w:t>⑶</w:t>
            </w:r>
            <w:r>
              <w:rPr>
                <w:color w:val="000000"/>
                <w:sz w:val="24"/>
                <w:szCs w:val="20"/>
              </w:rPr>
              <w:t>供电</w:t>
            </w:r>
          </w:p>
          <w:p w14:paraId="26D6F2A8">
            <w:pPr>
              <w:autoSpaceDE w:val="0"/>
              <w:autoSpaceDN w:val="0"/>
              <w:adjustRightInd w:val="0"/>
              <w:spacing w:line="360" w:lineRule="auto"/>
              <w:ind w:firstLine="480" w:firstLineChars="200"/>
              <w:rPr>
                <w:color w:val="000000"/>
                <w:sz w:val="24"/>
                <w:szCs w:val="20"/>
              </w:rPr>
            </w:pPr>
            <w:r>
              <w:rPr>
                <w:rFonts w:hint="eastAsia"/>
                <w:sz w:val="24"/>
              </w:rPr>
              <w:t>项目用电量</w:t>
            </w:r>
            <w:r>
              <w:rPr>
                <w:rFonts w:hint="eastAsia"/>
                <w:sz w:val="24"/>
                <w:lang w:val="en-US" w:eastAsia="zh-CN"/>
              </w:rPr>
              <w:t>为190.94</w:t>
            </w:r>
            <w:r>
              <w:rPr>
                <w:rFonts w:hint="eastAsia"/>
                <w:sz w:val="24"/>
              </w:rPr>
              <w:t>kW</w:t>
            </w:r>
            <w:r>
              <w:rPr>
                <w:rFonts w:hint="eastAsia"/>
                <w:sz w:val="24"/>
                <w:lang w:val="en-US" w:eastAsia="zh-CN"/>
              </w:rPr>
              <w:t>/h</w:t>
            </w:r>
            <w:r>
              <w:rPr>
                <w:rFonts w:hint="eastAsia"/>
                <w:sz w:val="24"/>
              </w:rPr>
              <w:t>，依托30万吨/年稳定轻烃和液化气改质装置项目现有供配电设施：</w:t>
            </w:r>
            <w:r>
              <w:rPr>
                <w:rFonts w:hint="eastAsia"/>
                <w:sz w:val="24"/>
                <w:lang w:eastAsia="zh-CN"/>
              </w:rPr>
              <w:t>“</w:t>
            </w:r>
            <w:r>
              <w:rPr>
                <w:rFonts w:hint="eastAsia"/>
                <w:sz w:val="24"/>
              </w:rPr>
              <w:t>内蒙古伊泰化工有限责任公司提供10kV双回路电源，变配电室设1000kVA10/0.4kV变压器一台，高压负荷由10kV系统供电，低压负荷由380V系统供电</w:t>
            </w:r>
            <w:r>
              <w:rPr>
                <w:rFonts w:hint="eastAsia"/>
                <w:sz w:val="24"/>
                <w:lang w:eastAsia="zh-CN"/>
              </w:rPr>
              <w:t>”</w:t>
            </w:r>
            <w:r>
              <w:rPr>
                <w:rFonts w:hint="eastAsia"/>
                <w:sz w:val="24"/>
              </w:rPr>
              <w:t>，</w:t>
            </w:r>
            <w:r>
              <w:rPr>
                <w:color w:val="000000"/>
                <w:sz w:val="24"/>
                <w:szCs w:val="20"/>
              </w:rPr>
              <w:t>电源可满足厂内用电负荷的供电需要</w:t>
            </w:r>
            <w:r>
              <w:rPr>
                <w:rFonts w:hint="eastAsia"/>
                <w:color w:val="000000"/>
                <w:sz w:val="24"/>
                <w:szCs w:val="20"/>
              </w:rPr>
              <w:t>。</w:t>
            </w:r>
          </w:p>
          <w:p w14:paraId="394D856D">
            <w:pPr>
              <w:spacing w:line="360" w:lineRule="auto"/>
              <w:ind w:firstLine="482" w:firstLineChars="200"/>
              <w:rPr>
                <w:color w:val="000000"/>
                <w:sz w:val="24"/>
                <w:szCs w:val="20"/>
              </w:rPr>
            </w:pPr>
            <w:r>
              <w:rPr>
                <w:rFonts w:hint="eastAsia"/>
                <w:b/>
                <w:bCs/>
                <w:color w:val="000000"/>
                <w:sz w:val="24"/>
                <w:szCs w:val="20"/>
              </w:rPr>
              <w:t>⑷</w:t>
            </w:r>
            <w:r>
              <w:rPr>
                <w:rFonts w:hint="eastAsia"/>
                <w:color w:val="000000"/>
                <w:sz w:val="24"/>
                <w:szCs w:val="20"/>
              </w:rPr>
              <w:t>供暖、供气</w:t>
            </w:r>
          </w:p>
          <w:p w14:paraId="47B61F2A">
            <w:pPr>
              <w:autoSpaceDE w:val="0"/>
              <w:autoSpaceDN w:val="0"/>
              <w:adjustRightInd w:val="0"/>
              <w:spacing w:line="360" w:lineRule="auto"/>
              <w:ind w:firstLine="480" w:firstLineChars="200"/>
              <w:rPr>
                <w:rFonts w:hint="eastAsia"/>
                <w:color w:val="000000"/>
                <w:sz w:val="24"/>
                <w:szCs w:val="20"/>
              </w:rPr>
            </w:pPr>
            <w:r>
              <w:rPr>
                <w:rFonts w:hint="eastAsia"/>
                <w:color w:val="000000"/>
                <w:sz w:val="24"/>
                <w:szCs w:val="20"/>
              </w:rPr>
              <w:t>本项目蒸汽由</w:t>
            </w:r>
            <w:r>
              <w:rPr>
                <w:rFonts w:hint="eastAsia"/>
                <w:color w:val="000000"/>
                <w:sz w:val="24"/>
                <w:szCs w:val="20"/>
                <w:lang w:eastAsia="zh-CN"/>
              </w:rPr>
              <w:t>“</w:t>
            </w:r>
            <w:r>
              <w:rPr>
                <w:rFonts w:hint="eastAsia"/>
                <w:color w:val="000000"/>
                <w:sz w:val="24"/>
                <w:szCs w:val="20"/>
              </w:rPr>
              <w:t>内蒙古伊泰化工有限责任公司120万吨/年精细化学品示范项目</w:t>
            </w:r>
            <w:r>
              <w:rPr>
                <w:rFonts w:hint="eastAsia"/>
                <w:color w:val="000000"/>
                <w:sz w:val="24"/>
                <w:szCs w:val="20"/>
                <w:lang w:eastAsia="zh-CN"/>
              </w:rPr>
              <w:t>”</w:t>
            </w:r>
            <w:r>
              <w:rPr>
                <w:rFonts w:hint="eastAsia"/>
                <w:color w:val="000000"/>
                <w:sz w:val="24"/>
                <w:szCs w:val="20"/>
              </w:rPr>
              <w:t>产生的蒸汽提供，蒸汽通过管道输送</w:t>
            </w:r>
            <w:r>
              <w:rPr>
                <w:rFonts w:hint="eastAsia"/>
                <w:color w:val="000000"/>
                <w:sz w:val="24"/>
                <w:szCs w:val="20"/>
                <w:lang w:eastAsia="zh-CN"/>
              </w:rPr>
              <w:t>，</w:t>
            </w:r>
            <w:r>
              <w:rPr>
                <w:rFonts w:hint="eastAsia"/>
                <w:color w:val="000000"/>
                <w:sz w:val="24"/>
                <w:szCs w:val="20"/>
                <w:lang w:val="en-US" w:eastAsia="zh-CN"/>
              </w:rPr>
              <w:t>产生的凝液送至污水处理站处理</w:t>
            </w:r>
            <w:r>
              <w:rPr>
                <w:rFonts w:hint="eastAsia"/>
                <w:color w:val="000000"/>
                <w:sz w:val="24"/>
                <w:szCs w:val="20"/>
              </w:rPr>
              <w:t>。</w:t>
            </w:r>
          </w:p>
          <w:p w14:paraId="140AA290">
            <w:pPr>
              <w:autoSpaceDE w:val="0"/>
              <w:autoSpaceDN w:val="0"/>
              <w:adjustRightInd w:val="0"/>
              <w:spacing w:line="360" w:lineRule="auto"/>
              <w:ind w:firstLine="480" w:firstLineChars="200"/>
              <w:rPr>
                <w:rFonts w:hint="eastAsia"/>
                <w:color w:val="000000"/>
                <w:sz w:val="24"/>
                <w:szCs w:val="20"/>
              </w:rPr>
            </w:pPr>
            <w:r>
              <w:rPr>
                <w:rFonts w:hint="eastAsia"/>
                <w:color w:val="000000"/>
                <w:sz w:val="24"/>
                <w:szCs w:val="20"/>
              </w:rPr>
              <w:t>本项目运行时段与内蒙古伊泰化工相同，内蒙古伊泰化工有限责任公司负责保障本项目蒸汽运行的可靠性。</w:t>
            </w:r>
          </w:p>
          <w:p w14:paraId="21A38D39">
            <w:pPr>
              <w:autoSpaceDE w:val="0"/>
              <w:autoSpaceDN w:val="0"/>
              <w:adjustRightInd w:val="0"/>
              <w:spacing w:line="360" w:lineRule="auto"/>
              <w:jc w:val="center"/>
              <w:rPr>
                <w:rFonts w:hint="eastAsia"/>
                <w:color w:val="000000"/>
                <w:sz w:val="24"/>
                <w:szCs w:val="20"/>
              </w:rPr>
            </w:pPr>
            <w:r>
              <w:rPr>
                <w:rFonts w:hint="eastAsia"/>
                <w:color w:val="000000"/>
                <w:sz w:val="24"/>
                <w:szCs w:val="20"/>
              </w:rPr>
              <w:object>
                <v:shape id="_x0000_i1026" o:spt="75" type="#_x0000_t75" style="height:61.5pt;width:371.25pt;" o:ole="t" filled="f" o:preferrelative="t" stroked="f" coordsize="21600,21600">
                  <v:path/>
                  <v:fill on="f" focussize="0,0"/>
                  <v:stroke on="f"/>
                  <v:imagedata r:id="rId17" o:title=""/>
                  <o:lock v:ext="edit" aspectratio="f"/>
                  <w10:wrap type="none"/>
                  <w10:anchorlock/>
                </v:shape>
                <o:OLEObject Type="Embed" ProgID="Visio.Drawing.11" ShapeID="_x0000_i1026" DrawAspect="Content" ObjectID="_1468075726" r:id="rId16">
                  <o:LockedField>false</o:LockedField>
                </o:OLEObject>
              </w:object>
            </w:r>
          </w:p>
          <w:p w14:paraId="02070A87">
            <w:pPr>
              <w:autoSpaceDE w:val="0"/>
              <w:autoSpaceDN w:val="0"/>
              <w:adjustRightInd w:val="0"/>
              <w:spacing w:line="360" w:lineRule="auto"/>
              <w:ind w:firstLine="482" w:firstLineChars="200"/>
              <w:jc w:val="center"/>
              <w:rPr>
                <w:rFonts w:hint="eastAsia"/>
                <w:color w:val="000000"/>
                <w:sz w:val="24"/>
                <w:szCs w:val="20"/>
              </w:rPr>
            </w:pPr>
            <w:r>
              <w:rPr>
                <w:rFonts w:hint="eastAsia"/>
                <w:b/>
                <w:color w:val="000000"/>
                <w:sz w:val="24"/>
              </w:rPr>
              <w:t>图2-2</w:t>
            </w:r>
            <w:r>
              <w:rPr>
                <w:rFonts w:hint="eastAsia"/>
                <w:b/>
                <w:color w:val="000000"/>
                <w:sz w:val="24"/>
                <w:lang w:eastAsia="zh-CN"/>
              </w:rPr>
              <w:t>：</w:t>
            </w:r>
            <w:r>
              <w:rPr>
                <w:rFonts w:hint="eastAsia"/>
                <w:b/>
                <w:color w:val="000000"/>
                <w:sz w:val="24"/>
              </w:rPr>
              <w:t>蒸汽平衡图</w:t>
            </w:r>
          </w:p>
          <w:p w14:paraId="1171EB42">
            <w:pPr>
              <w:spacing w:line="360" w:lineRule="auto"/>
              <w:rPr>
                <w:b/>
                <w:bCs/>
                <w:color w:val="000000"/>
                <w:sz w:val="24"/>
              </w:rPr>
            </w:pPr>
            <w:r>
              <w:rPr>
                <w:rFonts w:hint="eastAsia"/>
                <w:b/>
                <w:bCs/>
                <w:color w:val="000000"/>
                <w:sz w:val="24"/>
                <w:lang w:val="en-US" w:eastAsia="zh-CN"/>
              </w:rPr>
              <w:t>6</w:t>
            </w:r>
            <w:r>
              <w:rPr>
                <w:rFonts w:hint="eastAsia"/>
                <w:b/>
                <w:bCs/>
                <w:color w:val="000000"/>
                <w:sz w:val="24"/>
              </w:rPr>
              <w:t>.</w:t>
            </w:r>
            <w:r>
              <w:rPr>
                <w:b/>
                <w:bCs/>
                <w:color w:val="000000"/>
                <w:sz w:val="24"/>
              </w:rPr>
              <w:t>总平面布置</w:t>
            </w:r>
          </w:p>
          <w:p w14:paraId="1F493B00">
            <w:pPr>
              <w:spacing w:line="360" w:lineRule="auto"/>
              <w:ind w:firstLine="480" w:firstLineChars="200"/>
              <w:rPr>
                <w:rFonts w:hint="eastAsia"/>
                <w:bCs/>
                <w:color w:val="000000"/>
                <w:sz w:val="24"/>
              </w:rPr>
            </w:pPr>
            <w:r>
              <w:rPr>
                <w:rFonts w:hint="eastAsia"/>
                <w:bCs/>
                <w:color w:val="000000"/>
                <w:sz w:val="24"/>
              </w:rPr>
              <w:t>本项目建设地点位于内蒙古伊泰化工有限责任公司</w:t>
            </w:r>
            <w:r>
              <w:rPr>
                <w:rFonts w:hint="eastAsia"/>
                <w:bCs/>
                <w:color w:val="000000"/>
                <w:sz w:val="24"/>
                <w:lang w:val="en-US" w:eastAsia="zh-CN"/>
              </w:rPr>
              <w:t>120万吨/年精细化学品示范项目厂区内油品加工装置的东侧</w:t>
            </w:r>
            <w:r>
              <w:rPr>
                <w:rFonts w:hint="eastAsia"/>
                <w:bCs/>
                <w:color w:val="000000"/>
                <w:sz w:val="24"/>
              </w:rPr>
              <w:t>。</w:t>
            </w:r>
            <w:r>
              <w:rPr>
                <w:rFonts w:hint="eastAsia"/>
                <w:bCs/>
                <w:color w:val="000000"/>
                <w:sz w:val="24"/>
                <w:lang w:val="en-US" w:eastAsia="zh-CN"/>
              </w:rPr>
              <w:t>本项目装置区占地面积为0.4995公顷，</w:t>
            </w:r>
            <w:r>
              <w:rPr>
                <w:rFonts w:hint="eastAsia"/>
                <w:bCs/>
                <w:color w:val="000000"/>
                <w:sz w:val="24"/>
              </w:rPr>
              <w:t>项目西侧为</w:t>
            </w:r>
            <w:r>
              <w:rPr>
                <w:rFonts w:hint="eastAsia"/>
                <w:bCs/>
                <w:color w:val="000000"/>
                <w:sz w:val="24"/>
                <w:lang w:val="en-US" w:eastAsia="zh-CN"/>
              </w:rPr>
              <w:t>低温油洗单元，南侧为油品加工装置的机柜间和配电室</w:t>
            </w:r>
            <w:r>
              <w:rPr>
                <w:rFonts w:hint="eastAsia"/>
                <w:bCs/>
                <w:color w:val="000000"/>
                <w:sz w:val="24"/>
              </w:rPr>
              <w:t>。</w:t>
            </w:r>
          </w:p>
          <w:p w14:paraId="428F4670">
            <w:pPr>
              <w:spacing w:line="360" w:lineRule="auto"/>
              <w:ind w:firstLine="480" w:firstLineChars="200"/>
              <w:rPr>
                <w:rFonts w:hint="default" w:eastAsia="宋体"/>
                <w:bCs/>
                <w:color w:val="000000"/>
                <w:sz w:val="24"/>
                <w:lang w:val="en-US" w:eastAsia="zh-CN"/>
              </w:rPr>
            </w:pPr>
            <w:r>
              <w:rPr>
                <w:rFonts w:hint="eastAsia"/>
                <w:bCs/>
                <w:color w:val="000000"/>
                <w:sz w:val="24"/>
              </w:rPr>
              <w:t>本项目为技改项目，</w:t>
            </w:r>
            <w:r>
              <w:rPr>
                <w:rFonts w:hint="eastAsia"/>
                <w:bCs/>
                <w:color w:val="000000"/>
                <w:sz w:val="24"/>
                <w:lang w:val="en-US" w:eastAsia="zh-CN"/>
              </w:rPr>
              <w:t>现装置区布置包括主管廊、构架区、地管区等，主管廊布置在装置的西侧，主管廊东侧为主设备带，自北向南依次为埋地管道区、脱油区、脱醇区、混醇提浓区。本次技改项目位置主要位于混醇提浓区构架，新增的C5烷烯水洗塔和两个C5烷烯脱水塔布置在混醇提浓构架南北两侧，脱盐水进料缓冲罐、C5烷烯进料缓冲罐、C5烷烯沉降槽和C5烷烯脱水缓冲罐布置在构架上。泵布置在构架地面层。</w:t>
            </w:r>
          </w:p>
          <w:p w14:paraId="735B5AAC">
            <w:pPr>
              <w:spacing w:line="360" w:lineRule="auto"/>
              <w:ind w:firstLine="480" w:firstLineChars="200"/>
              <w:rPr>
                <w:bCs/>
                <w:color w:val="000000"/>
                <w:sz w:val="24"/>
              </w:rPr>
            </w:pPr>
            <w:r>
              <w:rPr>
                <w:bCs/>
                <w:color w:val="000000"/>
                <w:sz w:val="24"/>
              </w:rPr>
              <w:t>本项目平面布置图见附图二。</w:t>
            </w:r>
          </w:p>
          <w:p w14:paraId="5C033B8C">
            <w:pPr>
              <w:spacing w:line="360" w:lineRule="auto"/>
              <w:rPr>
                <w:rFonts w:hint="eastAsia" w:eastAsia="宋体"/>
                <w:b/>
                <w:bCs/>
                <w:color w:val="000000"/>
                <w:sz w:val="24"/>
                <w:lang w:eastAsia="zh-CN"/>
              </w:rPr>
            </w:pPr>
            <w:r>
              <w:rPr>
                <w:rFonts w:hint="eastAsia"/>
                <w:b/>
                <w:bCs/>
                <w:color w:val="000000"/>
                <w:sz w:val="24"/>
                <w:lang w:val="en-US" w:eastAsia="zh-CN"/>
              </w:rPr>
              <w:t>7</w:t>
            </w:r>
            <w:r>
              <w:rPr>
                <w:rFonts w:hint="eastAsia"/>
                <w:b/>
                <w:bCs/>
                <w:color w:val="000000"/>
                <w:sz w:val="24"/>
              </w:rPr>
              <w:t>.</w:t>
            </w:r>
            <w:r>
              <w:rPr>
                <w:rFonts w:hint="eastAsia"/>
                <w:b/>
                <w:bCs/>
                <w:color w:val="000000"/>
                <w:sz w:val="24"/>
                <w:lang w:val="en-US" w:eastAsia="zh-CN"/>
              </w:rPr>
              <w:t>依托工程</w:t>
            </w:r>
          </w:p>
          <w:p w14:paraId="43F33945">
            <w:pPr>
              <w:numPr>
                <w:ilvl w:val="0"/>
                <w:numId w:val="0"/>
              </w:numPr>
              <w:adjustRightInd w:val="0"/>
              <w:spacing w:line="360" w:lineRule="auto"/>
              <w:ind w:firstLine="480" w:firstLineChars="200"/>
              <w:jc w:val="left"/>
              <w:rPr>
                <w:rFonts w:hint="eastAsia"/>
                <w:kern w:val="0"/>
                <w:sz w:val="24"/>
              </w:rPr>
            </w:pPr>
            <w:r>
              <w:rPr>
                <w:rFonts w:hint="default" w:ascii="Calibri" w:hAnsi="Calibri" w:cs="Calibri"/>
                <w:kern w:val="0"/>
                <w:sz w:val="24"/>
              </w:rPr>
              <w:t>①</w:t>
            </w:r>
            <w:r>
              <w:rPr>
                <w:rFonts w:hint="eastAsia"/>
                <w:kern w:val="0"/>
                <w:sz w:val="24"/>
              </w:rPr>
              <w:t>原料依托</w:t>
            </w:r>
          </w:p>
          <w:p w14:paraId="09CC89E4">
            <w:pPr>
              <w:adjustRightInd w:val="0"/>
              <w:snapToGrid w:val="0"/>
              <w:spacing w:line="360" w:lineRule="auto"/>
              <w:ind w:firstLine="480" w:firstLineChars="200"/>
              <w:jc w:val="left"/>
              <w:rPr>
                <w:rFonts w:hint="eastAsia"/>
                <w:bCs/>
                <w:sz w:val="24"/>
              </w:rPr>
            </w:pPr>
            <w:r>
              <w:rPr>
                <w:rFonts w:hint="eastAsia" w:ascii="Times New Roman" w:hAnsi="Times New Roman" w:eastAsia="宋体" w:cs="Times New Roman"/>
                <w:bCs/>
                <w:sz w:val="24"/>
                <w:lang w:val="en-US" w:eastAsia="zh-CN"/>
              </w:rPr>
              <w:t>目前，内蒙古伊泰化工有限责任公司120万吨/年精细化学品示范项目（变更）中费托合成装置产生的费托合成轻质油</w:t>
            </w:r>
            <w:r>
              <w:rPr>
                <w:rFonts w:hint="eastAsia"/>
                <w:color w:val="000000"/>
                <w:sz w:val="24"/>
                <w:szCs w:val="20"/>
                <w:lang w:val="en-US" w:eastAsia="zh-CN"/>
              </w:rPr>
              <w:t>直接送至油品加工装置生产稳定轻烃和柴油产品；技改后轻质油经提取C5烷烯烃后仍然送至油品加工装置生产稳定轻烃和柴油产品。</w:t>
            </w:r>
            <w:r>
              <w:rPr>
                <w:rFonts w:hint="eastAsia" w:ascii="Times New Roman" w:hAnsi="Times New Roman" w:eastAsia="宋体" w:cs="Times New Roman"/>
                <w:bCs/>
                <w:sz w:val="24"/>
                <w:lang w:val="en-US" w:eastAsia="zh-CN"/>
              </w:rPr>
              <w:t>费托合成轻质油产量为36万吨/年，</w:t>
            </w:r>
            <w:r>
              <w:rPr>
                <w:rFonts w:hint="eastAsia"/>
                <w:bCs/>
                <w:sz w:val="24"/>
                <w:lang w:val="en-US" w:eastAsia="zh-CN"/>
              </w:rPr>
              <w:t>为提高煤制油的企业产品的经济效益以及提高煤制油企业产品销售自主权，本项目通过利旧改造原油品加工装置合成水处理单元的萃取精馏塔和乙二醇回收塔及附属系统切割拔出C5烷烯烃产品，可在一定程度上提高企业经济效益</w:t>
            </w:r>
            <w:r>
              <w:rPr>
                <w:rFonts w:hint="eastAsia"/>
                <w:bCs/>
                <w:sz w:val="24"/>
              </w:rPr>
              <w:t>。</w:t>
            </w:r>
          </w:p>
          <w:p w14:paraId="04EC1BA3">
            <w:pPr>
              <w:numPr>
                <w:ilvl w:val="0"/>
                <w:numId w:val="0"/>
              </w:numPr>
              <w:adjustRightInd w:val="0"/>
              <w:spacing w:line="360" w:lineRule="auto"/>
              <w:ind w:leftChars="200"/>
              <w:jc w:val="left"/>
              <w:rPr>
                <w:rFonts w:hint="eastAsia"/>
                <w:kern w:val="0"/>
                <w:sz w:val="24"/>
                <w:highlight w:val="none"/>
              </w:rPr>
            </w:pPr>
            <w:r>
              <w:rPr>
                <w:rFonts w:hint="default" w:ascii="Calibri" w:hAnsi="Calibri" w:cs="Calibri"/>
                <w:kern w:val="0"/>
                <w:sz w:val="24"/>
                <w:highlight w:val="none"/>
                <w:lang w:val="en-US" w:eastAsia="zh-CN"/>
              </w:rPr>
              <w:t>②</w:t>
            </w:r>
            <w:r>
              <w:rPr>
                <w:rFonts w:hint="eastAsia"/>
                <w:kern w:val="0"/>
                <w:sz w:val="24"/>
                <w:highlight w:val="none"/>
                <w:lang w:val="en-US" w:eastAsia="zh-CN"/>
              </w:rPr>
              <w:t>运输</w:t>
            </w:r>
            <w:r>
              <w:rPr>
                <w:rFonts w:hint="eastAsia"/>
                <w:kern w:val="0"/>
                <w:sz w:val="24"/>
                <w:highlight w:val="none"/>
              </w:rPr>
              <w:t>系统</w:t>
            </w:r>
          </w:p>
          <w:p w14:paraId="2041B1DC">
            <w:pPr>
              <w:snapToGrid w:val="0"/>
              <w:spacing w:line="360" w:lineRule="auto"/>
              <w:ind w:firstLine="480" w:firstLineChars="200"/>
              <w:rPr>
                <w:rFonts w:hint="default"/>
                <w:sz w:val="24"/>
                <w:szCs w:val="28"/>
                <w:highlight w:val="none"/>
                <w:lang w:val="en-US"/>
              </w:rPr>
            </w:pPr>
            <w:r>
              <w:rPr>
                <w:rFonts w:hint="eastAsia"/>
                <w:sz w:val="24"/>
                <w:szCs w:val="28"/>
                <w:highlight w:val="none"/>
                <w:lang w:val="en-US" w:eastAsia="zh-CN"/>
              </w:rPr>
              <w:t>本项目原料运输管线依托</w:t>
            </w:r>
            <w:r>
              <w:rPr>
                <w:rFonts w:hint="eastAsia" w:ascii="Times New Roman" w:hAnsi="Times New Roman" w:eastAsia="宋体" w:cs="Times New Roman"/>
                <w:bCs/>
                <w:sz w:val="24"/>
                <w:lang w:val="en-US" w:eastAsia="zh-CN"/>
              </w:rPr>
              <w:t>内蒙古伊泰化工有限责任公司120万吨/年精细化学品示范项目（变更）油品加工装置加氢</w:t>
            </w:r>
            <w:r>
              <w:rPr>
                <w:rFonts w:hint="eastAsia" w:cs="Times New Roman"/>
                <w:bCs/>
                <w:sz w:val="24"/>
                <w:lang w:val="en-US" w:eastAsia="zh-CN"/>
              </w:rPr>
              <w:t>精制</w:t>
            </w:r>
            <w:r>
              <w:rPr>
                <w:rFonts w:hint="eastAsia" w:ascii="Times New Roman" w:hAnsi="Times New Roman" w:eastAsia="宋体" w:cs="Times New Roman"/>
                <w:bCs/>
                <w:sz w:val="24"/>
                <w:lang w:val="en-US" w:eastAsia="zh-CN"/>
              </w:rPr>
              <w:t>单元费托轻质油管线，不凝气</w:t>
            </w:r>
            <w:r>
              <w:rPr>
                <w:rFonts w:hint="eastAsia" w:cs="Times New Roman"/>
                <w:bCs/>
                <w:sz w:val="24"/>
                <w:lang w:val="en-US" w:eastAsia="zh-CN"/>
              </w:rPr>
              <w:t>输送管线</w:t>
            </w:r>
            <w:r>
              <w:rPr>
                <w:rFonts w:hint="eastAsia" w:ascii="Times New Roman" w:hAnsi="Times New Roman" w:eastAsia="宋体" w:cs="Times New Roman"/>
                <w:bCs/>
                <w:sz w:val="24"/>
                <w:lang w:val="en-US" w:eastAsia="zh-CN"/>
              </w:rPr>
              <w:t>依托内蒙古伊泰化工有限责任公司120万吨/年精细化学品示范项目（变更）油品合成装置FT合成单元不凝气管线。</w:t>
            </w:r>
          </w:p>
          <w:p w14:paraId="46D602AD">
            <w:pPr>
              <w:numPr>
                <w:ilvl w:val="0"/>
                <w:numId w:val="0"/>
              </w:numPr>
              <w:adjustRightInd w:val="0"/>
              <w:spacing w:line="360" w:lineRule="auto"/>
              <w:ind w:leftChars="200"/>
              <w:jc w:val="left"/>
              <w:rPr>
                <w:rFonts w:hint="eastAsia"/>
                <w:kern w:val="0"/>
                <w:sz w:val="24"/>
              </w:rPr>
            </w:pPr>
            <w:r>
              <w:rPr>
                <w:rFonts w:hint="default" w:ascii="Calibri" w:hAnsi="Calibri" w:cs="Calibri"/>
                <w:kern w:val="0"/>
                <w:sz w:val="24"/>
              </w:rPr>
              <w:t>③</w:t>
            </w:r>
            <w:r>
              <w:rPr>
                <w:rFonts w:hint="eastAsia"/>
                <w:kern w:val="0"/>
                <w:sz w:val="24"/>
              </w:rPr>
              <w:t>自动控制系统</w:t>
            </w:r>
          </w:p>
          <w:p w14:paraId="2C6B1D64">
            <w:pPr>
              <w:adjustRightInd w:val="0"/>
              <w:spacing w:line="360" w:lineRule="auto"/>
              <w:ind w:firstLine="480" w:firstLineChars="200"/>
              <w:jc w:val="left"/>
              <w:rPr>
                <w:rFonts w:hint="eastAsia"/>
                <w:kern w:val="0"/>
                <w:sz w:val="24"/>
              </w:rPr>
            </w:pPr>
            <w:r>
              <w:rPr>
                <w:rFonts w:hint="eastAsia"/>
                <w:kern w:val="0"/>
                <w:sz w:val="24"/>
              </w:rPr>
              <w:t>依托</w:t>
            </w:r>
            <w:r>
              <w:rPr>
                <w:rFonts w:hint="eastAsia"/>
                <w:kern w:val="0"/>
                <w:sz w:val="24"/>
                <w:lang w:eastAsia="zh-CN"/>
              </w:rPr>
              <w:t>“</w:t>
            </w:r>
            <w:r>
              <w:rPr>
                <w:rFonts w:hint="eastAsia"/>
                <w:color w:val="000000"/>
                <w:sz w:val="24"/>
                <w:szCs w:val="20"/>
                <w:lang w:val="en-US" w:eastAsia="zh-CN"/>
              </w:rPr>
              <w:t>120万吨/年精细化学品示范项目</w:t>
            </w:r>
            <w:r>
              <w:rPr>
                <w:rFonts w:hint="eastAsia"/>
                <w:kern w:val="0"/>
                <w:sz w:val="24"/>
                <w:lang w:eastAsia="zh-CN"/>
              </w:rPr>
              <w:t>”</w:t>
            </w:r>
            <w:r>
              <w:rPr>
                <w:rFonts w:hint="eastAsia"/>
                <w:kern w:val="0"/>
                <w:sz w:val="24"/>
                <w:lang w:val="en-US" w:eastAsia="zh-CN"/>
              </w:rPr>
              <w:t>自动控制系统</w:t>
            </w:r>
            <w:r>
              <w:rPr>
                <w:rFonts w:hint="eastAsia"/>
                <w:kern w:val="0"/>
                <w:sz w:val="24"/>
              </w:rPr>
              <w:t>。</w:t>
            </w:r>
          </w:p>
          <w:p w14:paraId="50218D5E">
            <w:pPr>
              <w:adjustRightInd w:val="0"/>
              <w:spacing w:line="360" w:lineRule="auto"/>
              <w:ind w:firstLine="480" w:firstLineChars="200"/>
              <w:jc w:val="left"/>
              <w:rPr>
                <w:rFonts w:hint="default" w:eastAsia="宋体"/>
                <w:kern w:val="0"/>
                <w:sz w:val="24"/>
                <w:lang w:val="en-US" w:eastAsia="zh-CN"/>
              </w:rPr>
            </w:pPr>
            <w:r>
              <w:rPr>
                <w:rFonts w:hint="eastAsia"/>
                <w:kern w:val="0"/>
                <w:sz w:val="24"/>
                <w:lang w:val="en-US" w:eastAsia="zh-CN"/>
              </w:rPr>
              <w:t>a分散</w:t>
            </w:r>
            <w:r>
              <w:rPr>
                <w:rFonts w:hint="eastAsia"/>
                <w:kern w:val="0"/>
                <w:sz w:val="24"/>
              </w:rPr>
              <w:t>控制系统</w:t>
            </w:r>
            <w:r>
              <w:rPr>
                <w:rFonts w:hint="eastAsia"/>
                <w:kern w:val="0"/>
                <w:sz w:val="24"/>
                <w:lang w:eastAsia="zh-CN"/>
              </w:rPr>
              <w:t>（</w:t>
            </w:r>
            <w:r>
              <w:rPr>
                <w:rFonts w:hint="eastAsia"/>
                <w:kern w:val="0"/>
                <w:sz w:val="24"/>
                <w:lang w:val="en-US" w:eastAsia="zh-CN"/>
              </w:rPr>
              <w:t>DCS）</w:t>
            </w:r>
          </w:p>
          <w:p w14:paraId="221E67F9">
            <w:pPr>
              <w:adjustRightInd w:val="0"/>
              <w:spacing w:line="360" w:lineRule="auto"/>
              <w:ind w:firstLine="480" w:firstLineChars="200"/>
              <w:jc w:val="left"/>
              <w:rPr>
                <w:rFonts w:hint="default" w:eastAsia="宋体"/>
                <w:kern w:val="0"/>
                <w:sz w:val="24"/>
                <w:lang w:val="en-US" w:eastAsia="zh-CN"/>
              </w:rPr>
            </w:pPr>
            <w:r>
              <w:rPr>
                <w:rFonts w:hint="eastAsia"/>
                <w:kern w:val="0"/>
                <w:sz w:val="24"/>
                <w:lang w:val="en-US" w:eastAsia="zh-CN"/>
              </w:rPr>
              <w:t>本项目依托</w:t>
            </w:r>
            <w:r>
              <w:rPr>
                <w:rFonts w:hint="eastAsia"/>
                <w:color w:val="000000"/>
                <w:sz w:val="24"/>
                <w:szCs w:val="20"/>
                <w:lang w:val="en-US" w:eastAsia="zh-CN"/>
              </w:rPr>
              <w:t>120万吨/年精细化学品示范项目原有DCS系统网络配置，此次只增加相应的卡件及机柜。DCS系统完成本项目的基本过程包括控制、操作、监视、管理。</w:t>
            </w:r>
          </w:p>
          <w:p w14:paraId="736EE8E1">
            <w:pPr>
              <w:adjustRightInd w:val="0"/>
              <w:spacing w:line="360" w:lineRule="auto"/>
              <w:ind w:firstLine="480" w:firstLineChars="200"/>
              <w:jc w:val="left"/>
              <w:rPr>
                <w:rFonts w:hint="default" w:eastAsia="宋体"/>
                <w:kern w:val="0"/>
                <w:sz w:val="24"/>
                <w:lang w:val="en-US" w:eastAsia="zh-CN"/>
              </w:rPr>
            </w:pPr>
            <w:r>
              <w:rPr>
                <w:rFonts w:hint="eastAsia"/>
                <w:kern w:val="0"/>
                <w:sz w:val="24"/>
                <w:lang w:val="en-US" w:eastAsia="zh-CN"/>
              </w:rPr>
              <w:t>b安全仪表系统（SIS）</w:t>
            </w:r>
          </w:p>
          <w:p w14:paraId="728712C2">
            <w:pPr>
              <w:adjustRightInd w:val="0"/>
              <w:spacing w:line="360" w:lineRule="auto"/>
              <w:ind w:firstLine="480" w:firstLineChars="200"/>
              <w:jc w:val="left"/>
              <w:rPr>
                <w:rFonts w:hint="default" w:eastAsia="宋体"/>
                <w:kern w:val="0"/>
                <w:sz w:val="24"/>
                <w:lang w:val="en-US" w:eastAsia="zh-CN"/>
              </w:rPr>
            </w:pPr>
            <w:r>
              <w:rPr>
                <w:rFonts w:hint="eastAsia"/>
                <w:kern w:val="0"/>
                <w:sz w:val="24"/>
                <w:lang w:val="en-US" w:eastAsia="zh-CN"/>
              </w:rPr>
              <w:t>本项目依托</w:t>
            </w:r>
            <w:r>
              <w:rPr>
                <w:rFonts w:hint="eastAsia"/>
                <w:color w:val="000000"/>
                <w:sz w:val="24"/>
                <w:szCs w:val="20"/>
                <w:lang w:val="en-US" w:eastAsia="zh-CN"/>
              </w:rPr>
              <w:t>120万吨/年精细化学品示范项目原有SIS系统网络配置，此次只增加相应的卡件及机柜。</w:t>
            </w:r>
          </w:p>
          <w:p w14:paraId="2057B99E">
            <w:pPr>
              <w:adjustRightInd w:val="0"/>
              <w:spacing w:line="360" w:lineRule="auto"/>
              <w:ind w:firstLine="480" w:firstLineChars="200"/>
              <w:jc w:val="left"/>
              <w:rPr>
                <w:rFonts w:hint="default" w:eastAsia="宋体"/>
                <w:kern w:val="0"/>
                <w:sz w:val="24"/>
                <w:lang w:val="en-US" w:eastAsia="zh-CN"/>
              </w:rPr>
            </w:pPr>
            <w:r>
              <w:rPr>
                <w:rFonts w:hint="eastAsia"/>
                <w:kern w:val="0"/>
                <w:sz w:val="24"/>
                <w:lang w:val="en-US" w:eastAsia="zh-CN"/>
              </w:rPr>
              <w:t>c可燃和毒气检测报警系统（GDS）</w:t>
            </w:r>
          </w:p>
          <w:p w14:paraId="6A8C54EA">
            <w:pPr>
              <w:adjustRightInd w:val="0"/>
              <w:spacing w:line="360" w:lineRule="auto"/>
              <w:ind w:firstLine="480" w:firstLineChars="200"/>
              <w:jc w:val="left"/>
              <w:rPr>
                <w:rFonts w:hint="eastAsia"/>
                <w:kern w:val="0"/>
                <w:sz w:val="24"/>
              </w:rPr>
            </w:pPr>
            <w:r>
              <w:rPr>
                <w:rFonts w:hint="eastAsia"/>
                <w:kern w:val="0"/>
                <w:sz w:val="24"/>
                <w:lang w:val="en-US" w:eastAsia="zh-CN"/>
              </w:rPr>
              <w:t>本项目依托</w:t>
            </w:r>
            <w:r>
              <w:rPr>
                <w:rFonts w:hint="eastAsia"/>
                <w:color w:val="000000"/>
                <w:sz w:val="24"/>
                <w:szCs w:val="20"/>
                <w:lang w:val="en-US" w:eastAsia="zh-CN"/>
              </w:rPr>
              <w:t>120万吨/年精细化学品示范项目原有GDS报警系统，</w:t>
            </w:r>
            <w:r>
              <w:rPr>
                <w:rFonts w:hint="eastAsia"/>
                <w:kern w:val="0"/>
                <w:sz w:val="24"/>
                <w:lang w:val="en-US" w:eastAsia="zh-CN"/>
              </w:rPr>
              <w:t>在生产装置及辅助设施内可能泄漏或聚集可燃有毒气体的地方，分别设有可燃、有毒气体检测器，带声光报警功能，并将信号接至原有GDS系统，本项目需要新增卡件。</w:t>
            </w:r>
          </w:p>
          <w:p w14:paraId="49E62BA4">
            <w:pPr>
              <w:numPr>
                <w:ilvl w:val="0"/>
                <w:numId w:val="0"/>
              </w:numPr>
              <w:adjustRightInd w:val="0"/>
              <w:spacing w:line="360" w:lineRule="auto"/>
              <w:ind w:firstLine="480" w:firstLineChars="200"/>
              <w:jc w:val="left"/>
              <w:rPr>
                <w:rFonts w:hint="eastAsia"/>
                <w:kern w:val="0"/>
                <w:sz w:val="24"/>
              </w:rPr>
            </w:pPr>
            <w:r>
              <w:rPr>
                <w:rFonts w:hint="eastAsia" w:ascii="宋体" w:hAnsi="宋体" w:eastAsia="宋体" w:cs="宋体"/>
                <w:kern w:val="0"/>
                <w:sz w:val="24"/>
                <w:lang w:val="en-US" w:eastAsia="zh-CN"/>
              </w:rPr>
              <w:t>④</w:t>
            </w:r>
            <w:r>
              <w:rPr>
                <w:rFonts w:hint="eastAsia"/>
                <w:kern w:val="0"/>
                <w:sz w:val="24"/>
                <w:lang w:val="en-US" w:eastAsia="zh-CN"/>
              </w:rPr>
              <w:t>空分装置</w:t>
            </w:r>
          </w:p>
          <w:p w14:paraId="689F45ED">
            <w:pPr>
              <w:pStyle w:val="399"/>
              <w:ind w:firstLine="480"/>
              <w:rPr>
                <w:color w:val="auto"/>
              </w:rPr>
            </w:pPr>
            <w:r>
              <w:rPr>
                <w:rFonts w:hint="eastAsia"/>
                <w:lang w:val="en-US" w:eastAsia="zh-CN"/>
              </w:rPr>
              <w:t>本项目</w:t>
            </w:r>
            <w:r>
              <w:rPr>
                <w:rFonts w:hint="eastAsia"/>
              </w:rPr>
              <w:t>依</w:t>
            </w:r>
            <w:r>
              <w:rPr>
                <w:rFonts w:hint="eastAsia"/>
                <w:color w:val="auto"/>
                <w:spacing w:val="-1"/>
              </w:rPr>
              <w:t>托</w:t>
            </w:r>
            <w:r>
              <w:rPr>
                <w:rFonts w:hint="eastAsia"/>
                <w:kern w:val="0"/>
                <w:sz w:val="24"/>
                <w:highlight w:val="none"/>
                <w:lang w:val="en-US" w:eastAsia="zh-CN"/>
              </w:rPr>
              <w:t>120万吨/年精细化学品示范</w:t>
            </w:r>
            <w:r>
              <w:rPr>
                <w:rFonts w:hint="eastAsia"/>
                <w:color w:val="auto"/>
                <w:spacing w:val="-1"/>
              </w:rPr>
              <w:t>项目的空分装置。</w:t>
            </w:r>
            <w:r>
              <w:rPr>
                <w:rFonts w:hint="eastAsia"/>
                <w:color w:val="auto"/>
              </w:rPr>
              <w:t>空分装置采用了全低压分子筛净化吸附，空气透平增压膨胀机，氮气透平增压膨胀机，带液体膨胀机，增效氩去除塔单元，空气增压的高压氧内压缩流程。</w:t>
            </w:r>
          </w:p>
          <w:p w14:paraId="611B7C52">
            <w:pPr>
              <w:spacing w:line="360" w:lineRule="auto"/>
              <w:ind w:firstLine="480" w:firstLineChars="200"/>
              <w:rPr>
                <w:rFonts w:hint="eastAsia" w:eastAsia="宋体"/>
                <w:sz w:val="24"/>
                <w:szCs w:val="24"/>
                <w:highlight w:val="none"/>
                <w:lang w:eastAsia="zh-CN"/>
              </w:rPr>
            </w:pPr>
            <w:r>
              <w:rPr>
                <w:rFonts w:hint="eastAsia"/>
                <w:sz w:val="24"/>
              </w:rPr>
              <w:t>空分主装置规模26.4×10</w:t>
            </w:r>
            <w:r>
              <w:rPr>
                <w:rFonts w:hint="eastAsia"/>
                <w:sz w:val="24"/>
                <w:vertAlign w:val="superscript"/>
              </w:rPr>
              <w:t>4</w:t>
            </w:r>
            <w:r>
              <w:rPr>
                <w:rFonts w:hint="eastAsia"/>
                <w:sz w:val="24"/>
              </w:rPr>
              <w:t>Nm</w:t>
            </w:r>
            <w:r>
              <w:rPr>
                <w:rFonts w:hint="eastAsia"/>
                <w:sz w:val="24"/>
                <w:vertAlign w:val="superscript"/>
              </w:rPr>
              <w:t>3</w:t>
            </w:r>
            <w:r>
              <w:rPr>
                <w:rFonts w:hint="eastAsia"/>
                <w:sz w:val="24"/>
              </w:rPr>
              <w:t>/h，由3套8.8×l0</w:t>
            </w:r>
            <w:r>
              <w:rPr>
                <w:rFonts w:hint="eastAsia"/>
                <w:sz w:val="24"/>
                <w:vertAlign w:val="superscript"/>
              </w:rPr>
              <w:t>4</w:t>
            </w:r>
            <w:r>
              <w:rPr>
                <w:rFonts w:hint="eastAsia"/>
                <w:sz w:val="24"/>
              </w:rPr>
              <w:t>Nm</w:t>
            </w:r>
            <w:r>
              <w:rPr>
                <w:rFonts w:hint="eastAsia"/>
                <w:sz w:val="24"/>
                <w:vertAlign w:val="superscript"/>
              </w:rPr>
              <w:t>3</w:t>
            </w:r>
            <w:r>
              <w:rPr>
                <w:rFonts w:hint="eastAsia"/>
                <w:sz w:val="24"/>
              </w:rPr>
              <w:t>/h空分装置及1套备用系统组成</w:t>
            </w:r>
            <w:r>
              <w:rPr>
                <w:rFonts w:hint="eastAsia"/>
                <w:sz w:val="24"/>
                <w:lang w:eastAsia="zh-CN"/>
              </w:rPr>
              <w:t>，</w:t>
            </w:r>
            <w:r>
              <w:rPr>
                <w:rFonts w:hint="eastAsia"/>
                <w:kern w:val="44"/>
                <w:sz w:val="24"/>
              </w:rPr>
              <w:t>年操作时间</w:t>
            </w:r>
            <w:r>
              <w:rPr>
                <w:kern w:val="44"/>
                <w:sz w:val="24"/>
              </w:rPr>
              <w:t>8000h</w:t>
            </w:r>
            <w:r>
              <w:rPr>
                <w:rFonts w:hint="eastAsia"/>
                <w:kern w:val="44"/>
                <w:sz w:val="24"/>
              </w:rPr>
              <w:t>。</w:t>
            </w:r>
            <w:r>
              <w:rPr>
                <w:rFonts w:hint="eastAsia"/>
                <w:sz w:val="24"/>
                <w:szCs w:val="24"/>
                <w:highlight w:val="none"/>
              </w:rPr>
              <w:t>本项目依</w:t>
            </w:r>
            <w:r>
              <w:rPr>
                <w:rFonts w:hint="eastAsia"/>
                <w:spacing w:val="-1"/>
                <w:kern w:val="44"/>
                <w:sz w:val="24"/>
                <w:szCs w:val="24"/>
                <w:highlight w:val="none"/>
              </w:rPr>
              <w:t>托</w:t>
            </w:r>
            <w:r>
              <w:rPr>
                <w:rFonts w:hint="eastAsia"/>
                <w:kern w:val="0"/>
                <w:sz w:val="24"/>
                <w:szCs w:val="24"/>
                <w:highlight w:val="none"/>
                <w:lang w:val="en-US" w:eastAsia="zh-CN"/>
              </w:rPr>
              <w:t>120万吨/年精细化学品示范</w:t>
            </w:r>
            <w:r>
              <w:rPr>
                <w:rFonts w:hint="eastAsia"/>
                <w:color w:val="auto"/>
                <w:spacing w:val="-1"/>
                <w:sz w:val="24"/>
                <w:szCs w:val="24"/>
                <w:highlight w:val="none"/>
              </w:rPr>
              <w:t>项目</w:t>
            </w:r>
            <w:r>
              <w:rPr>
                <w:rFonts w:hint="eastAsia"/>
                <w:spacing w:val="-1"/>
                <w:kern w:val="44"/>
                <w:sz w:val="24"/>
                <w:szCs w:val="24"/>
                <w:highlight w:val="none"/>
              </w:rPr>
              <w:t>为本项目</w:t>
            </w:r>
            <w:r>
              <w:rPr>
                <w:rFonts w:hint="eastAsia"/>
                <w:sz w:val="24"/>
                <w:szCs w:val="24"/>
                <w:highlight w:val="none"/>
              </w:rPr>
              <w:t>提供正常负荷</w:t>
            </w:r>
            <w:r>
              <w:rPr>
                <w:rFonts w:hint="eastAsia"/>
                <w:sz w:val="24"/>
                <w:szCs w:val="24"/>
                <w:highlight w:val="none"/>
                <w:lang w:val="en-US" w:eastAsia="zh-CN"/>
              </w:rPr>
              <w:t>100</w:t>
            </w:r>
            <w:r>
              <w:rPr>
                <w:sz w:val="24"/>
                <w:szCs w:val="24"/>
                <w:highlight w:val="none"/>
              </w:rPr>
              <w:t>Nm</w:t>
            </w:r>
            <w:r>
              <w:rPr>
                <w:sz w:val="24"/>
                <w:szCs w:val="24"/>
                <w:highlight w:val="none"/>
                <w:vertAlign w:val="superscript"/>
              </w:rPr>
              <w:t>3</w:t>
            </w:r>
            <w:r>
              <w:rPr>
                <w:sz w:val="24"/>
                <w:szCs w:val="24"/>
                <w:highlight w:val="none"/>
              </w:rPr>
              <w:t>/h</w:t>
            </w:r>
            <w:r>
              <w:rPr>
                <w:rFonts w:hint="eastAsia"/>
                <w:sz w:val="24"/>
                <w:szCs w:val="24"/>
                <w:highlight w:val="none"/>
              </w:rPr>
              <w:t>的</w:t>
            </w:r>
            <w:r>
              <w:rPr>
                <w:sz w:val="24"/>
                <w:szCs w:val="24"/>
                <w:highlight w:val="none"/>
              </w:rPr>
              <w:t>氮</w:t>
            </w:r>
            <w:r>
              <w:rPr>
                <w:rFonts w:hint="eastAsia"/>
                <w:sz w:val="24"/>
                <w:szCs w:val="24"/>
                <w:highlight w:val="none"/>
                <w:lang w:val="en-US" w:eastAsia="zh-CN"/>
              </w:rPr>
              <w:t>气</w:t>
            </w:r>
            <w:r>
              <w:rPr>
                <w:rFonts w:hint="eastAsia"/>
                <w:sz w:val="24"/>
                <w:szCs w:val="24"/>
                <w:highlight w:val="none"/>
              </w:rPr>
              <w:t>。</w:t>
            </w:r>
            <w:r>
              <w:rPr>
                <w:rFonts w:hint="eastAsia"/>
                <w:kern w:val="0"/>
                <w:sz w:val="24"/>
                <w:szCs w:val="24"/>
                <w:highlight w:val="none"/>
                <w:lang w:val="en-US" w:eastAsia="zh-CN"/>
              </w:rPr>
              <w:t>全厂氮气产量</w:t>
            </w:r>
            <w:r>
              <w:rPr>
                <w:rFonts w:hint="eastAsia"/>
                <w:color w:val="auto"/>
                <w:spacing w:val="-1"/>
                <w:sz w:val="24"/>
                <w:szCs w:val="24"/>
                <w:highlight w:val="none"/>
              </w:rPr>
              <w:t>为</w:t>
            </w:r>
            <w:r>
              <w:rPr>
                <w:rFonts w:hint="eastAsia"/>
                <w:color w:val="auto"/>
                <w:spacing w:val="-1"/>
                <w:sz w:val="24"/>
                <w:szCs w:val="24"/>
                <w:highlight w:val="none"/>
                <w:lang w:val="en-US" w:eastAsia="zh-CN"/>
              </w:rPr>
              <w:t>187248</w:t>
            </w:r>
            <w:r>
              <w:rPr>
                <w:sz w:val="24"/>
                <w:szCs w:val="24"/>
                <w:highlight w:val="none"/>
              </w:rPr>
              <w:t>Nm</w:t>
            </w:r>
            <w:r>
              <w:rPr>
                <w:sz w:val="24"/>
                <w:szCs w:val="24"/>
                <w:highlight w:val="none"/>
                <w:vertAlign w:val="superscript"/>
              </w:rPr>
              <w:t>3</w:t>
            </w:r>
            <w:r>
              <w:rPr>
                <w:sz w:val="24"/>
                <w:szCs w:val="24"/>
                <w:highlight w:val="none"/>
              </w:rPr>
              <w:t>/h</w:t>
            </w:r>
            <w:r>
              <w:rPr>
                <w:rFonts w:hint="eastAsia"/>
                <w:sz w:val="24"/>
                <w:szCs w:val="24"/>
                <w:highlight w:val="none"/>
              </w:rPr>
              <w:t>，</w:t>
            </w:r>
            <w:r>
              <w:rPr>
                <w:rFonts w:hint="eastAsia"/>
                <w:sz w:val="24"/>
                <w:szCs w:val="24"/>
                <w:highlight w:val="none"/>
                <w:lang w:val="en-US" w:eastAsia="zh-CN"/>
              </w:rPr>
              <w:t>目前已使用量为168496</w:t>
            </w:r>
            <w:r>
              <w:rPr>
                <w:sz w:val="24"/>
                <w:szCs w:val="24"/>
                <w:highlight w:val="none"/>
              </w:rPr>
              <w:t>Nm</w:t>
            </w:r>
            <w:r>
              <w:rPr>
                <w:sz w:val="24"/>
                <w:szCs w:val="24"/>
                <w:highlight w:val="none"/>
                <w:vertAlign w:val="superscript"/>
              </w:rPr>
              <w:t>3</w:t>
            </w:r>
            <w:r>
              <w:rPr>
                <w:sz w:val="24"/>
                <w:szCs w:val="24"/>
                <w:highlight w:val="none"/>
              </w:rPr>
              <w:t>/h</w:t>
            </w:r>
            <w:r>
              <w:rPr>
                <w:rFonts w:hint="eastAsia"/>
                <w:sz w:val="24"/>
                <w:szCs w:val="24"/>
                <w:highlight w:val="none"/>
                <w:lang w:val="en-US" w:eastAsia="zh-CN"/>
              </w:rPr>
              <w:t>，富余量为18752</w:t>
            </w:r>
            <w:r>
              <w:rPr>
                <w:sz w:val="24"/>
                <w:szCs w:val="24"/>
                <w:highlight w:val="none"/>
              </w:rPr>
              <w:t>Nm</w:t>
            </w:r>
            <w:r>
              <w:rPr>
                <w:sz w:val="24"/>
                <w:szCs w:val="24"/>
                <w:highlight w:val="none"/>
                <w:vertAlign w:val="superscript"/>
              </w:rPr>
              <w:t>3</w:t>
            </w:r>
            <w:r>
              <w:rPr>
                <w:sz w:val="24"/>
                <w:szCs w:val="24"/>
                <w:highlight w:val="none"/>
              </w:rPr>
              <w:t>/h</w:t>
            </w:r>
            <w:r>
              <w:rPr>
                <w:rFonts w:hint="eastAsia"/>
                <w:sz w:val="24"/>
                <w:szCs w:val="24"/>
                <w:highlight w:val="none"/>
              </w:rPr>
              <w:t>，可</w:t>
            </w:r>
            <w:r>
              <w:rPr>
                <w:rFonts w:hint="eastAsia"/>
                <w:sz w:val="24"/>
                <w:szCs w:val="24"/>
                <w:highlight w:val="none"/>
                <w:lang w:val="en-US" w:eastAsia="zh-CN"/>
              </w:rPr>
              <w:t>满足</w:t>
            </w:r>
            <w:r>
              <w:rPr>
                <w:rFonts w:hint="eastAsia"/>
                <w:sz w:val="24"/>
                <w:szCs w:val="24"/>
                <w:highlight w:val="none"/>
              </w:rPr>
              <w:t>本项目需求</w:t>
            </w:r>
            <w:r>
              <w:rPr>
                <w:rFonts w:hint="eastAsia"/>
                <w:sz w:val="24"/>
                <w:szCs w:val="24"/>
                <w:highlight w:val="none"/>
                <w:lang w:eastAsia="zh-CN"/>
              </w:rPr>
              <w:t>。</w:t>
            </w:r>
          </w:p>
          <w:p w14:paraId="501075D9">
            <w:pPr>
              <w:numPr>
                <w:ilvl w:val="0"/>
                <w:numId w:val="0"/>
              </w:numPr>
              <w:adjustRightInd w:val="0"/>
              <w:spacing w:line="360" w:lineRule="auto"/>
              <w:ind w:firstLine="480" w:firstLineChars="200"/>
              <w:jc w:val="left"/>
              <w:rPr>
                <w:rFonts w:hint="eastAsia"/>
                <w:kern w:val="0"/>
                <w:sz w:val="24"/>
              </w:rPr>
            </w:pPr>
            <w:r>
              <w:rPr>
                <w:rFonts w:hint="eastAsia" w:ascii="宋体" w:hAnsi="宋体" w:eastAsia="宋体" w:cs="宋体"/>
                <w:kern w:val="0"/>
                <w:sz w:val="24"/>
                <w:lang w:val="en-US" w:eastAsia="zh-CN"/>
              </w:rPr>
              <w:t>⑤</w:t>
            </w:r>
            <w:r>
              <w:rPr>
                <w:rFonts w:hint="eastAsia"/>
                <w:kern w:val="0"/>
                <w:sz w:val="24"/>
                <w:lang w:val="en-US" w:eastAsia="zh-CN"/>
              </w:rPr>
              <w:t>蒸汽</w:t>
            </w:r>
          </w:p>
          <w:p w14:paraId="675AFB04">
            <w:pPr>
              <w:pStyle w:val="399"/>
              <w:ind w:firstLine="480"/>
              <w:rPr>
                <w:rFonts w:hint="eastAsia"/>
                <w:snapToGrid w:val="0"/>
              </w:rPr>
            </w:pPr>
            <w:r>
              <w:rPr>
                <w:rFonts w:hint="eastAsia"/>
                <w:snapToGrid w:val="0"/>
              </w:rPr>
              <w:t>本项目装置</w:t>
            </w:r>
            <w:r>
              <w:rPr>
                <w:rFonts w:hint="eastAsia"/>
                <w:snapToGrid w:val="0"/>
                <w:lang w:val="en-US" w:eastAsia="zh-CN"/>
              </w:rPr>
              <w:t>蒸汽依托内蒙古伊泰化工有限责任公司120万吨/年精细化学品示范项目（变更）热电装置</w:t>
            </w:r>
            <w:r>
              <w:rPr>
                <w:rFonts w:hint="eastAsia"/>
                <w:snapToGrid w:val="0"/>
                <w:lang w:eastAsia="zh-CN"/>
              </w:rPr>
              <w:t>，</w:t>
            </w:r>
            <w:r>
              <w:rPr>
                <w:rFonts w:hint="eastAsia"/>
                <w:snapToGrid w:val="0"/>
                <w:lang w:val="en-US" w:eastAsia="zh-CN"/>
              </w:rPr>
              <w:t>该热电装置主要承担高压蒸汽生产、蒸汽系统运行调节、主蒸汽发电、余热发电、高压除氧水供给等重要职能；热电装置主要依靠锅炉发电（4×480t/h高压高温循环流化床锅炉），</w:t>
            </w:r>
            <w:r>
              <w:rPr>
                <w:rFonts w:hint="eastAsia"/>
                <w:snapToGrid w:val="0"/>
              </w:rPr>
              <w:t>现有中压饱和蒸汽生产能力为737.8t</w:t>
            </w:r>
            <w:r>
              <w:rPr>
                <w:rFonts w:hint="eastAsia"/>
                <w:snapToGrid w:val="0"/>
                <w:lang w:val="en-US" w:eastAsia="zh-CN"/>
              </w:rPr>
              <w:t>/</w:t>
            </w:r>
            <w:r>
              <w:rPr>
                <w:rFonts w:hint="eastAsia"/>
                <w:snapToGrid w:val="0"/>
              </w:rPr>
              <w:t>h，伊泰现有中压饱和蒸汽使用量为612.8t</w:t>
            </w:r>
            <w:r>
              <w:rPr>
                <w:rFonts w:hint="eastAsia"/>
                <w:snapToGrid w:val="0"/>
                <w:lang w:val="en-US" w:eastAsia="zh-CN"/>
              </w:rPr>
              <w:t>/</w:t>
            </w:r>
            <w:r>
              <w:rPr>
                <w:rFonts w:hint="eastAsia"/>
                <w:snapToGrid w:val="0"/>
              </w:rPr>
              <w:t>h，剩余量为125t</w:t>
            </w:r>
            <w:r>
              <w:rPr>
                <w:rFonts w:hint="eastAsia"/>
                <w:snapToGrid w:val="0"/>
                <w:lang w:val="en-US" w:eastAsia="zh-CN"/>
              </w:rPr>
              <w:t>/</w:t>
            </w:r>
            <w:r>
              <w:rPr>
                <w:rFonts w:hint="eastAsia"/>
                <w:snapToGrid w:val="0"/>
              </w:rPr>
              <w:t>h，</w:t>
            </w:r>
            <w:r>
              <w:rPr>
                <w:rFonts w:hint="eastAsia"/>
                <w:snapToGrid w:val="0"/>
                <w:lang w:val="en-US" w:eastAsia="zh-CN"/>
              </w:rPr>
              <w:t>本项目</w:t>
            </w:r>
            <w:r>
              <w:rPr>
                <w:rFonts w:hint="eastAsia"/>
                <w:snapToGrid w:val="0"/>
              </w:rPr>
              <w:t>蒸汽消耗量为</w:t>
            </w:r>
            <w:r>
              <w:rPr>
                <w:rFonts w:hint="eastAsia"/>
                <w:snapToGrid w:val="0"/>
                <w:lang w:val="en-US" w:eastAsia="zh-CN"/>
              </w:rPr>
              <w:t>7.6t/</w:t>
            </w:r>
            <w:r>
              <w:rPr>
                <w:rFonts w:hint="eastAsia"/>
                <w:snapToGrid w:val="0"/>
              </w:rPr>
              <w:t>h</w:t>
            </w:r>
            <w:r>
              <w:rPr>
                <w:rFonts w:hint="eastAsia"/>
                <w:snapToGrid w:val="0"/>
                <w:lang w:eastAsia="zh-CN"/>
              </w:rPr>
              <w:t>，</w:t>
            </w:r>
            <w:r>
              <w:rPr>
                <w:rFonts w:hint="eastAsia"/>
                <w:snapToGrid w:val="0"/>
              </w:rPr>
              <w:t>余量可满足本项目需求，依托可行。</w:t>
            </w:r>
          </w:p>
          <w:p w14:paraId="706A5235">
            <w:pPr>
              <w:numPr>
                <w:ilvl w:val="0"/>
                <w:numId w:val="0"/>
              </w:numPr>
              <w:adjustRightInd w:val="0"/>
              <w:spacing w:line="360" w:lineRule="auto"/>
              <w:ind w:firstLine="480" w:firstLineChars="200"/>
              <w:jc w:val="left"/>
              <w:rPr>
                <w:rFonts w:hint="eastAsia"/>
                <w:kern w:val="0"/>
                <w:sz w:val="24"/>
              </w:rPr>
            </w:pPr>
            <w:r>
              <w:rPr>
                <w:rFonts w:hint="eastAsia" w:ascii="宋体" w:hAnsi="宋体" w:eastAsia="宋体" w:cs="宋体"/>
                <w:kern w:val="0"/>
                <w:sz w:val="24"/>
              </w:rPr>
              <w:t>⑥</w:t>
            </w:r>
            <w:r>
              <w:rPr>
                <w:rFonts w:hint="eastAsia"/>
                <w:kern w:val="0"/>
                <w:sz w:val="24"/>
              </w:rPr>
              <w:t>循环水</w:t>
            </w:r>
          </w:p>
          <w:p w14:paraId="68AF0F4F">
            <w:pPr>
              <w:pStyle w:val="399"/>
              <w:ind w:firstLine="480"/>
              <w:rPr>
                <w:color w:val="auto"/>
              </w:rPr>
            </w:pPr>
            <w:r>
              <w:rPr>
                <w:color w:val="auto"/>
              </w:rPr>
              <w:t>循环水依托</w:t>
            </w:r>
            <w:r>
              <w:rPr>
                <w:rFonts w:hint="eastAsia"/>
                <w:snapToGrid w:val="0"/>
              </w:rPr>
              <w:t>120万吨/年产精细化学品示范项目</w:t>
            </w:r>
            <w:r>
              <w:rPr>
                <w:rFonts w:hint="eastAsia"/>
                <w:color w:val="auto"/>
              </w:rPr>
              <w:t>的</w:t>
            </w:r>
            <w:r>
              <w:rPr>
                <w:rFonts w:hint="eastAsia"/>
                <w:color w:val="000000"/>
                <w:sz w:val="24"/>
                <w:szCs w:val="24"/>
              </w:rPr>
              <w:t>第三循环水</w:t>
            </w:r>
            <w:r>
              <w:rPr>
                <w:rFonts w:hint="eastAsia"/>
                <w:color w:val="auto"/>
              </w:rPr>
              <w:t>站。</w:t>
            </w:r>
          </w:p>
          <w:p w14:paraId="687D875F">
            <w:pPr>
              <w:pStyle w:val="399"/>
              <w:ind w:firstLine="480"/>
              <w:rPr>
                <w:rFonts w:hint="eastAsia"/>
                <w:color w:val="auto"/>
                <w:spacing w:val="-1"/>
              </w:rPr>
            </w:pPr>
            <w:r>
              <w:rPr>
                <w:rFonts w:hint="eastAsia"/>
                <w:color w:val="000000"/>
                <w:sz w:val="24"/>
                <w:szCs w:val="24"/>
              </w:rPr>
              <w:t>第三循环水规模25000m</w:t>
            </w:r>
            <w:r>
              <w:rPr>
                <w:rFonts w:hint="eastAsia"/>
                <w:color w:val="000000"/>
                <w:sz w:val="24"/>
                <w:szCs w:val="24"/>
                <w:vertAlign w:val="superscript"/>
              </w:rPr>
              <w:t>3</w:t>
            </w:r>
            <w:r>
              <w:rPr>
                <w:rFonts w:hint="eastAsia"/>
                <w:color w:val="000000"/>
                <w:sz w:val="24"/>
                <w:szCs w:val="24"/>
              </w:rPr>
              <w:t>/h，全场最大用水量为</w:t>
            </w:r>
            <w:r>
              <w:rPr>
                <w:rFonts w:hint="eastAsia"/>
                <w:color w:val="000000"/>
                <w:sz w:val="24"/>
                <w:szCs w:val="24"/>
                <w:highlight w:val="none"/>
                <w:lang w:val="en-US" w:eastAsia="zh-CN"/>
              </w:rPr>
              <w:t>21635</w:t>
            </w:r>
            <w:r>
              <w:rPr>
                <w:rFonts w:hint="eastAsia"/>
                <w:color w:val="000000"/>
                <w:sz w:val="24"/>
                <w:szCs w:val="24"/>
                <w:highlight w:val="none"/>
              </w:rPr>
              <w:t>m</w:t>
            </w:r>
            <w:r>
              <w:rPr>
                <w:rFonts w:hint="eastAsia"/>
                <w:color w:val="000000"/>
                <w:sz w:val="24"/>
                <w:szCs w:val="24"/>
                <w:highlight w:val="none"/>
                <w:vertAlign w:val="superscript"/>
              </w:rPr>
              <w:t>3</w:t>
            </w:r>
            <w:r>
              <w:rPr>
                <w:rFonts w:hint="eastAsia"/>
                <w:color w:val="000000"/>
                <w:sz w:val="24"/>
                <w:szCs w:val="24"/>
                <w:highlight w:val="none"/>
              </w:rPr>
              <w:t>/h，剩余</w:t>
            </w:r>
            <w:r>
              <w:rPr>
                <w:rFonts w:hint="eastAsia"/>
                <w:color w:val="000000"/>
                <w:sz w:val="24"/>
                <w:szCs w:val="24"/>
                <w:highlight w:val="none"/>
                <w:lang w:val="en-US" w:eastAsia="zh-CN"/>
              </w:rPr>
              <w:t>3365</w:t>
            </w:r>
            <w:r>
              <w:rPr>
                <w:rFonts w:hint="eastAsia"/>
                <w:color w:val="000000"/>
                <w:sz w:val="24"/>
                <w:szCs w:val="24"/>
                <w:highlight w:val="none"/>
              </w:rPr>
              <w:t>m</w:t>
            </w:r>
            <w:r>
              <w:rPr>
                <w:rFonts w:hint="eastAsia"/>
                <w:color w:val="000000"/>
                <w:sz w:val="24"/>
                <w:szCs w:val="24"/>
                <w:highlight w:val="none"/>
                <w:vertAlign w:val="superscript"/>
              </w:rPr>
              <w:t>3</w:t>
            </w:r>
            <w:r>
              <w:rPr>
                <w:rFonts w:hint="eastAsia"/>
                <w:color w:val="000000"/>
                <w:sz w:val="24"/>
                <w:szCs w:val="24"/>
                <w:highlight w:val="none"/>
              </w:rPr>
              <w:t>/h</w:t>
            </w:r>
            <w:r>
              <w:rPr>
                <w:rFonts w:hint="eastAsia"/>
                <w:color w:val="auto"/>
              </w:rPr>
              <w:t>，本项目循环水</w:t>
            </w:r>
            <w:r>
              <w:rPr>
                <w:rFonts w:hint="eastAsia"/>
                <w:color w:val="auto"/>
                <w:lang w:val="en-US" w:eastAsia="zh-CN"/>
              </w:rPr>
              <w:t>用</w:t>
            </w:r>
            <w:r>
              <w:rPr>
                <w:rFonts w:hint="eastAsia"/>
                <w:color w:val="auto"/>
              </w:rPr>
              <w:t>量</w:t>
            </w:r>
            <w:r>
              <w:rPr>
                <w:rFonts w:hint="eastAsia"/>
                <w:color w:val="auto"/>
                <w:lang w:val="en-US" w:eastAsia="zh-CN"/>
              </w:rPr>
              <w:t>192.6</w:t>
            </w:r>
            <w:r>
              <w:rPr>
                <w:rFonts w:hint="eastAsia"/>
                <w:color w:val="auto"/>
              </w:rPr>
              <w:t>m</w:t>
            </w:r>
            <w:r>
              <w:rPr>
                <w:rFonts w:hint="eastAsia"/>
                <w:color w:val="auto"/>
                <w:vertAlign w:val="superscript"/>
              </w:rPr>
              <w:t>3</w:t>
            </w:r>
            <w:r>
              <w:rPr>
                <w:rFonts w:hint="eastAsia"/>
                <w:color w:val="auto"/>
              </w:rPr>
              <w:t>/h，</w:t>
            </w:r>
            <w:r>
              <w:rPr>
                <w:rFonts w:hint="eastAsia"/>
                <w:snapToGrid w:val="0"/>
              </w:rPr>
              <w:t>余量可满足本项目需求，依托可行</w:t>
            </w:r>
            <w:r>
              <w:rPr>
                <w:rFonts w:hint="eastAsia"/>
                <w:color w:val="auto"/>
                <w:spacing w:val="-1"/>
              </w:rPr>
              <w:t>。</w:t>
            </w:r>
          </w:p>
          <w:p w14:paraId="673F5D19">
            <w:pPr>
              <w:pStyle w:val="399"/>
              <w:ind w:firstLine="480"/>
              <w:rPr>
                <w:rFonts w:hint="eastAsia" w:eastAsia="宋体"/>
                <w:color w:val="auto"/>
                <w:spacing w:val="-1"/>
                <w:lang w:val="en-US" w:eastAsia="zh-CN"/>
              </w:rPr>
            </w:pPr>
            <w:r>
              <w:rPr>
                <w:rFonts w:hint="eastAsia" w:ascii="宋体" w:hAnsi="宋体" w:eastAsia="宋体" w:cs="宋体"/>
                <w:color w:val="auto"/>
                <w:spacing w:val="-1"/>
              </w:rPr>
              <w:t>⑦</w:t>
            </w:r>
            <w:r>
              <w:rPr>
                <w:rFonts w:hint="eastAsia" w:eastAsia="宋体"/>
                <w:color w:val="auto"/>
                <w:spacing w:val="-1"/>
                <w:lang w:val="en-US" w:eastAsia="zh-CN"/>
              </w:rPr>
              <w:t>污水处理系统</w:t>
            </w:r>
          </w:p>
          <w:p w14:paraId="78D60AD5">
            <w:pPr>
              <w:pStyle w:val="399"/>
              <w:ind w:firstLine="480"/>
              <w:rPr>
                <w:rFonts w:hint="default"/>
                <w:lang w:val="en-US"/>
              </w:rPr>
            </w:pPr>
            <w:r>
              <w:rPr>
                <w:rFonts w:hint="eastAsia"/>
                <w:bCs/>
                <w:kern w:val="0"/>
                <w:sz w:val="24"/>
                <w:lang w:val="en-US" w:eastAsia="zh-CN"/>
              </w:rPr>
              <w:t>本项目水洗废水量为0.22m</w:t>
            </w:r>
            <w:r>
              <w:rPr>
                <w:rFonts w:hint="eastAsia"/>
                <w:bCs/>
                <w:kern w:val="0"/>
                <w:sz w:val="24"/>
                <w:vertAlign w:val="superscript"/>
                <w:lang w:val="en-US" w:eastAsia="zh-CN"/>
              </w:rPr>
              <w:t>3</w:t>
            </w:r>
            <w:r>
              <w:rPr>
                <w:rFonts w:hint="eastAsia"/>
                <w:bCs/>
                <w:kern w:val="0"/>
                <w:sz w:val="24"/>
                <w:lang w:val="en-US" w:eastAsia="zh-CN"/>
              </w:rPr>
              <w:t>/h、凝结水量为7.6m</w:t>
            </w:r>
            <w:r>
              <w:rPr>
                <w:rFonts w:hint="eastAsia"/>
                <w:bCs/>
                <w:kern w:val="0"/>
                <w:sz w:val="24"/>
                <w:vertAlign w:val="superscript"/>
                <w:lang w:val="en-US" w:eastAsia="zh-CN"/>
              </w:rPr>
              <w:t>3</w:t>
            </w:r>
            <w:r>
              <w:rPr>
                <w:rFonts w:hint="eastAsia"/>
                <w:bCs/>
                <w:kern w:val="0"/>
                <w:sz w:val="24"/>
                <w:lang w:val="en-US" w:eastAsia="zh-CN"/>
              </w:rPr>
              <w:t>/h，</w:t>
            </w:r>
            <w:r>
              <w:rPr>
                <w:rFonts w:hint="eastAsia"/>
                <w:sz w:val="24"/>
                <w:lang w:val="en-US" w:eastAsia="zh-CN"/>
              </w:rPr>
              <w:t>本项目废水量为7.82</w:t>
            </w:r>
            <w:r>
              <w:rPr>
                <w:rFonts w:hint="eastAsia"/>
                <w:bCs/>
                <w:kern w:val="0"/>
                <w:sz w:val="24"/>
                <w:lang w:val="en-US" w:eastAsia="zh-CN"/>
              </w:rPr>
              <w:t>m</w:t>
            </w:r>
            <w:r>
              <w:rPr>
                <w:rFonts w:hint="eastAsia"/>
                <w:bCs/>
                <w:kern w:val="0"/>
                <w:sz w:val="24"/>
                <w:vertAlign w:val="superscript"/>
                <w:lang w:val="en-US" w:eastAsia="zh-CN"/>
              </w:rPr>
              <w:t>3</w:t>
            </w:r>
            <w:r>
              <w:rPr>
                <w:rFonts w:hint="eastAsia"/>
                <w:bCs/>
                <w:kern w:val="0"/>
                <w:sz w:val="24"/>
                <w:lang w:val="en-US" w:eastAsia="zh-CN"/>
              </w:rPr>
              <w:t>/h，</w:t>
            </w:r>
            <w:r>
              <w:rPr>
                <w:rFonts w:hint="eastAsia"/>
                <w:color w:val="auto"/>
                <w:lang w:val="en-US" w:eastAsia="zh-CN"/>
              </w:rPr>
              <w:t>依托</w:t>
            </w:r>
            <w:r>
              <w:rPr>
                <w:rFonts w:hint="eastAsia"/>
                <w:bCs/>
                <w:color w:val="000000"/>
                <w:sz w:val="24"/>
              </w:rPr>
              <w:t>内蒙古伊泰化工有限责任公司</w:t>
            </w:r>
            <w:r>
              <w:rPr>
                <w:rFonts w:hint="eastAsia"/>
                <w:bCs/>
                <w:color w:val="000000"/>
                <w:sz w:val="24"/>
                <w:lang w:val="en-US" w:eastAsia="zh-CN"/>
              </w:rPr>
              <w:t>120万吨/年精细化学品示范项目（变更）污水处理厂处理，该污水处理厂经生化+深度处理后出水水质满足《污水综合排放标准》（GB8978-1996）一级标准。120万吨/年精细化学品示范项目污水处理厂处理规模为1200m</w:t>
            </w:r>
            <w:r>
              <w:rPr>
                <w:rFonts w:hint="eastAsia"/>
                <w:bCs/>
                <w:color w:val="000000"/>
                <w:sz w:val="24"/>
                <w:vertAlign w:val="superscript"/>
                <w:lang w:val="en-US" w:eastAsia="zh-CN"/>
              </w:rPr>
              <w:t>3</w:t>
            </w:r>
            <w:r>
              <w:rPr>
                <w:rFonts w:hint="eastAsia"/>
                <w:bCs/>
                <w:color w:val="000000"/>
                <w:sz w:val="24"/>
                <w:lang w:val="en-US" w:eastAsia="zh-CN"/>
              </w:rPr>
              <w:t>/h，目前已处理废水量为900.66m</w:t>
            </w:r>
            <w:r>
              <w:rPr>
                <w:rFonts w:hint="eastAsia"/>
                <w:bCs/>
                <w:color w:val="000000"/>
                <w:sz w:val="24"/>
                <w:vertAlign w:val="superscript"/>
                <w:lang w:val="en-US" w:eastAsia="zh-CN"/>
              </w:rPr>
              <w:t>3</w:t>
            </w:r>
            <w:r>
              <w:rPr>
                <w:rFonts w:hint="eastAsia"/>
                <w:bCs/>
                <w:color w:val="000000"/>
                <w:sz w:val="24"/>
                <w:lang w:val="en-US" w:eastAsia="zh-CN"/>
              </w:rPr>
              <w:t>/h，剩余量为299.34m</w:t>
            </w:r>
            <w:r>
              <w:rPr>
                <w:rFonts w:hint="eastAsia"/>
                <w:bCs/>
                <w:color w:val="000000"/>
                <w:sz w:val="24"/>
                <w:vertAlign w:val="superscript"/>
                <w:lang w:val="en-US" w:eastAsia="zh-CN"/>
              </w:rPr>
              <w:t>3</w:t>
            </w:r>
            <w:r>
              <w:rPr>
                <w:rFonts w:hint="eastAsia"/>
                <w:bCs/>
                <w:color w:val="000000"/>
                <w:sz w:val="24"/>
                <w:lang w:val="en-US" w:eastAsia="zh-CN"/>
              </w:rPr>
              <w:t>/h，本项目生产废水产生量为7.82m</w:t>
            </w:r>
            <w:r>
              <w:rPr>
                <w:rFonts w:hint="eastAsia"/>
                <w:bCs/>
                <w:color w:val="000000"/>
                <w:sz w:val="24"/>
                <w:vertAlign w:val="superscript"/>
                <w:lang w:val="en-US" w:eastAsia="zh-CN"/>
              </w:rPr>
              <w:t>3</w:t>
            </w:r>
            <w:r>
              <w:rPr>
                <w:rFonts w:hint="eastAsia"/>
                <w:bCs/>
                <w:color w:val="000000"/>
                <w:sz w:val="24"/>
                <w:lang w:val="en-US" w:eastAsia="zh-CN"/>
              </w:rPr>
              <w:t>/h，余量可满足本项目需求，依托可行。</w:t>
            </w:r>
          </w:p>
          <w:p w14:paraId="6CEFEE1F">
            <w:pPr>
              <w:pStyle w:val="399"/>
              <w:ind w:firstLine="480"/>
              <w:rPr>
                <w:rFonts w:hint="eastAsia"/>
                <w:lang w:val="en-US" w:eastAsia="zh-CN"/>
              </w:rPr>
            </w:pPr>
            <w:r>
              <w:rPr>
                <w:rFonts w:hint="eastAsia"/>
                <w:lang w:val="en-US" w:eastAsia="zh-CN"/>
              </w:rPr>
              <w:t>本项目不新增占地、未新增罐区，初期雨水和事故水的收集处理可依托原系统。内蒙古伊泰化工有限责任公司120万吨/年精细化学品示范项目初期雨水在生产装置和辅助生产设施界区内采用重力排水系统排至界区内初期雨水池，由泵提升经管线输送至厂内污水处理厂。初期雨水池前设溢流井，后期雨水溢流至清净雨水系统。内蒙古伊泰化工有限责任公司120万吨/年精细化学品示范项目在厂区东北角设置1个容器30000m</w:t>
            </w:r>
            <w:r>
              <w:rPr>
                <w:rFonts w:hint="eastAsia"/>
                <w:vertAlign w:val="superscript"/>
                <w:lang w:val="en-US" w:eastAsia="zh-CN"/>
              </w:rPr>
              <w:t>3</w:t>
            </w:r>
            <w:r>
              <w:rPr>
                <w:rFonts w:hint="eastAsia"/>
                <w:vertAlign w:val="baseline"/>
                <w:lang w:val="en-US" w:eastAsia="zh-CN"/>
              </w:rPr>
              <w:t>的</w:t>
            </w:r>
            <w:r>
              <w:rPr>
                <w:rFonts w:hint="eastAsia"/>
                <w:lang w:val="en-US" w:eastAsia="zh-CN"/>
              </w:rPr>
              <w:t>事故池，收集事故状态下的消防水，由泵提升经管线输送至厂内污水处理厂处理，不外排。</w:t>
            </w:r>
          </w:p>
          <w:p w14:paraId="29B698C6">
            <w:pPr>
              <w:pStyle w:val="399"/>
              <w:ind w:firstLine="480"/>
              <w:rPr>
                <w:rFonts w:hint="eastAsia"/>
                <w:lang w:val="en-US" w:eastAsia="zh-CN"/>
              </w:rPr>
            </w:pPr>
            <w:r>
              <w:rPr>
                <w:rFonts w:hint="eastAsia"/>
                <w:lang w:val="en-US" w:eastAsia="zh-CN"/>
              </w:rPr>
              <w:t>⑧储罐</w:t>
            </w:r>
          </w:p>
          <w:p w14:paraId="19040A74">
            <w:pPr>
              <w:pStyle w:val="399"/>
              <w:ind w:firstLine="480"/>
              <w:rPr>
                <w:rFonts w:hint="default"/>
                <w:lang w:val="en-US" w:eastAsia="zh-CN"/>
              </w:rPr>
            </w:pPr>
            <w:r>
              <w:rPr>
                <w:rFonts w:hint="eastAsia"/>
                <w:lang w:val="en-US" w:eastAsia="zh-CN"/>
              </w:rPr>
              <w:t>本项目副产品C4及C4</w:t>
            </w:r>
            <w:r>
              <w:rPr>
                <w:rFonts w:hint="eastAsia"/>
                <w:vertAlign w:val="superscript"/>
                <w:lang w:val="en-US" w:eastAsia="zh-CN"/>
              </w:rPr>
              <w:t>-</w:t>
            </w:r>
            <w:r>
              <w:rPr>
                <w:rFonts w:hint="eastAsia"/>
                <w:lang w:val="en-US" w:eastAsia="zh-CN"/>
              </w:rPr>
              <w:t>的产生量为0.5万t/a，依托内蒙古伊泰化工有限责任公司120万吨/年精细化学品示范项目中间罐区费托轻质中间产品罐（密闭），技改后费托轻质单元闲置2个600m</w:t>
            </w:r>
            <w:r>
              <w:rPr>
                <w:rFonts w:hint="eastAsia"/>
                <w:vertAlign w:val="superscript"/>
                <w:lang w:val="en-US" w:eastAsia="zh-CN"/>
              </w:rPr>
              <w:t>3</w:t>
            </w:r>
            <w:r>
              <w:rPr>
                <w:rFonts w:hint="eastAsia"/>
                <w:vertAlign w:val="baseline"/>
                <w:lang w:val="en-US" w:eastAsia="zh-CN"/>
              </w:rPr>
              <w:t>的轻质产品罐，供本项目使用。</w:t>
            </w:r>
          </w:p>
        </w:tc>
      </w:tr>
      <w:tr w14:paraId="210E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421" w:type="pct"/>
            <w:tcBorders>
              <w:tl2br w:val="nil"/>
              <w:tr2bl w:val="nil"/>
            </w:tcBorders>
            <w:noWrap w:val="0"/>
            <w:vAlign w:val="center"/>
          </w:tcPr>
          <w:p w14:paraId="6473F18F">
            <w:pPr>
              <w:pStyle w:val="37"/>
              <w:adjustRightInd w:val="0"/>
              <w:snapToGrid w:val="0"/>
              <w:spacing w:before="0" w:beforeAutospacing="0" w:after="0" w:afterAutospacing="0"/>
              <w:jc w:val="center"/>
              <w:rPr>
                <w:rFonts w:ascii="Times New Roman" w:hAnsi="Times New Roman"/>
                <w:b/>
                <w:color w:val="000000"/>
                <w:szCs w:val="24"/>
              </w:rPr>
            </w:pPr>
            <w:r>
              <w:rPr>
                <w:rFonts w:ascii="Times New Roman" w:hAnsi="Times New Roman"/>
                <w:b/>
                <w:color w:val="000000"/>
                <w:szCs w:val="24"/>
              </w:rPr>
              <w:t>工艺流程和产排污环节</w:t>
            </w:r>
          </w:p>
        </w:tc>
        <w:tc>
          <w:tcPr>
            <w:tcW w:w="4578" w:type="pct"/>
            <w:tcBorders>
              <w:tl2br w:val="nil"/>
              <w:tr2bl w:val="nil"/>
            </w:tcBorders>
            <w:noWrap w:val="0"/>
            <w:vAlign w:val="top"/>
          </w:tcPr>
          <w:p w14:paraId="5476DF20">
            <w:pPr>
              <w:widowControl/>
              <w:spacing w:line="360" w:lineRule="auto"/>
              <w:rPr>
                <w:b/>
                <w:color w:val="000000"/>
                <w:kern w:val="0"/>
                <w:sz w:val="24"/>
              </w:rPr>
            </w:pPr>
            <w:bookmarkStart w:id="3" w:name="_Toc65446908"/>
            <w:r>
              <w:rPr>
                <w:b/>
                <w:color w:val="000000"/>
                <w:kern w:val="0"/>
                <w:sz w:val="24"/>
              </w:rPr>
              <w:t>项目生产工艺及流程</w:t>
            </w:r>
            <w:bookmarkEnd w:id="3"/>
          </w:p>
          <w:p w14:paraId="24E24A46">
            <w:pPr>
              <w:widowControl/>
              <w:spacing w:line="360" w:lineRule="auto"/>
              <w:rPr>
                <w:b/>
                <w:color w:val="000000"/>
                <w:kern w:val="0"/>
                <w:sz w:val="24"/>
              </w:rPr>
            </w:pPr>
            <w:r>
              <w:rPr>
                <w:b/>
                <w:color w:val="000000"/>
                <w:kern w:val="0"/>
                <w:sz w:val="24"/>
              </w:rPr>
              <w:t>一、施工期工艺流程</w:t>
            </w:r>
          </w:p>
          <w:p w14:paraId="5EE18EAB">
            <w:pPr>
              <w:spacing w:line="360" w:lineRule="auto"/>
              <w:ind w:firstLine="480" w:firstLineChars="200"/>
              <w:rPr>
                <w:color w:val="000000"/>
                <w:sz w:val="24"/>
              </w:rPr>
            </w:pPr>
            <w:r>
              <w:rPr>
                <w:color w:val="000000"/>
                <w:sz w:val="24"/>
              </w:rPr>
              <w:t>工程施工期间要进行</w:t>
            </w:r>
            <w:r>
              <w:rPr>
                <w:rFonts w:hint="eastAsia"/>
                <w:color w:val="000000"/>
                <w:sz w:val="24"/>
                <w:lang w:val="en-US" w:eastAsia="zh-CN"/>
              </w:rPr>
              <w:t>设备改造</w:t>
            </w:r>
            <w:r>
              <w:rPr>
                <w:color w:val="000000"/>
                <w:sz w:val="24"/>
              </w:rPr>
              <w:t>、设备安装、工程验收等</w:t>
            </w:r>
            <w:r>
              <w:rPr>
                <w:rFonts w:hint="eastAsia"/>
                <w:color w:val="000000"/>
                <w:sz w:val="24"/>
                <w:lang w:eastAsia="zh-CN"/>
              </w:rPr>
              <w:t>工序</w:t>
            </w:r>
            <w:r>
              <w:rPr>
                <w:color w:val="000000"/>
                <w:sz w:val="24"/>
              </w:rPr>
              <w:t>的建设，这些工序将产生噪声、扬尘、固体废弃物、少量污水和废气等污染物。施工流程及排污节点见图</w:t>
            </w:r>
            <w:r>
              <w:rPr>
                <w:rFonts w:hint="eastAsia"/>
                <w:color w:val="000000"/>
                <w:sz w:val="24"/>
              </w:rPr>
              <w:t>2-</w:t>
            </w:r>
            <w:r>
              <w:rPr>
                <w:color w:val="000000"/>
                <w:sz w:val="24"/>
              </w:rPr>
              <w:t>3。</w:t>
            </w:r>
          </w:p>
          <w:p w14:paraId="451B0FB6">
            <w:pPr>
              <w:spacing w:line="0" w:lineRule="atLeast"/>
              <w:jc w:val="center"/>
              <w:rPr>
                <w:color w:val="000000"/>
                <w:sz w:val="28"/>
                <w:szCs w:val="20"/>
              </w:rPr>
            </w:pPr>
            <w:r>
              <w:rPr>
                <w:color w:val="000000"/>
                <w:sz w:val="28"/>
                <w:szCs w:val="20"/>
              </w:rPr>
              <w:object>
                <v:shape id="_x0000_i1027" o:spt="75" type="#_x0000_t75" style="height:54.75pt;width:258.75pt;" o:ole="t" filled="f" o:preferrelative="t" stroked="f" coordsize="21600,21600">
                  <v:path/>
                  <v:fill on="f" focussize="0,0"/>
                  <v:stroke on="f"/>
                  <v:imagedata r:id="rId19" o:title=""/>
                  <o:lock v:ext="edit" aspectratio="f"/>
                  <w10:wrap type="none"/>
                  <w10:anchorlock/>
                </v:shape>
                <o:OLEObject Type="Embed" ProgID="Visio.Drawing.11" ShapeID="_x0000_i1027" DrawAspect="Content" ObjectID="_1468075727" r:id="rId18">
                  <o:LockedField>false</o:LockedField>
                </o:OLEObject>
              </w:object>
            </w:r>
          </w:p>
          <w:p w14:paraId="4A7147C8">
            <w:pPr>
              <w:snapToGrid w:val="0"/>
              <w:spacing w:before="120" w:beforeLines="50" w:line="360" w:lineRule="auto"/>
              <w:jc w:val="center"/>
              <w:rPr>
                <w:b/>
                <w:color w:val="000000"/>
                <w:sz w:val="24"/>
                <w:szCs w:val="20"/>
              </w:rPr>
            </w:pPr>
            <w:r>
              <w:rPr>
                <w:b/>
                <w:color w:val="000000"/>
                <w:sz w:val="24"/>
                <w:szCs w:val="20"/>
              </w:rPr>
              <w:t>图2-3</w:t>
            </w:r>
            <w:r>
              <w:rPr>
                <w:rFonts w:hint="eastAsia"/>
                <w:b/>
                <w:color w:val="000000"/>
                <w:sz w:val="24"/>
                <w:szCs w:val="20"/>
                <w:lang w:eastAsia="zh-CN"/>
              </w:rPr>
              <w:t>：</w:t>
            </w:r>
            <w:r>
              <w:rPr>
                <w:b/>
                <w:color w:val="000000"/>
                <w:sz w:val="24"/>
                <w:szCs w:val="20"/>
              </w:rPr>
              <w:t>施工工艺流程及排污节点图</w:t>
            </w:r>
          </w:p>
          <w:p w14:paraId="23BD0E19">
            <w:pPr>
              <w:snapToGrid w:val="0"/>
              <w:spacing w:line="360" w:lineRule="auto"/>
              <w:rPr>
                <w:b/>
                <w:bCs/>
                <w:color w:val="000000"/>
                <w:sz w:val="24"/>
              </w:rPr>
            </w:pPr>
            <w:r>
              <w:rPr>
                <w:b/>
                <w:bCs/>
                <w:color w:val="000000"/>
                <w:sz w:val="24"/>
              </w:rPr>
              <w:t>二、运营期工艺流程</w:t>
            </w:r>
          </w:p>
          <w:p w14:paraId="5639C4B1">
            <w:pPr>
              <w:snapToGrid w:val="0"/>
              <w:spacing w:line="360" w:lineRule="auto"/>
              <w:ind w:right="-14" w:firstLine="480" w:firstLineChars="200"/>
              <w:rPr>
                <w:rFonts w:hint="default"/>
                <w:sz w:val="24"/>
                <w:lang w:val="en-US" w:eastAsia="zh-CN"/>
              </w:rPr>
            </w:pPr>
            <w:r>
              <w:rPr>
                <w:rFonts w:hint="eastAsia"/>
                <w:sz w:val="24"/>
                <w:lang w:val="en-US" w:eastAsia="zh-CN"/>
              </w:rPr>
              <w:t>1.技改前原料及设备利用情况</w:t>
            </w:r>
          </w:p>
          <w:p w14:paraId="7B5B47B0">
            <w:pPr>
              <w:snapToGrid w:val="0"/>
              <w:spacing w:line="360" w:lineRule="auto"/>
              <w:ind w:right="-14" w:firstLine="480" w:firstLineChars="200"/>
              <w:rPr>
                <w:rFonts w:hint="eastAsia" w:ascii="Times New Roman" w:hAnsi="Times New Roman" w:eastAsia="宋体" w:cs="Times New Roman"/>
                <w:sz w:val="24"/>
                <w:lang w:val="en-US" w:eastAsia="zh-CN"/>
              </w:rPr>
            </w:pPr>
            <w:r>
              <w:rPr>
                <w:rFonts w:hint="eastAsia"/>
                <w:sz w:val="24"/>
                <w:lang w:val="en-US" w:eastAsia="zh-CN"/>
              </w:rPr>
              <w:t>主要原料：本次技改仅针对原环评中</w:t>
            </w:r>
            <w:r>
              <w:rPr>
                <w:rFonts w:hint="eastAsia" w:ascii="Times New Roman" w:hAnsi="Times New Roman" w:eastAsia="宋体" w:cs="Times New Roman"/>
                <w:bCs/>
                <w:sz w:val="24"/>
                <w:lang w:val="en-US" w:eastAsia="zh-CN"/>
              </w:rPr>
              <w:t>费托合成装置产生的中间产物费托合成轻质油进行处理</w:t>
            </w:r>
            <w:r>
              <w:rPr>
                <w:rFonts w:hint="eastAsia"/>
                <w:sz w:val="24"/>
                <w:lang w:val="en-US" w:eastAsia="zh-CN"/>
              </w:rPr>
              <w:t>，技改前</w:t>
            </w:r>
            <w:r>
              <w:rPr>
                <w:rFonts w:hint="eastAsia" w:ascii="Times New Roman" w:hAnsi="Times New Roman" w:eastAsia="宋体" w:cs="Times New Roman"/>
                <w:bCs/>
                <w:sz w:val="24"/>
                <w:lang w:val="en-US" w:eastAsia="zh-CN"/>
              </w:rPr>
              <w:t>费托合成轻质油产量为36万吨/年，储存在中间罐区轻质油罐后直接送至下游加工精制单元。</w:t>
            </w:r>
            <w:r>
              <w:rPr>
                <w:rFonts w:hint="eastAsia"/>
                <w:bCs/>
                <w:sz w:val="24"/>
                <w:lang w:val="en-US" w:eastAsia="zh-CN"/>
              </w:rPr>
              <w:t>为提高煤制油的产品经济效益以及提高煤制油企业产品销售自主权，本项目通过利旧改造原油品加工装置合成水处理单元</w:t>
            </w:r>
            <w:r>
              <w:rPr>
                <w:rFonts w:hint="eastAsia" w:ascii="Times New Roman" w:hAnsi="Times New Roman" w:eastAsia="宋体" w:cs="Times New Roman"/>
                <w:sz w:val="24"/>
                <w:lang w:val="en-US" w:eastAsia="zh-CN"/>
              </w:rPr>
              <w:t>的萃取精馏塔和乙二醇回收塔及附属系统从</w:t>
            </w:r>
            <w:r>
              <w:rPr>
                <w:rFonts w:hint="eastAsia" w:ascii="Times New Roman" w:hAnsi="Times New Roman" w:eastAsia="宋体" w:cs="Times New Roman"/>
                <w:bCs/>
                <w:sz w:val="24"/>
                <w:lang w:val="en-US" w:eastAsia="zh-CN"/>
              </w:rPr>
              <w:t>费托合成轻质油中</w:t>
            </w:r>
            <w:r>
              <w:rPr>
                <w:rFonts w:hint="eastAsia" w:ascii="Times New Roman" w:hAnsi="Times New Roman" w:eastAsia="宋体" w:cs="Times New Roman"/>
                <w:sz w:val="24"/>
                <w:lang w:val="en-US" w:eastAsia="zh-CN"/>
              </w:rPr>
              <w:t>切割拔出C5烷烯烃产品，本次技改不涉及其他工段的变更。</w:t>
            </w:r>
          </w:p>
          <w:p w14:paraId="6A40C582">
            <w:pPr>
              <w:snapToGrid w:val="0"/>
              <w:spacing w:line="360" w:lineRule="auto"/>
              <w:ind w:right="-14"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设备：本次技改利旧的</w:t>
            </w:r>
            <w:r>
              <w:rPr>
                <w:rFonts w:hint="eastAsia"/>
                <w:bCs/>
                <w:sz w:val="24"/>
                <w:lang w:val="en-US" w:eastAsia="zh-CN"/>
              </w:rPr>
              <w:t>原油品加工装置合成水处理单元</w:t>
            </w:r>
            <w:r>
              <w:rPr>
                <w:rFonts w:hint="eastAsia" w:ascii="Times New Roman" w:hAnsi="Times New Roman" w:eastAsia="宋体" w:cs="Times New Roman"/>
                <w:sz w:val="24"/>
                <w:lang w:val="en-US" w:eastAsia="zh-CN"/>
              </w:rPr>
              <w:t>的萃取精馏塔和乙二醇回收塔及附属系统。原萃取精馏塔和乙二醇回收塔用于处理合成油水，后闲置未运行。其中原萃取精馏塔改造为脱重塔、原乙二醇回收塔改造为C5精馏塔，</w:t>
            </w:r>
            <w:r>
              <w:rPr>
                <w:rFonts w:hint="eastAsia" w:cs="Times New Roman"/>
                <w:sz w:val="24"/>
                <w:lang w:val="en-US" w:eastAsia="zh-CN"/>
              </w:rPr>
              <w:t>其他</w:t>
            </w:r>
            <w:r>
              <w:rPr>
                <w:rFonts w:hint="eastAsia" w:ascii="Times New Roman" w:hAnsi="Times New Roman" w:eastAsia="宋体" w:cs="Times New Roman"/>
                <w:sz w:val="24"/>
                <w:lang w:val="en-US" w:eastAsia="zh-CN"/>
              </w:rPr>
              <w:t>设备利旧情况见表2-6。</w:t>
            </w:r>
          </w:p>
          <w:p w14:paraId="0E955258">
            <w:pPr>
              <w:snapToGrid w:val="0"/>
              <w:spacing w:line="360" w:lineRule="auto"/>
              <w:ind w:right="-14"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eastAsia" w:cs="Times New Roman"/>
                <w:sz w:val="24"/>
                <w:lang w:val="en-US" w:eastAsia="zh-CN"/>
              </w:rPr>
              <w:t>.</w:t>
            </w:r>
            <w:r>
              <w:rPr>
                <w:rFonts w:hint="eastAsia" w:ascii="Times New Roman" w:hAnsi="Times New Roman" w:eastAsia="宋体" w:cs="Times New Roman"/>
                <w:sz w:val="24"/>
                <w:lang w:val="en-US" w:eastAsia="zh-CN"/>
              </w:rPr>
              <w:t>技改后工艺流程及产排污分析</w:t>
            </w:r>
          </w:p>
          <w:p w14:paraId="57CC0F11">
            <w:pPr>
              <w:snapToGrid w:val="0"/>
              <w:spacing w:line="360" w:lineRule="auto"/>
              <w:ind w:right="-14" w:firstLine="480" w:firstLineChars="200"/>
              <w:rPr>
                <w:rFonts w:hint="eastAsia"/>
                <w:color w:val="000000"/>
                <w:sz w:val="24"/>
                <w:lang w:val="en-US" w:eastAsia="zh-CN"/>
              </w:rPr>
            </w:pPr>
            <w:r>
              <w:rPr>
                <w:rFonts w:hint="eastAsia"/>
                <w:color w:val="000000"/>
                <w:sz w:val="24"/>
                <w:lang w:val="en-US" w:eastAsia="zh-CN"/>
              </w:rPr>
              <w:t>（1）切分部分</w:t>
            </w:r>
          </w:p>
          <w:p w14:paraId="0A5E85C0">
            <w:pPr>
              <w:snapToGrid w:val="0"/>
              <w:spacing w:line="360" w:lineRule="auto"/>
              <w:ind w:right="-14" w:firstLine="480" w:firstLineChars="200"/>
              <w:rPr>
                <w:rFonts w:hint="eastAsia"/>
                <w:color w:val="000000"/>
                <w:sz w:val="24"/>
                <w:lang w:val="en-US" w:eastAsia="zh-CN"/>
              </w:rPr>
            </w:pPr>
            <w:r>
              <w:rPr>
                <w:rFonts w:hint="eastAsia"/>
                <w:color w:val="000000"/>
                <w:sz w:val="24"/>
                <w:lang w:val="en-US" w:eastAsia="zh-CN"/>
              </w:rPr>
              <w:t>本技改项目以费托合成轻质油为原料。界区来的费托合成轻质油经新建原料油缓冲罐由脱重塔进料泵与脱重塔底油换热升温（40℃-66℃）后进入脱重塔（原萃取精馏塔27500-T701），塔底采用蒸汽作为热源的再沸器供热（102</w:t>
            </w:r>
            <w:r>
              <w:rPr>
                <w:rFonts w:hint="eastAsia" w:cs="Times New Roman"/>
                <w:color w:val="000000"/>
                <w:sz w:val="24"/>
                <w:lang w:val="en-US" w:eastAsia="zh-CN"/>
              </w:rPr>
              <w:t>℃、0.65MPaA</w:t>
            </w:r>
            <w:r>
              <w:rPr>
                <w:rFonts w:hint="eastAsia"/>
                <w:color w:val="000000"/>
                <w:sz w:val="24"/>
                <w:lang w:val="en-US" w:eastAsia="zh-CN"/>
              </w:rPr>
              <w:t>），塔顶拔出C5及C5-组分，塔底C6及C6+组分出界区作为伊泰化工加工精制单元的进料。塔顶C5及C5-组</w:t>
            </w:r>
            <w:r>
              <w:rPr>
                <w:rFonts w:hint="eastAsia" w:ascii="Times New Roman" w:hAnsi="Times New Roman" w:eastAsia="宋体" w:cs="Times New Roman"/>
                <w:color w:val="000000"/>
                <w:sz w:val="24"/>
                <w:lang w:val="en-US" w:eastAsia="zh-CN"/>
              </w:rPr>
              <w:t>分经脱重塔顶空冷器</w:t>
            </w:r>
            <w:r>
              <w:rPr>
                <w:rFonts w:hint="eastAsia" w:cs="Times New Roman"/>
                <w:color w:val="000000"/>
                <w:sz w:val="24"/>
                <w:lang w:val="en-US" w:eastAsia="zh-CN"/>
              </w:rPr>
              <w:t>（温度由65.7℃降至50℃、0.3MPaA）</w:t>
            </w:r>
            <w:r>
              <w:rPr>
                <w:rFonts w:hint="eastAsia" w:ascii="Times New Roman" w:hAnsi="Times New Roman" w:eastAsia="宋体" w:cs="Times New Roman"/>
                <w:color w:val="000000"/>
                <w:sz w:val="24"/>
                <w:lang w:val="en-US" w:eastAsia="zh-CN"/>
              </w:rPr>
              <w:t>、脱重塔顶水冷器冷凝</w:t>
            </w:r>
            <w:r>
              <w:rPr>
                <w:rFonts w:hint="eastAsia" w:cs="Times New Roman"/>
                <w:color w:val="000000"/>
                <w:sz w:val="24"/>
                <w:lang w:val="en-US" w:eastAsia="zh-CN"/>
              </w:rPr>
              <w:t>（40℃），</w:t>
            </w:r>
            <w:r>
              <w:rPr>
                <w:rFonts w:hint="eastAsia" w:ascii="Times New Roman" w:hAnsi="Times New Roman" w:eastAsia="宋体" w:cs="Times New Roman"/>
                <w:color w:val="000000"/>
                <w:sz w:val="24"/>
                <w:lang w:val="en-US" w:eastAsia="zh-CN"/>
              </w:rPr>
              <w:t>然后通过塔顶回流罐部分液体回流，部分送至C5精馏塔；塔顶不凝气</w:t>
            </w:r>
            <w:r>
              <w:rPr>
                <w:rFonts w:hint="eastAsia" w:ascii="Times New Roman" w:hAnsi="Times New Roman" w:eastAsia="宋体" w:cs="Times New Roman"/>
                <w:color w:val="000000"/>
                <w:kern w:val="2"/>
                <w:sz w:val="24"/>
                <w:szCs w:val="24"/>
                <w:lang w:val="en-US" w:eastAsia="zh-CN"/>
              </w:rPr>
              <w:t>经</w:t>
            </w:r>
            <w:r>
              <w:rPr>
                <w:rFonts w:hint="eastAsia" w:ascii="Times New Roman" w:hAnsi="Times New Roman" w:eastAsia="宋体" w:cs="Times New Roman"/>
                <w:color w:val="000000"/>
                <w:kern w:val="2"/>
                <w:sz w:val="24"/>
                <w:szCs w:val="24"/>
              </w:rPr>
              <w:t>过</w:t>
            </w:r>
            <w:r>
              <w:rPr>
                <w:rFonts w:hint="eastAsia" w:ascii="Times New Roman" w:hAnsi="Times New Roman" w:eastAsia="宋体" w:cs="Times New Roman"/>
                <w:color w:val="000000"/>
                <w:kern w:val="2"/>
                <w:sz w:val="24"/>
                <w:szCs w:val="24"/>
                <w:lang w:val="en-US" w:eastAsia="zh-CN"/>
              </w:rPr>
              <w:t>合成装置</w:t>
            </w:r>
            <w:r>
              <w:rPr>
                <w:rFonts w:hint="eastAsia" w:ascii="Times New Roman" w:hAnsi="Times New Roman" w:eastAsia="宋体" w:cs="Times New Roman"/>
                <w:color w:val="000000"/>
                <w:kern w:val="2"/>
                <w:sz w:val="24"/>
                <w:szCs w:val="24"/>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color w:val="000000"/>
                <w:kern w:val="2"/>
                <w:sz w:val="24"/>
                <w:szCs w:val="24"/>
                <w:lang w:val="en-US" w:eastAsia="zh-CN"/>
              </w:rPr>
              <w:t>尾气脱碳单元一部分气体进入合</w:t>
            </w:r>
            <w:r>
              <w:rPr>
                <w:rFonts w:hint="eastAsia" w:cs="Times New Roman"/>
                <w:color w:val="000000"/>
                <w:kern w:val="2"/>
                <w:sz w:val="24"/>
                <w:szCs w:val="24"/>
                <w:lang w:val="en-US" w:eastAsia="zh-CN"/>
              </w:rPr>
              <w:t>成装置产出产品，另一部分气体进入加工油洗单元</w:t>
            </w:r>
            <w:r>
              <w:rPr>
                <w:rFonts w:hint="eastAsia" w:ascii="Times New Roman" w:hAnsi="Times New Roman" w:eastAsia="宋体" w:cs="Times New Roman"/>
                <w:color w:val="000000"/>
                <w:kern w:val="2"/>
                <w:sz w:val="24"/>
                <w:szCs w:val="24"/>
                <w:lang w:val="en-US" w:eastAsia="zh-CN"/>
              </w:rPr>
              <w:t>产出产品</w:t>
            </w:r>
            <w:r>
              <w:rPr>
                <w:rFonts w:hint="eastAsia" w:ascii="Times New Roman" w:hAnsi="Times New Roman" w:eastAsia="宋体" w:cs="Times New Roman"/>
                <w:color w:val="000000"/>
                <w:sz w:val="24"/>
                <w:lang w:val="en-US" w:eastAsia="zh-CN"/>
              </w:rPr>
              <w:t>。塔底C6及C6+组分出界区送至伊泰化工加工精制单元。</w:t>
            </w:r>
          </w:p>
          <w:p w14:paraId="7A021B3F">
            <w:pPr>
              <w:numPr>
                <w:ilvl w:val="0"/>
                <w:numId w:val="0"/>
              </w:numPr>
              <w:snapToGrid w:val="0"/>
              <w:spacing w:line="360" w:lineRule="auto"/>
              <w:ind w:right="-14" w:rightChars="0" w:firstLine="480" w:firstLineChars="200"/>
              <w:rPr>
                <w:rFonts w:hint="eastAsia"/>
                <w:color w:val="000000"/>
                <w:sz w:val="24"/>
                <w:lang w:val="en-US" w:eastAsia="zh-CN"/>
              </w:rPr>
            </w:pPr>
            <w:r>
              <w:rPr>
                <w:rFonts w:hint="eastAsia"/>
                <w:color w:val="000000"/>
                <w:kern w:val="2"/>
                <w:sz w:val="24"/>
                <w:szCs w:val="24"/>
                <w:lang w:val="en-US" w:eastAsia="zh-CN" w:bidi="ar-SA"/>
              </w:rPr>
              <w:t>（2）</w:t>
            </w:r>
            <w:r>
              <w:rPr>
                <w:rFonts w:hint="eastAsia"/>
                <w:color w:val="000000"/>
                <w:sz w:val="24"/>
                <w:lang w:val="en-US" w:eastAsia="zh-CN"/>
              </w:rPr>
              <w:t>C5精馏部分</w:t>
            </w:r>
          </w:p>
          <w:p w14:paraId="65011CBD">
            <w:pPr>
              <w:snapToGrid w:val="0"/>
              <w:spacing w:line="360" w:lineRule="auto"/>
              <w:ind w:right="-14" w:firstLine="480" w:firstLineChars="200"/>
              <w:rPr>
                <w:rFonts w:hint="default"/>
                <w:color w:val="000000"/>
                <w:sz w:val="24"/>
                <w:lang w:val="en-US" w:eastAsia="zh-CN"/>
              </w:rPr>
            </w:pPr>
            <w:r>
              <w:rPr>
                <w:rFonts w:hint="eastAsia"/>
                <w:color w:val="000000"/>
                <w:sz w:val="24"/>
                <w:lang w:val="en-US" w:eastAsia="zh-CN"/>
              </w:rPr>
              <w:t>塔顶C5及C5-组</w:t>
            </w:r>
            <w:r>
              <w:rPr>
                <w:rFonts w:hint="eastAsia" w:ascii="Times New Roman" w:hAnsi="Times New Roman" w:eastAsia="宋体" w:cs="Times New Roman"/>
                <w:color w:val="000000"/>
                <w:sz w:val="24"/>
                <w:lang w:val="en-US" w:eastAsia="zh-CN"/>
              </w:rPr>
              <w:t>分</w:t>
            </w:r>
            <w:r>
              <w:rPr>
                <w:rFonts w:hint="eastAsia" w:cs="Times New Roman"/>
                <w:color w:val="000000"/>
                <w:sz w:val="24"/>
                <w:lang w:val="en-US" w:eastAsia="zh-CN"/>
              </w:rPr>
              <w:t>（40℃）进入水洗釜</w:t>
            </w:r>
            <w:r>
              <w:rPr>
                <w:rFonts w:hint="eastAsia"/>
                <w:color w:val="000000"/>
                <w:sz w:val="24"/>
                <w:lang w:val="en-US" w:eastAsia="zh-CN"/>
              </w:rPr>
              <w:t>经洗涤脱酸后由泵送入C5精馏塔（原乙二醇塔27500-T702）。C5精馏塔底再沸器采用蒸汽做热源（102</w:t>
            </w:r>
            <w:r>
              <w:rPr>
                <w:rFonts w:hint="eastAsia" w:cs="Times New Roman"/>
                <w:color w:val="000000"/>
                <w:sz w:val="24"/>
                <w:lang w:val="en-US" w:eastAsia="zh-CN"/>
              </w:rPr>
              <w:t>℃、0.65MPaA</w:t>
            </w:r>
            <w:r>
              <w:rPr>
                <w:rFonts w:hint="eastAsia"/>
                <w:color w:val="000000"/>
                <w:sz w:val="24"/>
                <w:lang w:val="en-US" w:eastAsia="zh-CN"/>
              </w:rPr>
              <w:t>）。C5精馏塔顶拔出C4及C4-组分，C5精馏</w:t>
            </w:r>
            <w:r>
              <w:rPr>
                <w:rFonts w:hint="eastAsia" w:ascii="Times New Roman" w:hAnsi="Times New Roman" w:eastAsia="宋体" w:cs="Times New Roman"/>
                <w:color w:val="000000"/>
                <w:sz w:val="24"/>
                <w:lang w:val="en-US" w:eastAsia="zh-CN"/>
              </w:rPr>
              <w:t>塔塔底得到C5烷烯烃产品即为最终C5</w:t>
            </w:r>
            <w:r>
              <w:rPr>
                <w:rFonts w:hint="eastAsia" w:cs="Times New Roman"/>
                <w:color w:val="000000"/>
                <w:sz w:val="24"/>
                <w:lang w:val="en-US" w:eastAsia="zh-CN"/>
              </w:rPr>
              <w:t>烷烯烃</w:t>
            </w:r>
            <w:r>
              <w:rPr>
                <w:rFonts w:hint="eastAsia" w:ascii="Times New Roman" w:hAnsi="Times New Roman" w:eastAsia="宋体" w:cs="Times New Roman"/>
                <w:color w:val="000000"/>
                <w:sz w:val="24"/>
                <w:lang w:val="en-US" w:eastAsia="zh-CN"/>
              </w:rPr>
              <w:t>产品。塔顶C4及C4-组分经空冷器、塔顶水冷器冷凝</w:t>
            </w:r>
            <w:r>
              <w:rPr>
                <w:rFonts w:hint="eastAsia" w:cs="Times New Roman"/>
                <w:color w:val="000000"/>
                <w:sz w:val="24"/>
                <w:lang w:val="en-US" w:eastAsia="zh-CN"/>
              </w:rPr>
              <w:t>（40℃，0.65MPaA）</w:t>
            </w:r>
            <w:r>
              <w:rPr>
                <w:rFonts w:hint="eastAsia" w:ascii="Times New Roman" w:hAnsi="Times New Roman" w:eastAsia="宋体" w:cs="Times New Roman"/>
                <w:color w:val="000000"/>
                <w:sz w:val="24"/>
                <w:lang w:val="en-US" w:eastAsia="zh-CN"/>
              </w:rPr>
              <w:t>然后通过C5精馏塔顶分液罐部分液体回流，部分送至罐区储存；塔顶不凝气</w:t>
            </w:r>
            <w:r>
              <w:rPr>
                <w:rFonts w:hint="eastAsia" w:ascii="Times New Roman" w:hAnsi="Times New Roman" w:eastAsia="宋体" w:cs="Times New Roman"/>
                <w:color w:val="000000"/>
                <w:kern w:val="2"/>
                <w:sz w:val="24"/>
                <w:szCs w:val="24"/>
                <w:lang w:val="en-US" w:eastAsia="zh-CN"/>
              </w:rPr>
              <w:t>经</w:t>
            </w:r>
            <w:r>
              <w:rPr>
                <w:rFonts w:hint="eastAsia" w:ascii="Times New Roman" w:hAnsi="Times New Roman" w:eastAsia="宋体" w:cs="Times New Roman"/>
                <w:color w:val="000000"/>
                <w:kern w:val="2"/>
                <w:sz w:val="24"/>
                <w:szCs w:val="24"/>
              </w:rPr>
              <w:t>过</w:t>
            </w:r>
            <w:r>
              <w:rPr>
                <w:rFonts w:hint="eastAsia" w:ascii="Times New Roman" w:hAnsi="Times New Roman" w:eastAsia="宋体" w:cs="Times New Roman"/>
                <w:color w:val="000000"/>
                <w:kern w:val="2"/>
                <w:sz w:val="24"/>
                <w:szCs w:val="24"/>
                <w:lang w:val="en-US" w:eastAsia="zh-CN"/>
              </w:rPr>
              <w:t>合成装置</w:t>
            </w:r>
            <w:r>
              <w:rPr>
                <w:rFonts w:hint="eastAsia" w:ascii="Times New Roman" w:hAnsi="Times New Roman" w:eastAsia="宋体" w:cs="Times New Roman"/>
                <w:color w:val="000000"/>
                <w:kern w:val="2"/>
                <w:sz w:val="24"/>
                <w:szCs w:val="24"/>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color w:val="000000"/>
                <w:kern w:val="2"/>
                <w:sz w:val="24"/>
                <w:szCs w:val="24"/>
                <w:lang w:val="en-US" w:eastAsia="zh-CN"/>
              </w:rPr>
              <w:t>尾气脱碳单元一部分气体进入合</w:t>
            </w:r>
            <w:r>
              <w:rPr>
                <w:rFonts w:hint="eastAsia" w:cs="Times New Roman"/>
                <w:color w:val="000000"/>
                <w:kern w:val="2"/>
                <w:sz w:val="24"/>
                <w:szCs w:val="24"/>
                <w:lang w:val="en-US" w:eastAsia="zh-CN"/>
              </w:rPr>
              <w:t>成装置产出产品，另一部分气体进入加工油洗单元</w:t>
            </w:r>
            <w:r>
              <w:rPr>
                <w:rFonts w:hint="eastAsia" w:ascii="Times New Roman" w:hAnsi="Times New Roman" w:eastAsia="宋体" w:cs="Times New Roman"/>
                <w:color w:val="000000"/>
                <w:kern w:val="2"/>
                <w:sz w:val="24"/>
                <w:szCs w:val="24"/>
                <w:lang w:val="en-US" w:eastAsia="zh-CN"/>
              </w:rPr>
              <w:t>产出产品。</w:t>
            </w:r>
            <w:r>
              <w:rPr>
                <w:rFonts w:hint="eastAsia" w:ascii="Times New Roman" w:hAnsi="Times New Roman" w:eastAsia="宋体" w:cs="Times New Roman"/>
                <w:color w:val="000000"/>
                <w:sz w:val="24"/>
                <w:lang w:val="en-US" w:eastAsia="zh-CN"/>
              </w:rPr>
              <w:t>塔底C5烷烯烃产品管道送至下游用户（伊诺项目）。</w:t>
            </w:r>
          </w:p>
          <w:p w14:paraId="0896393A">
            <w:pPr>
              <w:snapToGrid w:val="0"/>
              <w:spacing w:line="360" w:lineRule="auto"/>
              <w:ind w:right="-14" w:firstLine="480" w:firstLineChars="200"/>
              <w:rPr>
                <w:rFonts w:hint="default"/>
                <w:color w:val="000000"/>
                <w:sz w:val="24"/>
                <w:lang w:val="en-US" w:eastAsia="zh-CN"/>
              </w:rPr>
            </w:pPr>
          </w:p>
          <w:p w14:paraId="261DC6CF">
            <w:pPr>
              <w:snapToGrid w:val="0"/>
              <w:spacing w:line="360" w:lineRule="auto"/>
              <w:ind w:right="-14" w:firstLine="422" w:firstLineChars="200"/>
              <w:rPr>
                <w:rFonts w:hint="default"/>
                <w:color w:val="000000"/>
                <w:sz w:val="24"/>
                <w:lang w:val="en-US" w:eastAsia="zh-CN"/>
              </w:rPr>
            </w:pPr>
            <w:r>
              <w:rPr>
                <w:rFonts w:hint="eastAsia" w:eastAsia="宋体"/>
                <w:b/>
                <w:color w:val="000000"/>
                <w:lang w:eastAsia="zh-CN"/>
              </w:rPr>
              <w:object>
                <v:shape id="_x0000_i1028" o:spt="75" type="#_x0000_t75" style="height:195.8pt;width:379.85pt;" o:ole="t" filled="f" o:preferrelative="t" stroked="f" coordsize="21600,21600">
                  <v:path/>
                  <v:fill on="f" focussize="0,0"/>
                  <v:stroke on="f"/>
                  <v:imagedata r:id="rId21" cropleft="6536f" croptop="9015f" cropright="7292f" cropbottom="13139f" o:title=""/>
                  <o:lock v:ext="edit" aspectratio="f"/>
                  <w10:wrap type="none"/>
                  <w10:anchorlock/>
                </v:shape>
                <o:OLEObject Type="Embed" ProgID="Visio.Drawing.11" ShapeID="_x0000_i1028" DrawAspect="Content" ObjectID="_1468075728" r:id="rId20">
                  <o:LockedField>false</o:LockedField>
                </o:OLEObject>
              </w:object>
            </w:r>
          </w:p>
          <w:p w14:paraId="23506F79">
            <w:pPr>
              <w:spacing w:line="360" w:lineRule="auto"/>
              <w:rPr>
                <w:b/>
                <w:bCs/>
                <w:color w:val="000000"/>
                <w:sz w:val="24"/>
              </w:rPr>
            </w:pPr>
            <w:r>
              <w:rPr>
                <w:b/>
                <w:bCs/>
                <w:color w:val="000000"/>
                <w:sz w:val="24"/>
              </w:rPr>
              <w:t>主要污染工序：</w:t>
            </w:r>
          </w:p>
          <w:p w14:paraId="6B3BEDAB">
            <w:pPr>
              <w:adjustRightInd w:val="0"/>
              <w:snapToGrid w:val="0"/>
              <w:spacing w:line="360" w:lineRule="auto"/>
              <w:ind w:firstLine="482" w:firstLineChars="200"/>
              <w:rPr>
                <w:b/>
                <w:color w:val="000000"/>
                <w:sz w:val="24"/>
              </w:rPr>
            </w:pPr>
            <w:r>
              <w:rPr>
                <w:b/>
                <w:color w:val="000000"/>
                <w:sz w:val="24"/>
              </w:rPr>
              <w:t>施工期主要污染工序：</w:t>
            </w:r>
          </w:p>
          <w:p w14:paraId="546271AE">
            <w:pPr>
              <w:spacing w:line="360" w:lineRule="auto"/>
              <w:ind w:firstLine="480" w:firstLineChars="200"/>
              <w:rPr>
                <w:color w:val="000000"/>
                <w:sz w:val="24"/>
              </w:rPr>
            </w:pPr>
            <w:r>
              <w:rPr>
                <w:rFonts w:hint="eastAsia" w:ascii="宋体" w:hAnsi="宋体" w:cs="宋体"/>
                <w:color w:val="000000"/>
                <w:sz w:val="24"/>
              </w:rPr>
              <w:t>（1）</w:t>
            </w:r>
            <w:r>
              <w:rPr>
                <w:color w:val="000000"/>
                <w:sz w:val="24"/>
              </w:rPr>
              <w:t>废气：施工过程中在施工材料装卸</w:t>
            </w:r>
            <w:r>
              <w:rPr>
                <w:rFonts w:hint="eastAsia"/>
                <w:color w:val="000000"/>
                <w:sz w:val="24"/>
                <w:lang w:eastAsia="zh-CN"/>
              </w:rPr>
              <w:t>和</w:t>
            </w:r>
            <w:r>
              <w:rPr>
                <w:color w:val="000000"/>
                <w:sz w:val="24"/>
              </w:rPr>
              <w:t>运输过程中产生</w:t>
            </w:r>
            <w:r>
              <w:rPr>
                <w:rFonts w:hint="eastAsia"/>
                <w:color w:val="000000"/>
                <w:sz w:val="24"/>
                <w:lang w:eastAsia="zh-CN"/>
              </w:rPr>
              <w:t>的</w:t>
            </w:r>
            <w:r>
              <w:rPr>
                <w:color w:val="000000"/>
                <w:sz w:val="24"/>
              </w:rPr>
              <w:t>扬尘。</w:t>
            </w:r>
          </w:p>
          <w:p w14:paraId="3A1F0139">
            <w:pPr>
              <w:spacing w:line="360" w:lineRule="auto"/>
              <w:ind w:firstLine="480" w:firstLineChars="200"/>
              <w:rPr>
                <w:color w:val="000000"/>
                <w:sz w:val="24"/>
              </w:rPr>
            </w:pPr>
            <w:r>
              <w:rPr>
                <w:rFonts w:hint="eastAsia"/>
                <w:color w:val="000000"/>
                <w:sz w:val="24"/>
              </w:rPr>
              <w:t>（2）</w:t>
            </w:r>
            <w:r>
              <w:rPr>
                <w:color w:val="000000"/>
                <w:sz w:val="24"/>
              </w:rPr>
              <w:t>废水：施工期间废水包括施工废水及施工人员生活污水，主要污染物为SS、COD。</w:t>
            </w:r>
          </w:p>
          <w:p w14:paraId="1FBB20F1">
            <w:pPr>
              <w:spacing w:line="360" w:lineRule="auto"/>
              <w:ind w:firstLine="480" w:firstLineChars="200"/>
              <w:rPr>
                <w:color w:val="000000"/>
                <w:sz w:val="24"/>
              </w:rPr>
            </w:pPr>
            <w:r>
              <w:rPr>
                <w:rFonts w:hint="eastAsia" w:ascii="宋体" w:hAnsi="宋体" w:cs="宋体"/>
                <w:color w:val="000000"/>
                <w:sz w:val="24"/>
              </w:rPr>
              <w:t>（3）</w:t>
            </w:r>
            <w:r>
              <w:rPr>
                <w:color w:val="000000"/>
                <w:sz w:val="24"/>
              </w:rPr>
              <w:t>噪声：施工期的噪声主要来源于施工作业机械及运输车辆在使用中产生的机械噪声。</w:t>
            </w:r>
          </w:p>
          <w:p w14:paraId="0C795616">
            <w:pPr>
              <w:spacing w:line="360" w:lineRule="auto"/>
              <w:ind w:firstLine="480" w:firstLineChars="200"/>
              <w:rPr>
                <w:color w:val="000000"/>
                <w:sz w:val="24"/>
              </w:rPr>
            </w:pPr>
            <w:r>
              <w:rPr>
                <w:rFonts w:hint="eastAsia"/>
                <w:color w:val="000000"/>
                <w:sz w:val="24"/>
              </w:rPr>
              <w:t>（4）</w:t>
            </w:r>
            <w:r>
              <w:rPr>
                <w:color w:val="000000"/>
                <w:sz w:val="24"/>
              </w:rPr>
              <w:t>固体废物：施工期产生</w:t>
            </w:r>
            <w:r>
              <w:rPr>
                <w:rFonts w:hint="eastAsia"/>
                <w:color w:val="000000"/>
                <w:sz w:val="24"/>
                <w:lang w:eastAsia="zh-CN"/>
              </w:rPr>
              <w:t>的</w:t>
            </w:r>
            <w:r>
              <w:rPr>
                <w:color w:val="000000"/>
                <w:sz w:val="24"/>
              </w:rPr>
              <w:t>建筑垃圾和施工人员的生活垃圾。</w:t>
            </w:r>
          </w:p>
          <w:p w14:paraId="60F51947">
            <w:pPr>
              <w:adjustRightInd w:val="0"/>
              <w:snapToGrid w:val="0"/>
              <w:spacing w:line="360" w:lineRule="auto"/>
              <w:ind w:firstLine="482" w:firstLineChars="200"/>
              <w:rPr>
                <w:b/>
                <w:color w:val="000000"/>
                <w:sz w:val="24"/>
              </w:rPr>
            </w:pPr>
            <w:r>
              <w:rPr>
                <w:b/>
                <w:color w:val="000000"/>
                <w:sz w:val="24"/>
              </w:rPr>
              <w:t>运营期主要污染工序：</w:t>
            </w:r>
          </w:p>
          <w:p w14:paraId="27519C3E">
            <w:pPr>
              <w:spacing w:line="360" w:lineRule="auto"/>
              <w:ind w:left="420" w:leftChars="200"/>
              <w:rPr>
                <w:color w:val="000000"/>
                <w:sz w:val="24"/>
              </w:rPr>
            </w:pPr>
            <w:r>
              <w:rPr>
                <w:rFonts w:hint="eastAsia"/>
                <w:color w:val="000000"/>
                <w:sz w:val="24"/>
              </w:rPr>
              <w:t>（1）</w:t>
            </w:r>
            <w:r>
              <w:rPr>
                <w:color w:val="000000"/>
                <w:sz w:val="24"/>
              </w:rPr>
              <w:t>废气：</w:t>
            </w:r>
            <w:r>
              <w:rPr>
                <w:rFonts w:hint="eastAsia"/>
                <w:color w:val="000000"/>
                <w:sz w:val="24"/>
                <w:lang w:val="en-US" w:eastAsia="zh-CN"/>
              </w:rPr>
              <w:t>工艺</w:t>
            </w:r>
            <w:r>
              <w:rPr>
                <w:rFonts w:hint="eastAsia"/>
                <w:sz w:val="24"/>
                <w:szCs w:val="28"/>
                <w:lang w:val="en-US" w:eastAsia="zh-CN"/>
              </w:rPr>
              <w:t>不凝气和无组织废气</w:t>
            </w:r>
            <w:r>
              <w:rPr>
                <w:color w:val="000000"/>
                <w:sz w:val="24"/>
              </w:rPr>
              <w:t>。</w:t>
            </w:r>
          </w:p>
          <w:p w14:paraId="1E405CD5">
            <w:pPr>
              <w:spacing w:line="360" w:lineRule="auto"/>
              <w:ind w:firstLine="480" w:firstLineChars="200"/>
              <w:rPr>
                <w:color w:val="000000"/>
                <w:sz w:val="24"/>
              </w:rPr>
            </w:pPr>
            <w:r>
              <w:rPr>
                <w:rFonts w:hint="eastAsia" w:ascii="宋体" w:hAnsi="宋体" w:cs="宋体"/>
                <w:color w:val="000000"/>
                <w:sz w:val="24"/>
              </w:rPr>
              <w:t>（2）</w:t>
            </w:r>
            <w:r>
              <w:rPr>
                <w:color w:val="000000"/>
                <w:sz w:val="24"/>
              </w:rPr>
              <w:t>废水：主要为</w:t>
            </w:r>
            <w:r>
              <w:rPr>
                <w:rFonts w:hint="eastAsia"/>
                <w:color w:val="000000"/>
                <w:sz w:val="24"/>
                <w:lang w:val="en-US" w:eastAsia="zh-CN"/>
              </w:rPr>
              <w:t>水洗废水和凝结水</w:t>
            </w:r>
            <w:r>
              <w:rPr>
                <w:color w:val="000000"/>
                <w:sz w:val="24"/>
              </w:rPr>
              <w:t>。</w:t>
            </w:r>
          </w:p>
          <w:p w14:paraId="4E39C8AA">
            <w:pPr>
              <w:spacing w:line="360" w:lineRule="auto"/>
              <w:ind w:firstLine="480"/>
              <w:rPr>
                <w:color w:val="000000"/>
                <w:sz w:val="24"/>
              </w:rPr>
            </w:pPr>
            <w:r>
              <w:rPr>
                <w:rFonts w:hint="eastAsia"/>
                <w:color w:val="000000"/>
                <w:sz w:val="24"/>
              </w:rPr>
              <w:t>（3）</w:t>
            </w:r>
            <w:r>
              <w:rPr>
                <w:color w:val="000000"/>
                <w:sz w:val="24"/>
              </w:rPr>
              <w:t>噪声：泵类等产生的噪声，声压级为</w:t>
            </w:r>
            <w:r>
              <w:rPr>
                <w:rFonts w:hint="eastAsia"/>
                <w:color w:val="000000"/>
                <w:sz w:val="24"/>
              </w:rPr>
              <w:t>85</w:t>
            </w:r>
            <w:r>
              <w:rPr>
                <w:color w:val="000000"/>
                <w:sz w:val="24"/>
              </w:rPr>
              <w:t>dB</w:t>
            </w:r>
            <w:r>
              <w:rPr>
                <w:rFonts w:hint="eastAsia"/>
                <w:color w:val="000000"/>
                <w:sz w:val="24"/>
              </w:rPr>
              <w:t>（</w:t>
            </w:r>
            <w:r>
              <w:rPr>
                <w:color w:val="000000"/>
                <w:sz w:val="24"/>
              </w:rPr>
              <w:t>A</w:t>
            </w:r>
            <w:r>
              <w:rPr>
                <w:rFonts w:hint="eastAsia"/>
                <w:color w:val="000000"/>
                <w:sz w:val="24"/>
              </w:rPr>
              <w:t>）</w:t>
            </w:r>
            <w:r>
              <w:rPr>
                <w:color w:val="000000"/>
                <w:sz w:val="24"/>
              </w:rPr>
              <w:t>。</w:t>
            </w:r>
          </w:p>
          <w:p w14:paraId="0CF7A8A6">
            <w:pPr>
              <w:spacing w:line="360" w:lineRule="auto"/>
              <w:ind w:firstLine="480" w:firstLineChars="200"/>
              <w:rPr>
                <w:color w:val="000000"/>
                <w:sz w:val="24"/>
              </w:rPr>
            </w:pPr>
            <w:r>
              <w:rPr>
                <w:rFonts w:hint="eastAsia"/>
                <w:color w:val="000000"/>
                <w:sz w:val="24"/>
              </w:rPr>
              <w:t>（4）</w:t>
            </w:r>
            <w:r>
              <w:rPr>
                <w:color w:val="000000"/>
                <w:sz w:val="24"/>
              </w:rPr>
              <w:t>固废：主要为少量</w:t>
            </w:r>
            <w:r>
              <w:rPr>
                <w:rFonts w:hint="eastAsia"/>
                <w:color w:val="000000"/>
                <w:sz w:val="24"/>
                <w:lang w:val="en-US" w:eastAsia="zh-CN"/>
              </w:rPr>
              <w:t>检修废机油</w:t>
            </w:r>
            <w:r>
              <w:rPr>
                <w:color w:val="000000"/>
                <w:sz w:val="24"/>
              </w:rPr>
              <w:t>。</w:t>
            </w:r>
          </w:p>
          <w:p w14:paraId="5D63C979">
            <w:pPr>
              <w:ind w:firstLine="1928" w:firstLineChars="800"/>
              <w:rPr>
                <w:b/>
                <w:color w:val="000000"/>
                <w:sz w:val="24"/>
              </w:rPr>
            </w:pPr>
            <w:r>
              <w:rPr>
                <w:b/>
                <w:color w:val="000000"/>
                <w:sz w:val="24"/>
              </w:rPr>
              <w:t>表2-</w:t>
            </w:r>
            <w:r>
              <w:rPr>
                <w:rFonts w:hint="eastAsia"/>
                <w:b/>
                <w:color w:val="000000"/>
                <w:sz w:val="24"/>
                <w:lang w:val="en-US" w:eastAsia="zh-CN"/>
              </w:rPr>
              <w:t>11：</w:t>
            </w:r>
            <w:r>
              <w:rPr>
                <w:b/>
                <w:color w:val="000000"/>
                <w:sz w:val="24"/>
              </w:rPr>
              <w:t>本项目运营期主要污染工序一览表</w:t>
            </w:r>
          </w:p>
          <w:tbl>
            <w:tblPr>
              <w:tblStyle w:val="4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790"/>
              <w:gridCol w:w="2025"/>
              <w:gridCol w:w="3457"/>
            </w:tblGrid>
            <w:tr w14:paraId="7CEE3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10" w:type="pct"/>
                  <w:tcBorders>
                    <w:top w:val="single" w:color="auto" w:sz="4" w:space="0"/>
                    <w:left w:val="single" w:color="auto" w:sz="0" w:space="0"/>
                    <w:tl2br w:val="nil"/>
                    <w:tr2bl w:val="nil"/>
                  </w:tcBorders>
                  <w:noWrap w:val="0"/>
                  <w:vAlign w:val="center"/>
                </w:tcPr>
                <w:p w14:paraId="3DB13ACC">
                  <w:pPr>
                    <w:jc w:val="center"/>
                    <w:rPr>
                      <w:b/>
                      <w:bCs w:val="0"/>
                      <w:color w:val="000000"/>
                      <w:kern w:val="0"/>
                      <w:sz w:val="21"/>
                      <w:szCs w:val="21"/>
                    </w:rPr>
                  </w:pPr>
                  <w:r>
                    <w:rPr>
                      <w:b/>
                      <w:bCs w:val="0"/>
                      <w:color w:val="000000"/>
                      <w:kern w:val="0"/>
                      <w:sz w:val="21"/>
                      <w:szCs w:val="21"/>
                    </w:rPr>
                    <w:t>类别</w:t>
                  </w:r>
                </w:p>
              </w:tc>
              <w:tc>
                <w:tcPr>
                  <w:tcW w:w="1105" w:type="pct"/>
                  <w:tcBorders>
                    <w:top w:val="single" w:color="auto" w:sz="4" w:space="0"/>
                    <w:tl2br w:val="nil"/>
                    <w:tr2bl w:val="nil"/>
                  </w:tcBorders>
                  <w:noWrap w:val="0"/>
                  <w:vAlign w:val="center"/>
                </w:tcPr>
                <w:p w14:paraId="5BA5AD90">
                  <w:pPr>
                    <w:jc w:val="center"/>
                    <w:rPr>
                      <w:b/>
                      <w:bCs w:val="0"/>
                      <w:color w:val="000000"/>
                      <w:kern w:val="0"/>
                      <w:sz w:val="21"/>
                      <w:szCs w:val="21"/>
                    </w:rPr>
                  </w:pPr>
                  <w:r>
                    <w:rPr>
                      <w:b/>
                      <w:bCs w:val="0"/>
                      <w:color w:val="000000"/>
                      <w:kern w:val="0"/>
                      <w:sz w:val="21"/>
                      <w:szCs w:val="21"/>
                    </w:rPr>
                    <w:t>污染源</w:t>
                  </w:r>
                </w:p>
              </w:tc>
              <w:tc>
                <w:tcPr>
                  <w:tcW w:w="1250" w:type="pct"/>
                  <w:tcBorders>
                    <w:top w:val="single" w:color="auto" w:sz="4" w:space="0"/>
                    <w:tl2br w:val="nil"/>
                    <w:tr2bl w:val="nil"/>
                  </w:tcBorders>
                  <w:noWrap w:val="0"/>
                  <w:vAlign w:val="center"/>
                </w:tcPr>
                <w:p w14:paraId="7F6719B6">
                  <w:pPr>
                    <w:jc w:val="center"/>
                    <w:rPr>
                      <w:b/>
                      <w:bCs w:val="0"/>
                      <w:color w:val="000000"/>
                      <w:kern w:val="0"/>
                      <w:sz w:val="21"/>
                      <w:szCs w:val="21"/>
                    </w:rPr>
                  </w:pPr>
                  <w:r>
                    <w:rPr>
                      <w:b/>
                      <w:bCs w:val="0"/>
                      <w:color w:val="000000"/>
                      <w:kern w:val="0"/>
                      <w:sz w:val="21"/>
                      <w:szCs w:val="21"/>
                    </w:rPr>
                    <w:t>主要污染物</w:t>
                  </w:r>
                </w:p>
              </w:tc>
              <w:tc>
                <w:tcPr>
                  <w:tcW w:w="2133" w:type="pct"/>
                  <w:tcBorders>
                    <w:top w:val="single" w:color="auto" w:sz="4" w:space="0"/>
                    <w:right w:val="single" w:color="auto" w:sz="4" w:space="0"/>
                    <w:tl2br w:val="nil"/>
                    <w:tr2bl w:val="nil"/>
                  </w:tcBorders>
                  <w:noWrap w:val="0"/>
                  <w:vAlign w:val="center"/>
                </w:tcPr>
                <w:p w14:paraId="4AB3D86C">
                  <w:pPr>
                    <w:jc w:val="center"/>
                    <w:rPr>
                      <w:b/>
                      <w:bCs w:val="0"/>
                      <w:color w:val="000000"/>
                      <w:kern w:val="0"/>
                      <w:sz w:val="21"/>
                      <w:szCs w:val="21"/>
                    </w:rPr>
                  </w:pPr>
                  <w:r>
                    <w:rPr>
                      <w:b/>
                      <w:bCs w:val="0"/>
                      <w:color w:val="000000"/>
                      <w:kern w:val="0"/>
                      <w:sz w:val="21"/>
                      <w:szCs w:val="21"/>
                    </w:rPr>
                    <w:t>产污环节</w:t>
                  </w:r>
                </w:p>
              </w:tc>
            </w:tr>
            <w:tr w14:paraId="4AC4F5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0" w:type="pct"/>
                  <w:vMerge w:val="restart"/>
                  <w:tcBorders>
                    <w:left w:val="single" w:color="auto" w:sz="4" w:space="0"/>
                    <w:tl2br w:val="nil"/>
                    <w:tr2bl w:val="nil"/>
                  </w:tcBorders>
                  <w:noWrap w:val="0"/>
                  <w:vAlign w:val="center"/>
                </w:tcPr>
                <w:p w14:paraId="460ECB63">
                  <w:pPr>
                    <w:jc w:val="center"/>
                    <w:rPr>
                      <w:b w:val="0"/>
                      <w:bCs/>
                      <w:color w:val="000000"/>
                      <w:kern w:val="0"/>
                      <w:sz w:val="21"/>
                      <w:szCs w:val="21"/>
                    </w:rPr>
                  </w:pPr>
                  <w:r>
                    <w:rPr>
                      <w:b w:val="0"/>
                      <w:bCs/>
                      <w:color w:val="000000"/>
                      <w:kern w:val="0"/>
                      <w:sz w:val="21"/>
                      <w:szCs w:val="21"/>
                    </w:rPr>
                    <w:t>废气</w:t>
                  </w:r>
                </w:p>
              </w:tc>
              <w:tc>
                <w:tcPr>
                  <w:tcW w:w="1105" w:type="pct"/>
                  <w:tcBorders>
                    <w:tl2br w:val="nil"/>
                    <w:tr2bl w:val="nil"/>
                  </w:tcBorders>
                  <w:noWrap w:val="0"/>
                  <w:vAlign w:val="center"/>
                </w:tcPr>
                <w:p w14:paraId="54AEDBE1">
                  <w:pPr>
                    <w:jc w:val="center"/>
                    <w:rPr>
                      <w:b w:val="0"/>
                      <w:bCs/>
                      <w:color w:val="000000"/>
                      <w:kern w:val="0"/>
                      <w:sz w:val="21"/>
                      <w:szCs w:val="21"/>
                    </w:rPr>
                  </w:pPr>
                  <w:r>
                    <w:rPr>
                      <w:rFonts w:hint="eastAsia"/>
                      <w:b w:val="0"/>
                      <w:bCs/>
                      <w:color w:val="000000"/>
                      <w:kern w:val="0"/>
                      <w:sz w:val="21"/>
                      <w:szCs w:val="21"/>
                    </w:rPr>
                    <w:t>塔顶回流罐不凝气</w:t>
                  </w:r>
                  <w:r>
                    <w:rPr>
                      <w:b w:val="0"/>
                      <w:bCs/>
                      <w:color w:val="000000"/>
                      <w:kern w:val="0"/>
                      <w:sz w:val="21"/>
                      <w:szCs w:val="21"/>
                    </w:rPr>
                    <w:t>G</w:t>
                  </w:r>
                  <w:r>
                    <w:rPr>
                      <w:b w:val="0"/>
                      <w:bCs/>
                      <w:color w:val="000000"/>
                      <w:kern w:val="0"/>
                      <w:sz w:val="21"/>
                      <w:szCs w:val="21"/>
                      <w:vertAlign w:val="subscript"/>
                    </w:rPr>
                    <w:t>1</w:t>
                  </w:r>
                </w:p>
              </w:tc>
              <w:tc>
                <w:tcPr>
                  <w:tcW w:w="1250" w:type="pct"/>
                  <w:tcBorders>
                    <w:tl2br w:val="nil"/>
                    <w:tr2bl w:val="nil"/>
                  </w:tcBorders>
                  <w:noWrap w:val="0"/>
                  <w:vAlign w:val="center"/>
                </w:tcPr>
                <w:p w14:paraId="3CE9272B">
                  <w:pPr>
                    <w:jc w:val="center"/>
                    <w:rPr>
                      <w:rFonts w:hint="eastAsia" w:eastAsia="宋体"/>
                      <w:b w:val="0"/>
                      <w:bCs/>
                      <w:color w:val="000000"/>
                      <w:kern w:val="0"/>
                      <w:sz w:val="21"/>
                      <w:szCs w:val="21"/>
                      <w:lang w:val="en-US" w:eastAsia="zh-CN"/>
                    </w:rPr>
                  </w:pPr>
                  <w:r>
                    <w:rPr>
                      <w:rFonts w:hint="eastAsia"/>
                      <w:b w:val="0"/>
                      <w:bCs/>
                      <w:color w:val="000000"/>
                      <w:kern w:val="0"/>
                      <w:sz w:val="21"/>
                      <w:szCs w:val="21"/>
                      <w:lang w:val="en-US" w:eastAsia="zh-CN"/>
                    </w:rPr>
                    <w:t>氮气、烃类</w:t>
                  </w:r>
                </w:p>
              </w:tc>
              <w:tc>
                <w:tcPr>
                  <w:tcW w:w="2133" w:type="pct"/>
                  <w:tcBorders>
                    <w:right w:val="single" w:color="auto" w:sz="4" w:space="0"/>
                    <w:tl2br w:val="nil"/>
                    <w:tr2bl w:val="nil"/>
                  </w:tcBorders>
                  <w:noWrap w:val="0"/>
                  <w:vAlign w:val="center"/>
                </w:tcPr>
                <w:p w14:paraId="26F609C3">
                  <w:pPr>
                    <w:jc w:val="center"/>
                    <w:rPr>
                      <w:rFonts w:hint="default" w:eastAsia="宋体"/>
                      <w:b w:val="0"/>
                      <w:bCs/>
                      <w:color w:val="000000"/>
                      <w:kern w:val="0"/>
                      <w:sz w:val="21"/>
                      <w:szCs w:val="21"/>
                      <w:lang w:val="en-US" w:eastAsia="zh-CN"/>
                    </w:rPr>
                  </w:pPr>
                  <w:r>
                    <w:rPr>
                      <w:rFonts w:hint="eastAsia" w:eastAsia="宋体"/>
                      <w:b w:val="0"/>
                      <w:bCs/>
                      <w:color w:val="000000"/>
                      <w:kern w:val="0"/>
                      <w:sz w:val="21"/>
                      <w:szCs w:val="21"/>
                      <w:lang w:val="en-US" w:eastAsia="zh-CN"/>
                    </w:rPr>
                    <w:t>切分及精馏单元</w:t>
                  </w:r>
                </w:p>
              </w:tc>
            </w:tr>
            <w:tr w14:paraId="46C810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510" w:type="pct"/>
                  <w:vMerge w:val="continue"/>
                  <w:tcBorders>
                    <w:left w:val="single" w:color="auto" w:sz="4" w:space="0"/>
                    <w:tl2br w:val="nil"/>
                    <w:tr2bl w:val="nil"/>
                  </w:tcBorders>
                  <w:noWrap w:val="0"/>
                  <w:vAlign w:val="center"/>
                </w:tcPr>
                <w:p w14:paraId="5BFB33A3">
                  <w:pPr>
                    <w:jc w:val="center"/>
                    <w:rPr>
                      <w:b w:val="0"/>
                      <w:bCs/>
                      <w:color w:val="000000"/>
                      <w:kern w:val="0"/>
                      <w:sz w:val="21"/>
                      <w:szCs w:val="21"/>
                    </w:rPr>
                  </w:pPr>
                </w:p>
              </w:tc>
              <w:tc>
                <w:tcPr>
                  <w:tcW w:w="1105" w:type="pct"/>
                  <w:tcBorders>
                    <w:tl2br w:val="nil"/>
                    <w:tr2bl w:val="nil"/>
                  </w:tcBorders>
                  <w:noWrap w:val="0"/>
                  <w:vAlign w:val="center"/>
                </w:tcPr>
                <w:p w14:paraId="270D3C07">
                  <w:pPr>
                    <w:jc w:val="center"/>
                    <w:rPr>
                      <w:rFonts w:hint="eastAsia" w:eastAsia="宋体"/>
                      <w:b w:val="0"/>
                      <w:bCs/>
                      <w:color w:val="000000"/>
                      <w:kern w:val="0"/>
                      <w:sz w:val="21"/>
                      <w:szCs w:val="21"/>
                      <w:lang w:val="en-US" w:eastAsia="zh-CN"/>
                    </w:rPr>
                  </w:pPr>
                  <w:r>
                    <w:rPr>
                      <w:rFonts w:hint="eastAsia"/>
                      <w:b w:val="0"/>
                      <w:bCs/>
                      <w:color w:val="000000"/>
                      <w:kern w:val="0"/>
                      <w:sz w:val="21"/>
                      <w:szCs w:val="21"/>
                      <w:lang w:val="en-US" w:eastAsia="zh-CN"/>
                    </w:rPr>
                    <w:t>罐区呼吸废气</w:t>
                  </w:r>
                  <w:r>
                    <w:rPr>
                      <w:b w:val="0"/>
                      <w:bCs/>
                      <w:color w:val="000000"/>
                      <w:kern w:val="0"/>
                      <w:sz w:val="21"/>
                      <w:szCs w:val="21"/>
                    </w:rPr>
                    <w:t>G</w:t>
                  </w:r>
                  <w:r>
                    <w:rPr>
                      <w:rFonts w:hint="eastAsia"/>
                      <w:b w:val="0"/>
                      <w:bCs/>
                      <w:color w:val="000000"/>
                      <w:kern w:val="0"/>
                      <w:sz w:val="21"/>
                      <w:szCs w:val="21"/>
                      <w:vertAlign w:val="subscript"/>
                      <w:lang w:val="en-US" w:eastAsia="zh-CN"/>
                    </w:rPr>
                    <w:t>2</w:t>
                  </w:r>
                </w:p>
              </w:tc>
              <w:tc>
                <w:tcPr>
                  <w:tcW w:w="1250" w:type="pct"/>
                  <w:tcBorders>
                    <w:tl2br w:val="nil"/>
                    <w:tr2bl w:val="nil"/>
                  </w:tcBorders>
                  <w:noWrap w:val="0"/>
                  <w:vAlign w:val="center"/>
                </w:tcPr>
                <w:p w14:paraId="1105DA8F">
                  <w:pPr>
                    <w:jc w:val="center"/>
                    <w:rPr>
                      <w:rFonts w:hint="default"/>
                      <w:b w:val="0"/>
                      <w:bCs/>
                      <w:color w:val="000000"/>
                      <w:kern w:val="0"/>
                      <w:sz w:val="21"/>
                      <w:szCs w:val="21"/>
                      <w:lang w:val="en-US" w:eastAsia="zh-CN"/>
                    </w:rPr>
                  </w:pPr>
                  <w:r>
                    <w:rPr>
                      <w:rFonts w:hint="eastAsia"/>
                      <w:b w:val="0"/>
                      <w:bCs/>
                      <w:color w:val="000000"/>
                      <w:kern w:val="0"/>
                      <w:sz w:val="21"/>
                      <w:szCs w:val="21"/>
                      <w:lang w:val="en-US" w:eastAsia="zh-CN"/>
                    </w:rPr>
                    <w:t>非甲烷总烃</w:t>
                  </w:r>
                </w:p>
              </w:tc>
              <w:tc>
                <w:tcPr>
                  <w:tcW w:w="2133" w:type="pct"/>
                  <w:tcBorders>
                    <w:right w:val="single" w:color="auto" w:sz="4" w:space="0"/>
                    <w:tl2br w:val="nil"/>
                    <w:tr2bl w:val="nil"/>
                  </w:tcBorders>
                  <w:noWrap w:val="0"/>
                  <w:vAlign w:val="center"/>
                </w:tcPr>
                <w:p w14:paraId="3213C149">
                  <w:pPr>
                    <w:jc w:val="center"/>
                    <w:rPr>
                      <w:rFonts w:hint="default" w:eastAsia="宋体"/>
                      <w:b w:val="0"/>
                      <w:bCs/>
                      <w:color w:val="000000"/>
                      <w:kern w:val="0"/>
                      <w:sz w:val="21"/>
                      <w:szCs w:val="21"/>
                      <w:lang w:val="en-US" w:eastAsia="zh-CN"/>
                    </w:rPr>
                  </w:pPr>
                  <w:r>
                    <w:rPr>
                      <w:rFonts w:hint="eastAsia" w:eastAsia="宋体"/>
                      <w:b w:val="0"/>
                      <w:bCs/>
                      <w:color w:val="000000"/>
                      <w:kern w:val="0"/>
                      <w:sz w:val="21"/>
                      <w:szCs w:val="21"/>
                      <w:lang w:val="en-US" w:eastAsia="zh-CN"/>
                    </w:rPr>
                    <w:t>储运</w:t>
                  </w:r>
                </w:p>
              </w:tc>
            </w:tr>
            <w:tr w14:paraId="5A7936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510" w:type="pct"/>
                  <w:vMerge w:val="continue"/>
                  <w:tcBorders>
                    <w:left w:val="single" w:color="auto" w:sz="4" w:space="0"/>
                    <w:tl2br w:val="nil"/>
                    <w:tr2bl w:val="nil"/>
                  </w:tcBorders>
                  <w:noWrap w:val="0"/>
                  <w:vAlign w:val="center"/>
                </w:tcPr>
                <w:p w14:paraId="184C4983">
                  <w:pPr>
                    <w:jc w:val="center"/>
                    <w:rPr>
                      <w:b w:val="0"/>
                      <w:bCs/>
                      <w:color w:val="000000"/>
                      <w:kern w:val="0"/>
                      <w:sz w:val="21"/>
                      <w:szCs w:val="21"/>
                    </w:rPr>
                  </w:pPr>
                </w:p>
              </w:tc>
              <w:tc>
                <w:tcPr>
                  <w:tcW w:w="1105" w:type="pct"/>
                  <w:tcBorders>
                    <w:tl2br w:val="nil"/>
                    <w:tr2bl w:val="nil"/>
                  </w:tcBorders>
                  <w:noWrap w:val="0"/>
                  <w:vAlign w:val="center"/>
                </w:tcPr>
                <w:p w14:paraId="55D619C3">
                  <w:pPr>
                    <w:jc w:val="center"/>
                    <w:rPr>
                      <w:rFonts w:hint="eastAsia" w:eastAsia="宋体"/>
                      <w:b w:val="0"/>
                      <w:bCs/>
                      <w:color w:val="000000"/>
                      <w:kern w:val="0"/>
                      <w:sz w:val="21"/>
                      <w:szCs w:val="21"/>
                      <w:lang w:val="en-US" w:eastAsia="zh-CN"/>
                    </w:rPr>
                  </w:pPr>
                  <w:r>
                    <w:rPr>
                      <w:rFonts w:hint="eastAsia"/>
                      <w:b w:val="0"/>
                      <w:bCs/>
                      <w:color w:val="000000"/>
                      <w:kern w:val="0"/>
                      <w:sz w:val="21"/>
                      <w:szCs w:val="21"/>
                      <w:lang w:val="en-US" w:eastAsia="zh-CN"/>
                    </w:rPr>
                    <w:t>装置区无组织废气</w:t>
                  </w:r>
                  <w:r>
                    <w:rPr>
                      <w:b w:val="0"/>
                      <w:bCs/>
                      <w:color w:val="000000"/>
                      <w:kern w:val="0"/>
                      <w:sz w:val="21"/>
                      <w:szCs w:val="21"/>
                    </w:rPr>
                    <w:t>G</w:t>
                  </w:r>
                  <w:r>
                    <w:rPr>
                      <w:rFonts w:hint="eastAsia"/>
                      <w:b w:val="0"/>
                      <w:bCs/>
                      <w:color w:val="000000"/>
                      <w:kern w:val="0"/>
                      <w:sz w:val="21"/>
                      <w:szCs w:val="21"/>
                      <w:vertAlign w:val="subscript"/>
                      <w:lang w:val="en-US" w:eastAsia="zh-CN"/>
                    </w:rPr>
                    <w:t>3</w:t>
                  </w:r>
                </w:p>
              </w:tc>
              <w:tc>
                <w:tcPr>
                  <w:tcW w:w="1250" w:type="pct"/>
                  <w:tcBorders>
                    <w:tl2br w:val="nil"/>
                    <w:tr2bl w:val="nil"/>
                  </w:tcBorders>
                  <w:noWrap w:val="0"/>
                  <w:vAlign w:val="center"/>
                </w:tcPr>
                <w:p w14:paraId="19657446">
                  <w:pPr>
                    <w:jc w:val="center"/>
                    <w:rPr>
                      <w:rFonts w:hint="eastAsia"/>
                      <w:b w:val="0"/>
                      <w:bCs/>
                      <w:color w:val="000000"/>
                      <w:kern w:val="0"/>
                      <w:sz w:val="21"/>
                      <w:szCs w:val="21"/>
                      <w:lang w:val="en-US" w:eastAsia="zh-CN"/>
                    </w:rPr>
                  </w:pPr>
                  <w:r>
                    <w:rPr>
                      <w:rFonts w:hint="eastAsia"/>
                      <w:b w:val="0"/>
                      <w:bCs/>
                      <w:color w:val="000000"/>
                      <w:kern w:val="0"/>
                      <w:sz w:val="21"/>
                      <w:szCs w:val="21"/>
                      <w:lang w:val="en-US" w:eastAsia="zh-CN"/>
                    </w:rPr>
                    <w:t>非甲烷总烃</w:t>
                  </w:r>
                </w:p>
              </w:tc>
              <w:tc>
                <w:tcPr>
                  <w:tcW w:w="2133" w:type="pct"/>
                  <w:tcBorders>
                    <w:right w:val="single" w:color="auto" w:sz="4" w:space="0"/>
                    <w:tl2br w:val="nil"/>
                    <w:tr2bl w:val="nil"/>
                  </w:tcBorders>
                  <w:noWrap w:val="0"/>
                  <w:vAlign w:val="center"/>
                </w:tcPr>
                <w:p w14:paraId="58BA0351">
                  <w:pPr>
                    <w:jc w:val="center"/>
                    <w:rPr>
                      <w:rFonts w:hint="default" w:eastAsia="宋体"/>
                      <w:b w:val="0"/>
                      <w:bCs/>
                      <w:color w:val="000000"/>
                      <w:kern w:val="0"/>
                      <w:sz w:val="21"/>
                      <w:szCs w:val="21"/>
                      <w:lang w:val="en-US" w:eastAsia="zh-CN"/>
                    </w:rPr>
                  </w:pPr>
                  <w:r>
                    <w:rPr>
                      <w:rFonts w:hint="eastAsia" w:eastAsia="宋体"/>
                      <w:b w:val="0"/>
                      <w:bCs/>
                      <w:color w:val="000000"/>
                      <w:kern w:val="0"/>
                      <w:sz w:val="21"/>
                      <w:szCs w:val="21"/>
                      <w:lang w:val="en-US" w:eastAsia="zh-CN"/>
                    </w:rPr>
                    <w:t>装置区</w:t>
                  </w:r>
                </w:p>
              </w:tc>
            </w:tr>
            <w:tr w14:paraId="7B0C2F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10" w:type="pct"/>
                  <w:tcBorders>
                    <w:left w:val="single" w:color="auto" w:sz="4" w:space="0"/>
                    <w:tl2br w:val="nil"/>
                    <w:tr2bl w:val="nil"/>
                  </w:tcBorders>
                  <w:noWrap w:val="0"/>
                  <w:vAlign w:val="center"/>
                </w:tcPr>
                <w:p w14:paraId="45C817B0">
                  <w:pPr>
                    <w:jc w:val="center"/>
                    <w:rPr>
                      <w:b w:val="0"/>
                      <w:bCs/>
                      <w:color w:val="000000"/>
                      <w:kern w:val="0"/>
                      <w:sz w:val="21"/>
                      <w:szCs w:val="21"/>
                    </w:rPr>
                  </w:pPr>
                  <w:r>
                    <w:rPr>
                      <w:b w:val="0"/>
                      <w:bCs/>
                      <w:color w:val="000000"/>
                      <w:kern w:val="0"/>
                      <w:sz w:val="21"/>
                      <w:szCs w:val="21"/>
                    </w:rPr>
                    <w:t>废水</w:t>
                  </w:r>
                </w:p>
              </w:tc>
              <w:tc>
                <w:tcPr>
                  <w:tcW w:w="1105" w:type="pct"/>
                  <w:tcBorders>
                    <w:tl2br w:val="nil"/>
                    <w:tr2bl w:val="nil"/>
                  </w:tcBorders>
                  <w:noWrap w:val="0"/>
                  <w:vAlign w:val="center"/>
                </w:tcPr>
                <w:p w14:paraId="5ED7EE14">
                  <w:pPr>
                    <w:jc w:val="center"/>
                    <w:rPr>
                      <w:rFonts w:hint="eastAsia" w:eastAsia="宋体"/>
                      <w:b w:val="0"/>
                      <w:bCs/>
                      <w:color w:val="000000"/>
                      <w:kern w:val="0"/>
                      <w:sz w:val="21"/>
                      <w:szCs w:val="21"/>
                      <w:lang w:val="en-US" w:eastAsia="zh-CN"/>
                    </w:rPr>
                  </w:pPr>
                  <w:r>
                    <w:rPr>
                      <w:rFonts w:hint="eastAsia"/>
                      <w:b w:val="0"/>
                      <w:bCs/>
                      <w:color w:val="000000"/>
                      <w:kern w:val="0"/>
                      <w:sz w:val="21"/>
                      <w:szCs w:val="21"/>
                      <w:vertAlign w:val="baseline"/>
                      <w:lang w:val="en-US" w:eastAsia="zh-CN"/>
                    </w:rPr>
                    <w:t>水洗废水</w:t>
                  </w:r>
                  <w:r>
                    <w:rPr>
                      <w:rFonts w:hint="eastAsia"/>
                      <w:b w:val="0"/>
                      <w:bCs/>
                      <w:color w:val="000000"/>
                      <w:kern w:val="0"/>
                      <w:sz w:val="21"/>
                      <w:szCs w:val="21"/>
                      <w:lang w:val="en-US" w:eastAsia="zh-CN"/>
                    </w:rPr>
                    <w:t>W</w:t>
                  </w:r>
                  <w:r>
                    <w:rPr>
                      <w:rFonts w:hint="eastAsia"/>
                      <w:b w:val="0"/>
                      <w:bCs/>
                      <w:color w:val="000000"/>
                      <w:kern w:val="0"/>
                      <w:sz w:val="21"/>
                      <w:szCs w:val="21"/>
                      <w:vertAlign w:val="subscript"/>
                      <w:lang w:val="en-US" w:eastAsia="zh-CN"/>
                    </w:rPr>
                    <w:t>1</w:t>
                  </w:r>
                  <w:r>
                    <w:rPr>
                      <w:rFonts w:hint="eastAsia"/>
                      <w:b w:val="0"/>
                      <w:bCs/>
                      <w:color w:val="000000"/>
                      <w:kern w:val="0"/>
                      <w:sz w:val="21"/>
                      <w:szCs w:val="21"/>
                      <w:vertAlign w:val="baseline"/>
                      <w:lang w:val="en-US" w:eastAsia="zh-CN"/>
                    </w:rPr>
                    <w:t>、凝结水</w:t>
                  </w:r>
                  <w:r>
                    <w:rPr>
                      <w:rFonts w:hint="eastAsia"/>
                      <w:b w:val="0"/>
                      <w:bCs/>
                      <w:color w:val="000000"/>
                      <w:kern w:val="0"/>
                      <w:sz w:val="21"/>
                      <w:szCs w:val="21"/>
                      <w:lang w:val="en-US" w:eastAsia="zh-CN"/>
                    </w:rPr>
                    <w:t>W</w:t>
                  </w:r>
                  <w:r>
                    <w:rPr>
                      <w:rFonts w:hint="eastAsia"/>
                      <w:b w:val="0"/>
                      <w:bCs/>
                      <w:color w:val="000000"/>
                      <w:kern w:val="0"/>
                      <w:sz w:val="21"/>
                      <w:szCs w:val="21"/>
                      <w:vertAlign w:val="subscript"/>
                      <w:lang w:val="en-US" w:eastAsia="zh-CN"/>
                    </w:rPr>
                    <w:t>2</w:t>
                  </w:r>
                </w:p>
              </w:tc>
              <w:tc>
                <w:tcPr>
                  <w:tcW w:w="1250" w:type="pct"/>
                  <w:tcBorders>
                    <w:tl2br w:val="nil"/>
                    <w:tr2bl w:val="nil"/>
                  </w:tcBorders>
                  <w:noWrap w:val="0"/>
                  <w:vAlign w:val="center"/>
                </w:tcPr>
                <w:p w14:paraId="7D5F2A6D">
                  <w:pPr>
                    <w:jc w:val="center"/>
                    <w:rPr>
                      <w:b w:val="0"/>
                      <w:bCs/>
                      <w:color w:val="000000"/>
                      <w:kern w:val="0"/>
                      <w:sz w:val="21"/>
                      <w:szCs w:val="21"/>
                    </w:rPr>
                  </w:pPr>
                  <w:r>
                    <w:rPr>
                      <w:b w:val="0"/>
                      <w:bCs/>
                      <w:color w:val="000000"/>
                      <w:kern w:val="0"/>
                      <w:sz w:val="21"/>
                      <w:szCs w:val="21"/>
                    </w:rPr>
                    <w:t>COD</w:t>
                  </w:r>
                  <w:r>
                    <w:rPr>
                      <w:rFonts w:hint="eastAsia"/>
                      <w:b w:val="0"/>
                      <w:bCs/>
                      <w:color w:val="000000"/>
                      <w:kern w:val="0"/>
                      <w:sz w:val="21"/>
                      <w:szCs w:val="21"/>
                    </w:rPr>
                    <w:t>、石油</w:t>
                  </w:r>
                  <w:r>
                    <w:rPr>
                      <w:b w:val="0"/>
                      <w:bCs/>
                      <w:color w:val="000000"/>
                      <w:kern w:val="0"/>
                      <w:sz w:val="21"/>
                      <w:szCs w:val="21"/>
                    </w:rPr>
                    <w:t>类</w:t>
                  </w:r>
                  <w:r>
                    <w:rPr>
                      <w:rFonts w:hint="eastAsia"/>
                      <w:b w:val="0"/>
                      <w:bCs/>
                      <w:color w:val="000000"/>
                      <w:kern w:val="0"/>
                      <w:sz w:val="21"/>
                      <w:szCs w:val="21"/>
                    </w:rPr>
                    <w:t>、pH</w:t>
                  </w:r>
                </w:p>
              </w:tc>
              <w:tc>
                <w:tcPr>
                  <w:tcW w:w="2133" w:type="pct"/>
                  <w:tcBorders>
                    <w:right w:val="single" w:color="auto" w:sz="4" w:space="0"/>
                    <w:tl2br w:val="nil"/>
                    <w:tr2bl w:val="nil"/>
                  </w:tcBorders>
                  <w:noWrap w:val="0"/>
                  <w:vAlign w:val="center"/>
                </w:tcPr>
                <w:p w14:paraId="09B3460E">
                  <w:pPr>
                    <w:jc w:val="center"/>
                    <w:rPr>
                      <w:rFonts w:hint="default" w:eastAsia="宋体"/>
                      <w:b w:val="0"/>
                      <w:bCs/>
                      <w:color w:val="000000"/>
                      <w:kern w:val="0"/>
                      <w:sz w:val="21"/>
                      <w:szCs w:val="21"/>
                      <w:lang w:val="en-US" w:eastAsia="zh-CN"/>
                    </w:rPr>
                  </w:pPr>
                  <w:r>
                    <w:rPr>
                      <w:rFonts w:hint="eastAsia"/>
                      <w:b w:val="0"/>
                      <w:bCs/>
                      <w:color w:val="000000"/>
                      <w:kern w:val="0"/>
                      <w:sz w:val="21"/>
                      <w:szCs w:val="21"/>
                      <w:lang w:val="en-US" w:eastAsia="zh-CN"/>
                    </w:rPr>
                    <w:t>水洗部分、脱重塔分水罐</w:t>
                  </w:r>
                </w:p>
              </w:tc>
            </w:tr>
            <w:tr w14:paraId="2EA2F6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10" w:type="pct"/>
                  <w:tcBorders>
                    <w:left w:val="single" w:color="auto" w:sz="4" w:space="0"/>
                    <w:tl2br w:val="nil"/>
                    <w:tr2bl w:val="nil"/>
                  </w:tcBorders>
                  <w:noWrap w:val="0"/>
                  <w:vAlign w:val="center"/>
                </w:tcPr>
                <w:p w14:paraId="64E7290D">
                  <w:pPr>
                    <w:jc w:val="center"/>
                    <w:rPr>
                      <w:b w:val="0"/>
                      <w:bCs/>
                      <w:color w:val="000000"/>
                      <w:kern w:val="0"/>
                      <w:sz w:val="21"/>
                      <w:szCs w:val="21"/>
                    </w:rPr>
                  </w:pPr>
                  <w:r>
                    <w:rPr>
                      <w:b w:val="0"/>
                      <w:bCs/>
                      <w:color w:val="000000"/>
                      <w:kern w:val="0"/>
                      <w:sz w:val="21"/>
                      <w:szCs w:val="21"/>
                    </w:rPr>
                    <w:t>固废</w:t>
                  </w:r>
                </w:p>
              </w:tc>
              <w:tc>
                <w:tcPr>
                  <w:tcW w:w="1105" w:type="pct"/>
                  <w:tcBorders>
                    <w:tl2br w:val="nil"/>
                    <w:tr2bl w:val="nil"/>
                  </w:tcBorders>
                  <w:noWrap w:val="0"/>
                  <w:vAlign w:val="center"/>
                </w:tcPr>
                <w:p w14:paraId="74EEFFBD">
                  <w:pPr>
                    <w:jc w:val="center"/>
                    <w:rPr>
                      <w:rFonts w:hint="eastAsia" w:eastAsia="宋体"/>
                      <w:b w:val="0"/>
                      <w:bCs/>
                      <w:color w:val="000000"/>
                      <w:kern w:val="0"/>
                      <w:sz w:val="21"/>
                      <w:szCs w:val="21"/>
                      <w:lang w:val="en-US" w:eastAsia="zh-CN" w:bidi="ar-SA"/>
                    </w:rPr>
                  </w:pPr>
                  <w:r>
                    <w:rPr>
                      <w:rFonts w:hint="eastAsia"/>
                      <w:b w:val="0"/>
                      <w:bCs/>
                      <w:color w:val="000000"/>
                      <w:kern w:val="0"/>
                      <w:sz w:val="21"/>
                      <w:szCs w:val="21"/>
                      <w:lang w:val="en-US" w:eastAsia="zh-CN"/>
                    </w:rPr>
                    <w:t>废机油</w:t>
                  </w:r>
                </w:p>
              </w:tc>
              <w:tc>
                <w:tcPr>
                  <w:tcW w:w="1250" w:type="pct"/>
                  <w:tcBorders>
                    <w:tl2br w:val="nil"/>
                    <w:tr2bl w:val="nil"/>
                  </w:tcBorders>
                  <w:noWrap w:val="0"/>
                  <w:vAlign w:val="center"/>
                </w:tcPr>
                <w:p w14:paraId="1AEFF03B">
                  <w:pPr>
                    <w:jc w:val="center"/>
                    <w:rPr>
                      <w:rFonts w:hint="eastAsia" w:eastAsia="宋体"/>
                      <w:b w:val="0"/>
                      <w:bCs/>
                      <w:color w:val="000000"/>
                      <w:kern w:val="0"/>
                      <w:sz w:val="21"/>
                      <w:szCs w:val="21"/>
                      <w:lang w:val="en-US" w:eastAsia="zh-CN" w:bidi="ar-SA"/>
                    </w:rPr>
                  </w:pPr>
                  <w:r>
                    <w:rPr>
                      <w:rFonts w:hint="eastAsia"/>
                      <w:b w:val="0"/>
                      <w:bCs/>
                      <w:color w:val="000000"/>
                      <w:kern w:val="0"/>
                      <w:sz w:val="21"/>
                      <w:szCs w:val="21"/>
                      <w:lang w:val="en-US" w:eastAsia="zh-CN"/>
                    </w:rPr>
                    <w:t>废机油</w:t>
                  </w:r>
                </w:p>
              </w:tc>
              <w:tc>
                <w:tcPr>
                  <w:tcW w:w="2133" w:type="pct"/>
                  <w:tcBorders>
                    <w:right w:val="single" w:color="auto" w:sz="4" w:space="0"/>
                    <w:tl2br w:val="nil"/>
                    <w:tr2bl w:val="nil"/>
                  </w:tcBorders>
                  <w:noWrap w:val="0"/>
                  <w:vAlign w:val="center"/>
                </w:tcPr>
                <w:p w14:paraId="06E578B2">
                  <w:pPr>
                    <w:jc w:val="center"/>
                    <w:rPr>
                      <w:rFonts w:hint="eastAsia" w:eastAsia="宋体"/>
                      <w:b w:val="0"/>
                      <w:bCs/>
                      <w:color w:val="000000"/>
                      <w:kern w:val="0"/>
                      <w:sz w:val="21"/>
                      <w:szCs w:val="21"/>
                      <w:lang w:val="en-US" w:eastAsia="zh-CN" w:bidi="ar-SA"/>
                    </w:rPr>
                  </w:pPr>
                  <w:r>
                    <w:rPr>
                      <w:rFonts w:hint="eastAsia"/>
                      <w:b w:val="0"/>
                      <w:bCs/>
                      <w:color w:val="000000"/>
                      <w:kern w:val="0"/>
                      <w:sz w:val="21"/>
                      <w:szCs w:val="21"/>
                      <w:lang w:val="en-US" w:eastAsia="zh-CN"/>
                    </w:rPr>
                    <w:t>检修</w:t>
                  </w:r>
                </w:p>
              </w:tc>
            </w:tr>
            <w:tr w14:paraId="17BD4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0" w:type="pct"/>
                  <w:tcBorders>
                    <w:left w:val="single" w:color="auto" w:sz="4" w:space="0"/>
                    <w:bottom w:val="single" w:color="auto" w:sz="4" w:space="0"/>
                    <w:tl2br w:val="nil"/>
                    <w:tr2bl w:val="nil"/>
                  </w:tcBorders>
                  <w:noWrap w:val="0"/>
                  <w:vAlign w:val="center"/>
                </w:tcPr>
                <w:p w14:paraId="324A072B">
                  <w:pPr>
                    <w:jc w:val="center"/>
                    <w:rPr>
                      <w:b w:val="0"/>
                      <w:bCs/>
                      <w:color w:val="000000"/>
                      <w:kern w:val="0"/>
                      <w:sz w:val="21"/>
                      <w:szCs w:val="21"/>
                    </w:rPr>
                  </w:pPr>
                  <w:r>
                    <w:rPr>
                      <w:b w:val="0"/>
                      <w:bCs/>
                      <w:color w:val="000000"/>
                      <w:kern w:val="0"/>
                      <w:sz w:val="21"/>
                      <w:szCs w:val="21"/>
                    </w:rPr>
                    <w:t>噪声</w:t>
                  </w:r>
                </w:p>
              </w:tc>
              <w:tc>
                <w:tcPr>
                  <w:tcW w:w="1105" w:type="pct"/>
                  <w:tcBorders>
                    <w:bottom w:val="single" w:color="auto" w:sz="4" w:space="0"/>
                    <w:tl2br w:val="nil"/>
                    <w:tr2bl w:val="nil"/>
                  </w:tcBorders>
                  <w:noWrap w:val="0"/>
                  <w:vAlign w:val="center"/>
                </w:tcPr>
                <w:p w14:paraId="41562E4B">
                  <w:pPr>
                    <w:jc w:val="center"/>
                    <w:rPr>
                      <w:b w:val="0"/>
                      <w:bCs/>
                      <w:color w:val="000000"/>
                      <w:kern w:val="0"/>
                      <w:sz w:val="21"/>
                      <w:szCs w:val="21"/>
                    </w:rPr>
                  </w:pPr>
                  <w:r>
                    <w:rPr>
                      <w:b w:val="0"/>
                      <w:bCs/>
                      <w:color w:val="000000"/>
                      <w:kern w:val="0"/>
                      <w:sz w:val="21"/>
                      <w:szCs w:val="21"/>
                    </w:rPr>
                    <w:t>设备噪声</w:t>
                  </w:r>
                </w:p>
              </w:tc>
              <w:tc>
                <w:tcPr>
                  <w:tcW w:w="1250" w:type="pct"/>
                  <w:tcBorders>
                    <w:bottom w:val="single" w:color="auto" w:sz="4" w:space="0"/>
                    <w:tl2br w:val="nil"/>
                    <w:tr2bl w:val="nil"/>
                  </w:tcBorders>
                  <w:noWrap w:val="0"/>
                  <w:vAlign w:val="center"/>
                </w:tcPr>
                <w:p w14:paraId="325C73E0">
                  <w:pPr>
                    <w:jc w:val="center"/>
                    <w:rPr>
                      <w:b w:val="0"/>
                      <w:bCs/>
                      <w:color w:val="000000"/>
                      <w:kern w:val="0"/>
                      <w:sz w:val="21"/>
                      <w:szCs w:val="21"/>
                    </w:rPr>
                  </w:pPr>
                  <w:r>
                    <w:rPr>
                      <w:b w:val="0"/>
                      <w:bCs/>
                      <w:color w:val="000000"/>
                      <w:kern w:val="0"/>
                      <w:sz w:val="21"/>
                      <w:szCs w:val="21"/>
                    </w:rPr>
                    <w:t>泵类</w:t>
                  </w:r>
                </w:p>
              </w:tc>
              <w:tc>
                <w:tcPr>
                  <w:tcW w:w="2133" w:type="pct"/>
                  <w:tcBorders>
                    <w:bottom w:val="single" w:color="auto" w:sz="4" w:space="0"/>
                    <w:right w:val="single" w:color="auto" w:sz="4" w:space="0"/>
                    <w:tl2br w:val="nil"/>
                    <w:tr2bl w:val="nil"/>
                  </w:tcBorders>
                  <w:noWrap w:val="0"/>
                  <w:vAlign w:val="center"/>
                </w:tcPr>
                <w:p w14:paraId="5445DC38">
                  <w:pPr>
                    <w:jc w:val="center"/>
                    <w:rPr>
                      <w:rFonts w:hint="eastAsia" w:eastAsia="宋体"/>
                      <w:b w:val="0"/>
                      <w:bCs/>
                      <w:color w:val="000000"/>
                      <w:kern w:val="0"/>
                      <w:sz w:val="21"/>
                      <w:szCs w:val="21"/>
                      <w:lang w:eastAsia="zh-CN"/>
                    </w:rPr>
                  </w:pPr>
                  <w:r>
                    <w:rPr>
                      <w:b w:val="0"/>
                      <w:bCs/>
                      <w:color w:val="000000"/>
                      <w:kern w:val="0"/>
                      <w:sz w:val="21"/>
                      <w:szCs w:val="21"/>
                    </w:rPr>
                    <w:t>设备运转时产生</w:t>
                  </w:r>
                  <w:r>
                    <w:rPr>
                      <w:b w:val="0"/>
                      <w:bCs/>
                      <w:color w:val="000000"/>
                      <w:kern w:val="0"/>
                      <w:sz w:val="21"/>
                      <w:szCs w:val="21"/>
                    </w:rPr>
                    <w:cr/>
                  </w:r>
                  <w:r>
                    <w:rPr>
                      <w:b w:val="0"/>
                      <w:bCs/>
                      <w:color w:val="000000"/>
                      <w:kern w:val="0"/>
                      <w:sz w:val="21"/>
                      <w:szCs w:val="21"/>
                    </w:rPr>
                    <w:t>噪声</w:t>
                  </w:r>
                </w:p>
              </w:tc>
            </w:tr>
          </w:tbl>
          <w:p w14:paraId="68F46410">
            <w:pPr>
              <w:spacing w:line="360" w:lineRule="auto"/>
              <w:ind w:firstLine="480" w:firstLineChars="200"/>
              <w:rPr>
                <w:color w:val="000000"/>
                <w:sz w:val="24"/>
              </w:rPr>
            </w:pPr>
          </w:p>
        </w:tc>
      </w:tr>
      <w:tr w14:paraId="06F9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421" w:type="pct"/>
            <w:tcBorders>
              <w:tl2br w:val="nil"/>
              <w:tr2bl w:val="nil"/>
            </w:tcBorders>
            <w:noWrap w:val="0"/>
            <w:vAlign w:val="center"/>
          </w:tcPr>
          <w:p w14:paraId="0E246BC9">
            <w:pPr>
              <w:pStyle w:val="37"/>
              <w:adjustRightInd w:val="0"/>
              <w:snapToGrid w:val="0"/>
              <w:spacing w:before="0" w:beforeAutospacing="0" w:after="0" w:afterAutospacing="0"/>
              <w:jc w:val="center"/>
              <w:rPr>
                <w:rFonts w:ascii="Times New Roman" w:hAnsi="Times New Roman"/>
                <w:b/>
                <w:color w:val="000000"/>
                <w:szCs w:val="24"/>
              </w:rPr>
            </w:pPr>
            <w:r>
              <w:rPr>
                <w:rFonts w:ascii="Times New Roman" w:hAnsi="Times New Roman"/>
                <w:b/>
                <w:bCs/>
                <w:color w:val="000000"/>
                <w:kern w:val="2"/>
                <w:szCs w:val="24"/>
              </w:rPr>
              <w:t>与项目有关的原有环境污染问题</w:t>
            </w:r>
          </w:p>
        </w:tc>
        <w:tc>
          <w:tcPr>
            <w:tcW w:w="4578" w:type="pct"/>
            <w:tcBorders>
              <w:tl2br w:val="nil"/>
              <w:tr2bl w:val="nil"/>
            </w:tcBorders>
            <w:noWrap w:val="0"/>
            <w:vAlign w:val="center"/>
          </w:tcPr>
          <w:p w14:paraId="684B9F84">
            <w:pPr>
              <w:pStyle w:val="3"/>
              <w:spacing w:before="0" w:beforeAutospacing="0" w:after="0" w:afterAutospacing="0" w:line="360" w:lineRule="auto"/>
              <w:ind w:firstLine="482" w:firstLineChars="200"/>
              <w:rPr>
                <w:rFonts w:ascii="Times New Roman" w:hAnsi="Times New Roman" w:cs="宋体"/>
                <w:sz w:val="24"/>
              </w:rPr>
            </w:pPr>
            <w:r>
              <w:rPr>
                <w:rFonts w:ascii="Times New Roman" w:hAnsi="Times New Roman" w:cs="宋体"/>
                <w:sz w:val="24"/>
              </w:rPr>
              <w:t>一、技改前原有项目环保手续履行情况</w:t>
            </w:r>
          </w:p>
          <w:p w14:paraId="593BACAD">
            <w:pPr>
              <w:adjustRightInd w:val="0"/>
              <w:snapToGrid w:val="0"/>
              <w:spacing w:line="360" w:lineRule="auto"/>
              <w:ind w:firstLine="480" w:firstLineChars="200"/>
              <w:outlineLvl w:val="1"/>
              <w:rPr>
                <w:rFonts w:hint="eastAsia"/>
                <w:color w:val="000000"/>
                <w:sz w:val="24"/>
                <w:szCs w:val="24"/>
              </w:rPr>
            </w:pPr>
            <w:r>
              <w:rPr>
                <w:rFonts w:hint="eastAsia"/>
                <w:color w:val="000000"/>
                <w:sz w:val="24"/>
                <w:szCs w:val="24"/>
              </w:rPr>
              <w:t>内蒙古伊泰化工有限责任公司位于杭锦旗独贵塔拉工业园区内，中心坐标为N40°2′0.85″，E108°29′42.51″。</w:t>
            </w:r>
          </w:p>
          <w:p w14:paraId="74B2F254">
            <w:pPr>
              <w:spacing w:line="360" w:lineRule="auto"/>
              <w:ind w:firstLine="480"/>
              <w:rPr>
                <w:sz w:val="24"/>
                <w:szCs w:val="24"/>
                <w:highlight w:val="none"/>
              </w:rPr>
            </w:pPr>
            <w:r>
              <w:rPr>
                <w:sz w:val="24"/>
                <w:szCs w:val="24"/>
                <w:highlight w:val="none"/>
              </w:rPr>
              <w:t>2011年8月，原内蒙古自治区环境保护厅以内环审</w:t>
            </w:r>
            <w:r>
              <w:rPr>
                <w:rFonts w:hint="eastAsia"/>
                <w:sz w:val="24"/>
                <w:szCs w:val="24"/>
                <w:highlight w:val="none"/>
                <w:lang w:eastAsia="zh-CN"/>
              </w:rPr>
              <w:t>﹝</w:t>
            </w:r>
            <w:r>
              <w:rPr>
                <w:sz w:val="24"/>
                <w:szCs w:val="24"/>
                <w:highlight w:val="none"/>
              </w:rPr>
              <w:t>2011</w:t>
            </w:r>
            <w:r>
              <w:rPr>
                <w:rFonts w:hint="eastAsia"/>
                <w:sz w:val="24"/>
                <w:szCs w:val="24"/>
                <w:highlight w:val="none"/>
                <w:lang w:eastAsia="zh-CN"/>
              </w:rPr>
              <w:t>﹞</w:t>
            </w:r>
            <w:r>
              <w:rPr>
                <w:sz w:val="24"/>
                <w:szCs w:val="24"/>
                <w:highlight w:val="none"/>
              </w:rPr>
              <w:t>240号文件出具了《关于内蒙古伊泰化工有限责任公司120万吨/年精细化学品项目环境影响报告书的批复》。2014年6月开工建设。2016年12月，原鄂尔多斯市环境保护局以鄂环评字</w:t>
            </w:r>
            <w:r>
              <w:rPr>
                <w:rFonts w:hint="eastAsia"/>
                <w:sz w:val="24"/>
                <w:szCs w:val="24"/>
                <w:highlight w:val="none"/>
                <w:lang w:eastAsia="zh-CN"/>
              </w:rPr>
              <w:t>﹝</w:t>
            </w:r>
            <w:r>
              <w:rPr>
                <w:sz w:val="24"/>
                <w:szCs w:val="24"/>
                <w:highlight w:val="none"/>
              </w:rPr>
              <w:t>2016</w:t>
            </w:r>
            <w:r>
              <w:rPr>
                <w:rFonts w:hint="eastAsia"/>
                <w:sz w:val="24"/>
                <w:szCs w:val="24"/>
                <w:highlight w:val="none"/>
                <w:lang w:eastAsia="zh-CN"/>
              </w:rPr>
              <w:t>﹞</w:t>
            </w:r>
            <w:r>
              <w:rPr>
                <w:sz w:val="24"/>
                <w:szCs w:val="24"/>
                <w:highlight w:val="none"/>
              </w:rPr>
              <w:t>162号文件出具了《关于内蒙古伊泰化工有限责任公司120万吨/年精细化学品示范项目（变更）环境影响报告书的批复》。2017年6月</w:t>
            </w:r>
            <w:r>
              <w:rPr>
                <w:rFonts w:hint="eastAsia"/>
                <w:sz w:val="24"/>
                <w:szCs w:val="24"/>
                <w:highlight w:val="none"/>
                <w:lang w:eastAsia="zh-CN"/>
              </w:rPr>
              <w:t>，</w:t>
            </w:r>
            <w:r>
              <w:rPr>
                <w:sz w:val="24"/>
                <w:szCs w:val="24"/>
                <w:highlight w:val="none"/>
              </w:rPr>
              <w:t>项目投料生产。2017年9月，原鄂尔多斯市环境保护局以鄂环监字</w:t>
            </w:r>
            <w:r>
              <w:rPr>
                <w:rFonts w:hint="eastAsia"/>
                <w:sz w:val="24"/>
                <w:szCs w:val="24"/>
                <w:highlight w:val="none"/>
                <w:lang w:eastAsia="zh-CN"/>
              </w:rPr>
              <w:t>﹝</w:t>
            </w:r>
            <w:r>
              <w:rPr>
                <w:sz w:val="24"/>
                <w:szCs w:val="24"/>
                <w:highlight w:val="none"/>
              </w:rPr>
              <w:t>2017</w:t>
            </w:r>
            <w:r>
              <w:rPr>
                <w:rFonts w:hint="eastAsia"/>
                <w:sz w:val="24"/>
                <w:szCs w:val="24"/>
                <w:highlight w:val="none"/>
                <w:lang w:eastAsia="zh-CN"/>
              </w:rPr>
              <w:t>﹞</w:t>
            </w:r>
            <w:r>
              <w:rPr>
                <w:sz w:val="24"/>
                <w:szCs w:val="24"/>
                <w:highlight w:val="none"/>
              </w:rPr>
              <w:t>190号文件出具了《关于内蒙古伊泰化工有限责任公司120万吨/年精细化学品示范项目竣工环境保护验收意见的通知》。</w:t>
            </w:r>
          </w:p>
          <w:p w14:paraId="609B377B">
            <w:pPr>
              <w:spacing w:line="360" w:lineRule="auto"/>
              <w:ind w:firstLine="480"/>
              <w:rPr>
                <w:sz w:val="24"/>
                <w:szCs w:val="24"/>
                <w:highlight w:val="none"/>
              </w:rPr>
            </w:pPr>
            <w:r>
              <w:rPr>
                <w:rFonts w:hint="eastAsia"/>
                <w:color w:val="000000"/>
                <w:sz w:val="24"/>
                <w:szCs w:val="24"/>
              </w:rPr>
              <w:t>2018年3月2日</w:t>
            </w:r>
            <w:r>
              <w:rPr>
                <w:rFonts w:hint="eastAsia"/>
                <w:color w:val="000000"/>
                <w:sz w:val="24"/>
                <w:szCs w:val="24"/>
                <w:lang w:eastAsia="zh-CN"/>
              </w:rPr>
              <w:t>，</w:t>
            </w:r>
            <w:r>
              <w:rPr>
                <w:rFonts w:hint="eastAsia"/>
                <w:color w:val="000000"/>
                <w:sz w:val="24"/>
                <w:szCs w:val="24"/>
              </w:rPr>
              <w:t>原鄂尔多斯市环境保护局以鄂环评字﹝20</w:t>
            </w:r>
            <w:r>
              <w:rPr>
                <w:rFonts w:hint="eastAsia"/>
                <w:color w:val="000000"/>
                <w:sz w:val="24"/>
                <w:szCs w:val="24"/>
                <w:lang w:val="en-US" w:eastAsia="zh-CN"/>
              </w:rPr>
              <w:t>18</w:t>
            </w:r>
            <w:r>
              <w:rPr>
                <w:rFonts w:hint="eastAsia"/>
                <w:color w:val="000000"/>
                <w:sz w:val="24"/>
                <w:szCs w:val="24"/>
              </w:rPr>
              <w:t>﹞33号文</w:t>
            </w:r>
            <w:r>
              <w:rPr>
                <w:sz w:val="24"/>
                <w:szCs w:val="24"/>
                <w:highlight w:val="none"/>
              </w:rPr>
              <w:t>件出具了</w:t>
            </w:r>
            <w:r>
              <w:rPr>
                <w:rFonts w:hint="eastAsia"/>
                <w:color w:val="000000"/>
                <w:sz w:val="24"/>
                <w:szCs w:val="24"/>
              </w:rPr>
              <w:t>《鄂尔多斯市环境保护局关于30万吨/年稳定轻烃和液化气改质装置项目环境影响报告书的批复》对该项目环境影响报告书进行批复</w:t>
            </w:r>
            <w:r>
              <w:rPr>
                <w:rFonts w:hint="eastAsia"/>
                <w:color w:val="000000"/>
                <w:sz w:val="24"/>
                <w:szCs w:val="24"/>
                <w:lang w:eastAsia="zh-CN"/>
              </w:rPr>
              <w:t>；</w:t>
            </w:r>
            <w:r>
              <w:rPr>
                <w:rFonts w:hint="eastAsia"/>
                <w:color w:val="000000"/>
                <w:sz w:val="24"/>
                <w:szCs w:val="24"/>
              </w:rPr>
              <w:t>该项目2020年4月完成自主验收。</w:t>
            </w:r>
          </w:p>
          <w:p w14:paraId="00E0B679">
            <w:pPr>
              <w:spacing w:line="360" w:lineRule="auto"/>
              <w:ind w:firstLine="480"/>
              <w:rPr>
                <w:sz w:val="24"/>
                <w:szCs w:val="24"/>
                <w:highlight w:val="none"/>
              </w:rPr>
            </w:pPr>
            <w:r>
              <w:rPr>
                <w:sz w:val="24"/>
                <w:szCs w:val="24"/>
                <w:highlight w:val="none"/>
              </w:rPr>
              <w:t>2018年8月，原鄂尔多斯市环境保护局以鄂环评字</w:t>
            </w:r>
            <w:r>
              <w:rPr>
                <w:rFonts w:hint="eastAsia"/>
                <w:sz w:val="24"/>
                <w:szCs w:val="24"/>
                <w:highlight w:val="none"/>
                <w:lang w:eastAsia="zh-CN"/>
              </w:rPr>
              <w:t>﹝</w:t>
            </w:r>
            <w:r>
              <w:rPr>
                <w:sz w:val="24"/>
                <w:szCs w:val="24"/>
                <w:highlight w:val="none"/>
              </w:rPr>
              <w:t>2018</w:t>
            </w:r>
            <w:r>
              <w:rPr>
                <w:rFonts w:hint="eastAsia"/>
                <w:sz w:val="24"/>
                <w:szCs w:val="24"/>
                <w:highlight w:val="none"/>
                <w:lang w:eastAsia="zh-CN"/>
              </w:rPr>
              <w:t>﹞</w:t>
            </w:r>
            <w:r>
              <w:rPr>
                <w:sz w:val="24"/>
                <w:szCs w:val="24"/>
                <w:highlight w:val="none"/>
              </w:rPr>
              <w:t>173号文件出具了《关于内蒙古伊泰化工有限责任公司120万吨/年精细化学品项目水处理及零排放整体系统工艺优化改造工程环境影响报告表的批复》。主要建设内容包括：对气化废水高密沉淀系统优化、新增备用气化废水高密沉淀系统；对合成废水厌氧系统优化、新增备用厌氧系统；新增</w:t>
            </w:r>
            <w:r>
              <w:rPr>
                <w:rFonts w:hint="eastAsia"/>
                <w:sz w:val="24"/>
                <w:szCs w:val="24"/>
                <w:highlight w:val="none"/>
              </w:rPr>
              <w:t>渣蜡、废活性炭</w:t>
            </w:r>
            <w:r>
              <w:rPr>
                <w:sz w:val="24"/>
                <w:szCs w:val="24"/>
                <w:highlight w:val="none"/>
              </w:rPr>
              <w:t>脱水机设施；对回用工序2高密沉淀系统优化、考虑备用回用工序2高密沉淀系统；对回用工序1及2备用反渗透系统优化；原含醇及脱碳废水增加混凝沉淀设施；对浓盐水处理装置药剂系统扩容改造；新增备用结晶分盐系列；对原回用工序1</w:t>
            </w:r>
            <w:r>
              <w:rPr>
                <w:rFonts w:hint="eastAsia"/>
                <w:sz w:val="24"/>
                <w:szCs w:val="24"/>
                <w:highlight w:val="none"/>
                <w:lang w:eastAsia="zh-CN"/>
              </w:rPr>
              <w:t>进行</w:t>
            </w:r>
            <w:r>
              <w:rPr>
                <w:sz w:val="24"/>
                <w:szCs w:val="24"/>
                <w:highlight w:val="none"/>
              </w:rPr>
              <w:t>过滤预处理优化；新增浓盐水备用膜系统；新增成品盐仓库。2018年8月</w:t>
            </w:r>
            <w:r>
              <w:rPr>
                <w:rFonts w:hint="eastAsia"/>
                <w:sz w:val="24"/>
                <w:szCs w:val="24"/>
                <w:highlight w:val="none"/>
                <w:lang w:eastAsia="zh-CN"/>
              </w:rPr>
              <w:t>，</w:t>
            </w:r>
            <w:r>
              <w:rPr>
                <w:sz w:val="24"/>
                <w:szCs w:val="24"/>
                <w:highlight w:val="none"/>
              </w:rPr>
              <w:t>内蒙古伊泰化工有限责任公司120万吨/年精细化学品项目水处理及零排放整体系统工艺优化改造工程开工建设，2019年4月试运行。2020年11月，完成内蒙古伊泰化工有限责任公司120万吨/年精细化学品项目水处理及零排放整体系统工艺优化改造工程竣工环境保护自主验收。</w:t>
            </w:r>
          </w:p>
          <w:p w14:paraId="5A92D179">
            <w:pPr>
              <w:spacing w:line="360" w:lineRule="auto"/>
              <w:ind w:firstLine="480"/>
              <w:rPr>
                <w:rFonts w:hint="eastAsia" w:ascii="Times New Roman" w:hAnsi="Times New Roman" w:eastAsia="宋体" w:cs="Times New Roman"/>
                <w:sz w:val="24"/>
                <w:szCs w:val="24"/>
                <w:highlight w:val="none"/>
                <w:lang w:val="en-US" w:eastAsia="zh-CN"/>
              </w:rPr>
            </w:pPr>
            <w:r>
              <w:rPr>
                <w:rFonts w:hint="eastAsia"/>
                <w:sz w:val="24"/>
                <w:szCs w:val="24"/>
                <w:highlight w:val="none"/>
              </w:rPr>
              <w:t>2021年5月</w:t>
            </w:r>
            <w:r>
              <w:rPr>
                <w:sz w:val="24"/>
                <w:szCs w:val="24"/>
                <w:highlight w:val="none"/>
              </w:rPr>
              <w:t>，鄂尔多斯市生态环境局</w:t>
            </w:r>
            <w:r>
              <w:rPr>
                <w:rFonts w:hint="eastAsia"/>
                <w:sz w:val="24"/>
                <w:szCs w:val="24"/>
                <w:highlight w:val="none"/>
                <w:lang w:eastAsia="zh-CN"/>
              </w:rPr>
              <w:t>以</w:t>
            </w:r>
            <w:r>
              <w:rPr>
                <w:sz w:val="24"/>
                <w:szCs w:val="24"/>
                <w:highlight w:val="none"/>
              </w:rPr>
              <w:t>鄂环审字〔2021〕482号文件出具了《关于内蒙古伊泰化工有限责任公司气化装置协同处置生化污泥项目环境影响报告表的批复》</w:t>
            </w:r>
            <w:r>
              <w:rPr>
                <w:rFonts w:hint="eastAsia"/>
                <w:sz w:val="24"/>
                <w:szCs w:val="24"/>
                <w:highlight w:val="none"/>
                <w:lang w:eastAsia="zh-CN"/>
              </w:rPr>
              <w:t>。</w:t>
            </w:r>
            <w:r>
              <w:rPr>
                <w:rFonts w:hint="eastAsia"/>
                <w:sz w:val="24"/>
                <w:szCs w:val="24"/>
                <w:highlight w:val="none"/>
                <w:lang w:val="en-US" w:eastAsia="zh-CN"/>
              </w:rPr>
              <w:t>2022年3月，</w:t>
            </w:r>
            <w:r>
              <w:rPr>
                <w:sz w:val="24"/>
                <w:szCs w:val="24"/>
                <w:highlight w:val="none"/>
              </w:rPr>
              <w:t>完成内蒙古伊泰化工有限责任公司气化装置协同处置生化污泥项目</w:t>
            </w:r>
            <w:r>
              <w:rPr>
                <w:rFonts w:hint="eastAsia" w:ascii="Times New Roman" w:hAnsi="Times New Roman" w:eastAsia="宋体" w:cs="Times New Roman"/>
                <w:sz w:val="24"/>
                <w:szCs w:val="24"/>
                <w:highlight w:val="none"/>
                <w:lang w:val="en-US" w:eastAsia="zh-CN"/>
              </w:rPr>
              <w:t>竣工环境保护自主验收。</w:t>
            </w:r>
          </w:p>
          <w:p w14:paraId="1204C06D">
            <w:pPr>
              <w:spacing w:line="360" w:lineRule="auto"/>
              <w:ind w:firstLine="48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排污许可证编号：91150625695922289F002V，有效期限：自2024年11月11日起至2029年11月10日止。</w:t>
            </w:r>
          </w:p>
          <w:p w14:paraId="26EEB61F">
            <w:pPr>
              <w:spacing w:line="360" w:lineRule="auto"/>
              <w:ind w:firstLine="480"/>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2024年6月11日，内蒙古伊泰化工有限责任公司通过鄂尔多斯市生态环境局杭锦旗分局对厂区突发环境事件应急预案进行了备案，备案编号：150625-2024-18-L。</w:t>
            </w:r>
          </w:p>
          <w:p w14:paraId="6D3CC35B">
            <w:pPr>
              <w:spacing w:line="360" w:lineRule="auto"/>
              <w:ind w:firstLine="48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2025年9月26日，鄂尔多斯市生态环境局杭锦旗分局出具了《关于烷烃切分技改项目环境影响报告表的批复》</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鄂杭环审字﹝2025﹞18号</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w:t>
            </w:r>
          </w:p>
          <w:p w14:paraId="79A3BDEE">
            <w:pPr>
              <w:spacing w:line="360" w:lineRule="auto"/>
              <w:ind w:firstLine="480"/>
              <w:rPr>
                <w:rFonts w:hint="default"/>
                <w:lang w:val="en-US" w:eastAsia="zh-CN"/>
              </w:rPr>
            </w:pPr>
            <w:r>
              <w:rPr>
                <w:rFonts w:hint="eastAsia" w:ascii="Times New Roman" w:hAnsi="Times New Roman" w:eastAsia="宋体" w:cs="Times New Roman"/>
                <w:sz w:val="24"/>
                <w:szCs w:val="24"/>
                <w:highlight w:val="none"/>
                <w:lang w:val="en-US" w:eastAsia="zh-CN"/>
              </w:rPr>
              <w:t>2025年9月29日，鄂尔多斯市生态环境局杭锦旗分局出具了《</w:t>
            </w:r>
            <w:r>
              <w:rPr>
                <w:rFonts w:hint="eastAsia" w:cs="Times New Roman"/>
                <w:sz w:val="24"/>
                <w:szCs w:val="24"/>
                <w:highlight w:val="none"/>
                <w:lang w:val="en-US" w:eastAsia="zh-CN"/>
              </w:rPr>
              <w:t>关于</w:t>
            </w:r>
            <w:r>
              <w:rPr>
                <w:rFonts w:hint="eastAsia" w:ascii="Times New Roman" w:hAnsi="Times New Roman" w:eastAsia="宋体" w:cs="Times New Roman"/>
                <w:sz w:val="24"/>
                <w:szCs w:val="24"/>
                <w:highlight w:val="none"/>
                <w:lang w:val="en-US" w:eastAsia="zh-CN"/>
              </w:rPr>
              <w:t>内蒙古伊泰化工有限责任公司费托软蜡提质项目环境影响报告表的批复》</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鄂杭环审字﹝2025﹞19号</w:t>
            </w:r>
            <w:r>
              <w:rPr>
                <w:rFonts w:hint="eastAsia"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w:t>
            </w:r>
          </w:p>
          <w:p w14:paraId="2B55C88E">
            <w:pPr>
              <w:pStyle w:val="3"/>
              <w:spacing w:before="0" w:beforeAutospacing="0" w:after="0" w:afterAutospacing="0" w:line="360" w:lineRule="auto"/>
              <w:ind w:firstLine="482" w:firstLineChars="200"/>
              <w:rPr>
                <w:rFonts w:hint="default" w:ascii="Times New Roman" w:hAnsi="Times New Roman" w:eastAsia="宋体" w:cs="宋体"/>
                <w:sz w:val="24"/>
                <w:lang w:val="en-US" w:eastAsia="zh-CN"/>
              </w:rPr>
            </w:pPr>
            <w:r>
              <w:rPr>
                <w:rFonts w:ascii="Times New Roman" w:hAnsi="Times New Roman" w:cs="宋体"/>
                <w:sz w:val="24"/>
              </w:rPr>
              <w:t>二、</w:t>
            </w:r>
            <w:r>
              <w:rPr>
                <w:rFonts w:hint="eastAsia" w:ascii="Times New Roman" w:hAnsi="Times New Roman" w:cs="宋体"/>
                <w:sz w:val="24"/>
                <w:lang w:val="en-US" w:eastAsia="zh-CN"/>
              </w:rPr>
              <w:t>技改前工程概况</w:t>
            </w:r>
          </w:p>
          <w:p w14:paraId="3103A828">
            <w:pPr>
              <w:spacing w:line="360" w:lineRule="auto"/>
              <w:ind w:firstLine="480"/>
              <w:rPr>
                <w:color w:val="auto"/>
                <w:sz w:val="24"/>
                <w:szCs w:val="24"/>
                <w:highlight w:val="none"/>
              </w:rPr>
            </w:pPr>
            <w:r>
              <w:rPr>
                <w:color w:val="auto"/>
                <w:sz w:val="24"/>
                <w:szCs w:val="24"/>
                <w:highlight w:val="none"/>
              </w:rPr>
              <w:t>1</w:t>
            </w:r>
            <w:r>
              <w:rPr>
                <w:rFonts w:hint="eastAsia"/>
                <w:color w:val="auto"/>
                <w:sz w:val="24"/>
                <w:szCs w:val="24"/>
                <w:highlight w:val="none"/>
                <w:lang w:val="en-US" w:eastAsia="zh-CN"/>
              </w:rPr>
              <w:t>.</w:t>
            </w:r>
            <w:r>
              <w:rPr>
                <w:color w:val="auto"/>
                <w:sz w:val="24"/>
                <w:szCs w:val="24"/>
                <w:highlight w:val="none"/>
              </w:rPr>
              <w:t>基本情况</w:t>
            </w:r>
          </w:p>
          <w:p w14:paraId="46ABA82C">
            <w:pPr>
              <w:spacing w:line="360" w:lineRule="auto"/>
              <w:ind w:firstLine="480"/>
              <w:rPr>
                <w:sz w:val="24"/>
                <w:szCs w:val="24"/>
                <w:highlight w:val="none"/>
              </w:rPr>
            </w:pPr>
            <w:r>
              <w:rPr>
                <w:color w:val="auto"/>
                <w:sz w:val="24"/>
                <w:szCs w:val="24"/>
                <w:highlight w:val="none"/>
              </w:rPr>
              <w:t>项目名称：</w:t>
            </w:r>
            <w:r>
              <w:rPr>
                <w:rFonts w:hint="eastAsia"/>
                <w:color w:val="auto"/>
                <w:sz w:val="24"/>
                <w:szCs w:val="24"/>
                <w:highlight w:val="none"/>
                <w:lang w:val="en-US" w:eastAsia="zh-CN"/>
              </w:rPr>
              <w:t>内蒙古伊泰化工有限责任公司120万吨/年精细化学品项目</w:t>
            </w:r>
            <w:r>
              <w:rPr>
                <w:color w:val="auto"/>
                <w:sz w:val="24"/>
                <w:szCs w:val="24"/>
                <w:highlight w:val="none"/>
              </w:rPr>
              <w:t>。</w:t>
            </w:r>
          </w:p>
          <w:p w14:paraId="1BF8E55D">
            <w:pPr>
              <w:spacing w:line="360" w:lineRule="auto"/>
              <w:ind w:firstLine="480"/>
              <w:rPr>
                <w:sz w:val="24"/>
                <w:szCs w:val="24"/>
                <w:highlight w:val="none"/>
              </w:rPr>
            </w:pPr>
            <w:r>
              <w:rPr>
                <w:sz w:val="24"/>
                <w:szCs w:val="24"/>
                <w:highlight w:val="none"/>
              </w:rPr>
              <w:t>建设地点：内蒙古自治区鄂尔多斯市杭锦旗独贵塔拉工业园区南项目区。</w:t>
            </w:r>
          </w:p>
          <w:p w14:paraId="3A3C11A5">
            <w:pPr>
              <w:spacing w:line="360" w:lineRule="auto"/>
              <w:ind w:firstLine="480"/>
              <w:rPr>
                <w:sz w:val="24"/>
                <w:szCs w:val="24"/>
                <w:highlight w:val="none"/>
              </w:rPr>
            </w:pPr>
            <w:r>
              <w:rPr>
                <w:sz w:val="24"/>
                <w:szCs w:val="24"/>
                <w:highlight w:val="none"/>
              </w:rPr>
              <w:t>建设单位：内蒙古伊泰化工有限责任公司。</w:t>
            </w:r>
          </w:p>
          <w:p w14:paraId="110C6509">
            <w:pPr>
              <w:spacing w:line="360" w:lineRule="auto"/>
              <w:ind w:firstLine="480"/>
              <w:rPr>
                <w:sz w:val="24"/>
                <w:szCs w:val="24"/>
                <w:highlight w:val="none"/>
              </w:rPr>
            </w:pPr>
            <w:r>
              <w:rPr>
                <w:sz w:val="24"/>
                <w:szCs w:val="24"/>
                <w:highlight w:val="none"/>
              </w:rPr>
              <w:t>总投资及环保投资：总投资为</w:t>
            </w:r>
            <w:r>
              <w:rPr>
                <w:rFonts w:hint="eastAsia"/>
                <w:sz w:val="24"/>
                <w:szCs w:val="24"/>
                <w:highlight w:val="none"/>
                <w:lang w:val="en-US" w:eastAsia="zh-CN"/>
              </w:rPr>
              <w:t>1673568</w:t>
            </w:r>
            <w:r>
              <w:rPr>
                <w:sz w:val="24"/>
                <w:szCs w:val="24"/>
                <w:highlight w:val="none"/>
              </w:rPr>
              <w:t>万元，其中环保投资</w:t>
            </w:r>
            <w:r>
              <w:rPr>
                <w:rFonts w:hint="eastAsia"/>
                <w:sz w:val="24"/>
                <w:szCs w:val="24"/>
                <w:highlight w:val="none"/>
                <w:lang w:val="en-US" w:eastAsia="zh-CN"/>
              </w:rPr>
              <w:t>127474</w:t>
            </w:r>
            <w:r>
              <w:rPr>
                <w:sz w:val="24"/>
                <w:szCs w:val="24"/>
                <w:highlight w:val="none"/>
              </w:rPr>
              <w:t>万元，约占总投资的</w:t>
            </w:r>
            <w:r>
              <w:rPr>
                <w:rFonts w:hint="eastAsia"/>
                <w:sz w:val="24"/>
                <w:szCs w:val="24"/>
                <w:highlight w:val="none"/>
                <w:lang w:val="en-US" w:eastAsia="zh-CN"/>
              </w:rPr>
              <w:t>7.62</w:t>
            </w:r>
            <w:r>
              <w:rPr>
                <w:sz w:val="24"/>
                <w:szCs w:val="24"/>
                <w:highlight w:val="none"/>
              </w:rPr>
              <w:t>%。</w:t>
            </w:r>
          </w:p>
          <w:p w14:paraId="282B69BF">
            <w:pPr>
              <w:spacing w:line="360" w:lineRule="auto"/>
              <w:ind w:firstLine="480"/>
              <w:rPr>
                <w:sz w:val="24"/>
                <w:szCs w:val="24"/>
                <w:highlight w:val="none"/>
              </w:rPr>
            </w:pPr>
            <w:r>
              <w:rPr>
                <w:sz w:val="24"/>
                <w:szCs w:val="24"/>
                <w:highlight w:val="none"/>
              </w:rPr>
              <w:t>劳动定员：</w:t>
            </w:r>
            <w:r>
              <w:rPr>
                <w:rFonts w:hint="eastAsia"/>
                <w:sz w:val="24"/>
                <w:szCs w:val="24"/>
                <w:highlight w:val="none"/>
                <w:lang w:val="en-US" w:eastAsia="zh-CN"/>
              </w:rPr>
              <w:t>1352</w:t>
            </w:r>
            <w:r>
              <w:rPr>
                <w:sz w:val="24"/>
                <w:szCs w:val="24"/>
                <w:highlight w:val="none"/>
              </w:rPr>
              <w:t>人。</w:t>
            </w:r>
          </w:p>
          <w:p w14:paraId="2945643E">
            <w:pPr>
              <w:spacing w:line="360" w:lineRule="auto"/>
              <w:ind w:firstLine="480"/>
              <w:rPr>
                <w:sz w:val="24"/>
                <w:szCs w:val="24"/>
                <w:highlight w:val="none"/>
              </w:rPr>
            </w:pPr>
            <w:r>
              <w:rPr>
                <w:sz w:val="24"/>
                <w:szCs w:val="24"/>
                <w:highlight w:val="none"/>
              </w:rPr>
              <w:t>工作制度：年操作小时数</w:t>
            </w:r>
            <w:r>
              <w:rPr>
                <w:rFonts w:hint="eastAsia"/>
                <w:sz w:val="24"/>
                <w:szCs w:val="24"/>
                <w:highlight w:val="none"/>
                <w:lang w:val="en-US" w:eastAsia="zh-CN"/>
              </w:rPr>
              <w:t>8000</w:t>
            </w:r>
            <w:r>
              <w:rPr>
                <w:sz w:val="24"/>
                <w:szCs w:val="24"/>
                <w:highlight w:val="none"/>
              </w:rPr>
              <w:t>h。</w:t>
            </w:r>
          </w:p>
          <w:p w14:paraId="1A15980A">
            <w:pPr>
              <w:spacing w:line="360" w:lineRule="auto"/>
              <w:ind w:firstLine="480"/>
              <w:rPr>
                <w:sz w:val="24"/>
                <w:szCs w:val="24"/>
                <w:highlight w:val="none"/>
              </w:rPr>
            </w:pPr>
            <w:r>
              <w:rPr>
                <w:sz w:val="24"/>
                <w:szCs w:val="24"/>
                <w:highlight w:val="none"/>
              </w:rPr>
              <w:t>占地面积：</w:t>
            </w:r>
            <w:r>
              <w:rPr>
                <w:rFonts w:hint="eastAsia"/>
                <w:sz w:val="24"/>
                <w:szCs w:val="24"/>
                <w:highlight w:val="none"/>
                <w:lang w:val="en-US" w:eastAsia="zh-CN"/>
              </w:rPr>
              <w:t>196.35h</w:t>
            </w:r>
            <w:r>
              <w:rPr>
                <w:sz w:val="24"/>
                <w:szCs w:val="24"/>
                <w:highlight w:val="none"/>
              </w:rPr>
              <w:t>m</w:t>
            </w:r>
            <w:r>
              <w:rPr>
                <w:sz w:val="24"/>
                <w:szCs w:val="24"/>
                <w:highlight w:val="none"/>
                <w:vertAlign w:val="superscript"/>
              </w:rPr>
              <w:t>2</w:t>
            </w:r>
            <w:r>
              <w:rPr>
                <w:sz w:val="24"/>
                <w:szCs w:val="24"/>
                <w:highlight w:val="none"/>
              </w:rPr>
              <w:t>。</w:t>
            </w:r>
          </w:p>
          <w:p w14:paraId="35EC8B7E">
            <w:pPr>
              <w:spacing w:line="360" w:lineRule="auto"/>
              <w:ind w:firstLine="480"/>
              <w:rPr>
                <w:sz w:val="24"/>
                <w:szCs w:val="24"/>
                <w:highlight w:val="none"/>
              </w:rPr>
            </w:pPr>
            <w:r>
              <w:rPr>
                <w:sz w:val="24"/>
                <w:szCs w:val="24"/>
                <w:highlight w:val="none"/>
              </w:rPr>
              <w:t>2</w:t>
            </w:r>
            <w:r>
              <w:rPr>
                <w:rFonts w:hint="eastAsia"/>
                <w:sz w:val="24"/>
                <w:szCs w:val="24"/>
                <w:highlight w:val="none"/>
                <w:lang w:val="en-US" w:eastAsia="zh-CN"/>
              </w:rPr>
              <w:t>.</w:t>
            </w:r>
            <w:r>
              <w:rPr>
                <w:sz w:val="24"/>
                <w:szCs w:val="24"/>
                <w:highlight w:val="none"/>
              </w:rPr>
              <w:t>生产规模及产品方案</w:t>
            </w:r>
          </w:p>
          <w:p w14:paraId="2B31CEDE">
            <w:pPr>
              <w:spacing w:line="360" w:lineRule="auto"/>
              <w:ind w:firstLine="480"/>
              <w:rPr>
                <w:sz w:val="24"/>
                <w:szCs w:val="24"/>
                <w:highlight w:val="none"/>
              </w:rPr>
            </w:pPr>
            <w:r>
              <w:rPr>
                <w:snapToGrid w:val="0"/>
                <w:sz w:val="24"/>
                <w:szCs w:val="24"/>
                <w:highlight w:val="none"/>
              </w:rPr>
              <w:t>（1）</w:t>
            </w:r>
            <w:r>
              <w:rPr>
                <w:sz w:val="24"/>
                <w:szCs w:val="24"/>
                <w:highlight w:val="none"/>
              </w:rPr>
              <w:t>生产规模</w:t>
            </w:r>
          </w:p>
          <w:p w14:paraId="2C8833F2">
            <w:pPr>
              <w:spacing w:line="360" w:lineRule="auto"/>
              <w:ind w:firstLine="480"/>
              <w:rPr>
                <w:sz w:val="24"/>
                <w:szCs w:val="24"/>
                <w:highlight w:val="none"/>
              </w:rPr>
            </w:pPr>
            <w:r>
              <w:rPr>
                <w:rFonts w:hint="eastAsia"/>
                <w:sz w:val="24"/>
                <w:szCs w:val="24"/>
                <w:highlight w:val="none"/>
                <w:lang w:val="en-US" w:eastAsia="zh-CN"/>
              </w:rPr>
              <w:t>项目选择HT-L粉煤加压气化技术、水煤浆气化技术和具有国内自主知识产权的中科合成技术有限公司的高温浆态床F-T合成成套技术（HTSFTP</w:t>
            </w:r>
            <w:r>
              <w:rPr>
                <w:rFonts w:hint="default"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t>工艺），产品设计产能为120万t/a精细化学品。</w:t>
            </w:r>
          </w:p>
          <w:p w14:paraId="5B554851">
            <w:pPr>
              <w:spacing w:line="360" w:lineRule="auto"/>
              <w:ind w:firstLine="480"/>
              <w:rPr>
                <w:snapToGrid w:val="0"/>
                <w:sz w:val="24"/>
                <w:szCs w:val="24"/>
                <w:highlight w:val="none"/>
              </w:rPr>
            </w:pPr>
            <w:r>
              <w:rPr>
                <w:snapToGrid w:val="0"/>
                <w:sz w:val="24"/>
                <w:szCs w:val="24"/>
                <w:highlight w:val="none"/>
              </w:rPr>
              <w:t>（2）产品方案</w:t>
            </w:r>
          </w:p>
          <w:p w14:paraId="33D4442F">
            <w:pPr>
              <w:ind w:firstLine="1928" w:firstLineChars="800"/>
              <w:rPr>
                <w:rFonts w:ascii="Times New Roman" w:hAnsi="Times New Roman" w:eastAsia="宋体" w:cs="Times New Roman"/>
                <w:b/>
                <w:color w:val="000000"/>
                <w:sz w:val="24"/>
              </w:rPr>
            </w:pPr>
            <w:r>
              <w:rPr>
                <w:rFonts w:ascii="Times New Roman" w:hAnsi="Times New Roman" w:eastAsia="宋体" w:cs="Times New Roman"/>
                <w:b/>
                <w:color w:val="000000"/>
                <w:sz w:val="24"/>
              </w:rPr>
              <w:t>表2-1</w:t>
            </w:r>
            <w:r>
              <w:rPr>
                <w:rFonts w:hint="eastAsia" w:cs="Times New Roman"/>
                <w:b/>
                <w:color w:val="000000"/>
                <w:sz w:val="24"/>
                <w:lang w:val="en-US" w:eastAsia="zh-CN"/>
              </w:rPr>
              <w:t>2：</w:t>
            </w:r>
            <w:r>
              <w:rPr>
                <w:rFonts w:ascii="Times New Roman" w:hAnsi="Times New Roman" w:eastAsia="宋体" w:cs="Times New Roman"/>
                <w:b/>
                <w:color w:val="000000"/>
                <w:sz w:val="24"/>
              </w:rPr>
              <w:t>现有项目</w:t>
            </w:r>
            <w:r>
              <w:rPr>
                <w:rFonts w:hint="eastAsia" w:ascii="Times New Roman" w:hAnsi="Times New Roman" w:eastAsia="宋体" w:cs="Times New Roman"/>
                <w:b/>
                <w:color w:val="000000"/>
                <w:sz w:val="24"/>
                <w:lang w:val="en-US" w:eastAsia="zh-CN"/>
              </w:rPr>
              <w:t>主要</w:t>
            </w:r>
            <w:r>
              <w:rPr>
                <w:rFonts w:ascii="Times New Roman" w:hAnsi="Times New Roman" w:eastAsia="宋体" w:cs="Times New Roman"/>
                <w:b/>
                <w:color w:val="000000"/>
                <w:sz w:val="24"/>
              </w:rPr>
              <w:t>产品方案一览表</w:t>
            </w:r>
          </w:p>
          <w:tbl>
            <w:tblPr>
              <w:tblStyle w:val="41"/>
              <w:tblW w:w="807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2612"/>
              <w:gridCol w:w="2240"/>
              <w:gridCol w:w="2066"/>
            </w:tblGrid>
            <w:tr w14:paraId="2F6605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top w:val="single" w:color="auto" w:sz="4" w:space="0"/>
                    <w:left w:val="single" w:color="auto" w:sz="0" w:space="0"/>
                    <w:tl2br w:val="nil"/>
                    <w:tr2bl w:val="nil"/>
                  </w:tcBorders>
                  <w:noWrap w:val="0"/>
                  <w:vAlign w:val="center"/>
                </w:tcPr>
                <w:p w14:paraId="09EDEE27">
                  <w:pPr>
                    <w:jc w:val="center"/>
                    <w:rPr>
                      <w:snapToGrid w:val="0"/>
                      <w:szCs w:val="21"/>
                      <w:highlight w:val="none"/>
                    </w:rPr>
                  </w:pPr>
                  <w:r>
                    <w:rPr>
                      <w:snapToGrid w:val="0"/>
                      <w:szCs w:val="21"/>
                      <w:highlight w:val="none"/>
                    </w:rPr>
                    <w:t>序号</w:t>
                  </w:r>
                </w:p>
              </w:tc>
              <w:tc>
                <w:tcPr>
                  <w:tcW w:w="2612" w:type="dxa"/>
                  <w:tcBorders>
                    <w:top w:val="single" w:color="auto" w:sz="4" w:space="0"/>
                    <w:tl2br w:val="nil"/>
                    <w:tr2bl w:val="nil"/>
                  </w:tcBorders>
                  <w:noWrap w:val="0"/>
                  <w:vAlign w:val="center"/>
                </w:tcPr>
                <w:p w14:paraId="1368D5CC">
                  <w:pPr>
                    <w:jc w:val="center"/>
                    <w:rPr>
                      <w:snapToGrid w:val="0"/>
                      <w:szCs w:val="21"/>
                      <w:highlight w:val="none"/>
                    </w:rPr>
                  </w:pPr>
                  <w:r>
                    <w:rPr>
                      <w:snapToGrid w:val="0"/>
                      <w:szCs w:val="21"/>
                      <w:highlight w:val="none"/>
                    </w:rPr>
                    <w:t>产品</w:t>
                  </w:r>
                </w:p>
              </w:tc>
              <w:tc>
                <w:tcPr>
                  <w:tcW w:w="2240" w:type="dxa"/>
                  <w:tcBorders>
                    <w:top w:val="single" w:color="auto" w:sz="4" w:space="0"/>
                    <w:tl2br w:val="nil"/>
                    <w:tr2bl w:val="nil"/>
                  </w:tcBorders>
                  <w:noWrap w:val="0"/>
                  <w:vAlign w:val="center"/>
                </w:tcPr>
                <w:p w14:paraId="437B4F76">
                  <w:pPr>
                    <w:jc w:val="center"/>
                    <w:rPr>
                      <w:snapToGrid w:val="0"/>
                      <w:szCs w:val="21"/>
                      <w:highlight w:val="none"/>
                    </w:rPr>
                  </w:pPr>
                  <w:r>
                    <w:rPr>
                      <w:snapToGrid w:val="0"/>
                      <w:szCs w:val="21"/>
                      <w:highlight w:val="none"/>
                    </w:rPr>
                    <w:t>产量（万t/a）</w:t>
                  </w:r>
                </w:p>
              </w:tc>
              <w:tc>
                <w:tcPr>
                  <w:tcW w:w="2066" w:type="dxa"/>
                  <w:tcBorders>
                    <w:top w:val="single" w:color="auto" w:sz="4" w:space="0"/>
                    <w:right w:val="single" w:color="auto" w:sz="4" w:space="0"/>
                    <w:tl2br w:val="nil"/>
                    <w:tr2bl w:val="nil"/>
                  </w:tcBorders>
                  <w:noWrap w:val="0"/>
                  <w:vAlign w:val="center"/>
                </w:tcPr>
                <w:p w14:paraId="097C26DD">
                  <w:pPr>
                    <w:jc w:val="center"/>
                    <w:rPr>
                      <w:snapToGrid w:val="0"/>
                      <w:szCs w:val="21"/>
                      <w:highlight w:val="none"/>
                    </w:rPr>
                  </w:pPr>
                  <w:r>
                    <w:rPr>
                      <w:snapToGrid w:val="0"/>
                      <w:szCs w:val="21"/>
                      <w:highlight w:val="none"/>
                    </w:rPr>
                    <w:t>备注</w:t>
                  </w:r>
                </w:p>
              </w:tc>
            </w:tr>
            <w:tr w14:paraId="1A0A0C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E70ADAA">
                  <w:pPr>
                    <w:jc w:val="center"/>
                    <w:rPr>
                      <w:snapToGrid w:val="0"/>
                      <w:szCs w:val="21"/>
                      <w:highlight w:val="none"/>
                    </w:rPr>
                  </w:pPr>
                  <w:r>
                    <w:rPr>
                      <w:snapToGrid w:val="0"/>
                      <w:szCs w:val="21"/>
                      <w:highlight w:val="none"/>
                    </w:rPr>
                    <w:t>1</w:t>
                  </w:r>
                </w:p>
              </w:tc>
              <w:tc>
                <w:tcPr>
                  <w:tcW w:w="2612" w:type="dxa"/>
                  <w:tcBorders>
                    <w:tl2br w:val="nil"/>
                    <w:tr2bl w:val="nil"/>
                  </w:tcBorders>
                  <w:noWrap w:val="0"/>
                  <w:vAlign w:val="center"/>
                </w:tcPr>
                <w:p w14:paraId="2BD31ED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石脑油</w:t>
                  </w:r>
                </w:p>
              </w:tc>
              <w:tc>
                <w:tcPr>
                  <w:tcW w:w="2240" w:type="dxa"/>
                  <w:tcBorders>
                    <w:tl2br w:val="nil"/>
                    <w:tr2bl w:val="nil"/>
                  </w:tcBorders>
                  <w:noWrap w:val="0"/>
                  <w:vAlign w:val="center"/>
                </w:tcPr>
                <w:p w14:paraId="3B4C7419">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3.42</w:t>
                  </w:r>
                </w:p>
              </w:tc>
              <w:tc>
                <w:tcPr>
                  <w:tcW w:w="2066" w:type="dxa"/>
                  <w:tcBorders>
                    <w:right w:val="single" w:color="auto" w:sz="4" w:space="0"/>
                    <w:tl2br w:val="nil"/>
                    <w:tr2bl w:val="nil"/>
                  </w:tcBorders>
                  <w:noWrap w:val="0"/>
                  <w:vAlign w:val="center"/>
                </w:tcPr>
                <w:p w14:paraId="6403BCA1">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42DD6D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A70CAAD">
                  <w:pPr>
                    <w:jc w:val="center"/>
                    <w:rPr>
                      <w:snapToGrid w:val="0"/>
                      <w:szCs w:val="21"/>
                      <w:highlight w:val="none"/>
                    </w:rPr>
                  </w:pPr>
                  <w:r>
                    <w:rPr>
                      <w:snapToGrid w:val="0"/>
                      <w:szCs w:val="21"/>
                      <w:highlight w:val="none"/>
                    </w:rPr>
                    <w:t>2</w:t>
                  </w:r>
                </w:p>
              </w:tc>
              <w:tc>
                <w:tcPr>
                  <w:tcW w:w="2612" w:type="dxa"/>
                  <w:tcBorders>
                    <w:tl2br w:val="nil"/>
                    <w:tr2bl w:val="nil"/>
                  </w:tcBorders>
                  <w:noWrap w:val="0"/>
                  <w:vAlign w:val="center"/>
                </w:tcPr>
                <w:p w14:paraId="7222CAD4">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轻质石脑油</w:t>
                  </w:r>
                </w:p>
              </w:tc>
              <w:tc>
                <w:tcPr>
                  <w:tcW w:w="2240" w:type="dxa"/>
                  <w:tcBorders>
                    <w:tl2br w:val="nil"/>
                    <w:tr2bl w:val="nil"/>
                  </w:tcBorders>
                  <w:noWrap w:val="0"/>
                  <w:vAlign w:val="center"/>
                </w:tcPr>
                <w:p w14:paraId="2849C70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7.04</w:t>
                  </w:r>
                </w:p>
              </w:tc>
              <w:tc>
                <w:tcPr>
                  <w:tcW w:w="2066" w:type="dxa"/>
                  <w:tcBorders>
                    <w:right w:val="single" w:color="auto" w:sz="4" w:space="0"/>
                    <w:tl2br w:val="nil"/>
                    <w:tr2bl w:val="nil"/>
                  </w:tcBorders>
                  <w:noWrap w:val="0"/>
                  <w:vAlign w:val="center"/>
                </w:tcPr>
                <w:p w14:paraId="5E42F32A">
                  <w:pPr>
                    <w:jc w:val="center"/>
                    <w:rPr>
                      <w:rFonts w:hint="eastAsia" w:eastAsia="宋体"/>
                      <w:snapToGrid w:val="0"/>
                      <w:szCs w:val="21"/>
                      <w:highlight w:val="none"/>
                      <w:lang w:val="en-US" w:eastAsia="zh-CN"/>
                    </w:rPr>
                  </w:pPr>
                  <w:r>
                    <w:rPr>
                      <w:rFonts w:hint="eastAsia"/>
                      <w:snapToGrid w:val="0"/>
                      <w:szCs w:val="21"/>
                      <w:highlight w:val="none"/>
                      <w:lang w:val="en-US" w:eastAsia="zh-CN"/>
                    </w:rPr>
                    <w:t>/</w:t>
                  </w:r>
                </w:p>
              </w:tc>
            </w:tr>
            <w:tr w14:paraId="11150B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05DC369">
                  <w:pPr>
                    <w:jc w:val="center"/>
                    <w:rPr>
                      <w:snapToGrid w:val="0"/>
                      <w:szCs w:val="21"/>
                      <w:highlight w:val="none"/>
                    </w:rPr>
                  </w:pPr>
                  <w:r>
                    <w:rPr>
                      <w:snapToGrid w:val="0"/>
                      <w:szCs w:val="21"/>
                      <w:highlight w:val="none"/>
                    </w:rPr>
                    <w:t>3</w:t>
                  </w:r>
                </w:p>
              </w:tc>
              <w:tc>
                <w:tcPr>
                  <w:tcW w:w="2612" w:type="dxa"/>
                  <w:tcBorders>
                    <w:tl2br w:val="nil"/>
                    <w:tr2bl w:val="nil"/>
                  </w:tcBorders>
                  <w:noWrap w:val="0"/>
                  <w:vAlign w:val="center"/>
                </w:tcPr>
                <w:p w14:paraId="30963D5D">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1#低芳溶剂</w:t>
                  </w:r>
                </w:p>
              </w:tc>
              <w:tc>
                <w:tcPr>
                  <w:tcW w:w="2240" w:type="dxa"/>
                  <w:tcBorders>
                    <w:tl2br w:val="nil"/>
                    <w:tr2bl w:val="nil"/>
                  </w:tcBorders>
                  <w:noWrap w:val="0"/>
                  <w:vAlign w:val="center"/>
                </w:tcPr>
                <w:p w14:paraId="4F348DD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25.46</w:t>
                  </w:r>
                </w:p>
              </w:tc>
              <w:tc>
                <w:tcPr>
                  <w:tcW w:w="2066" w:type="dxa"/>
                  <w:tcBorders>
                    <w:right w:val="single" w:color="auto" w:sz="4" w:space="0"/>
                    <w:tl2br w:val="nil"/>
                    <w:tr2bl w:val="nil"/>
                  </w:tcBorders>
                  <w:noWrap w:val="0"/>
                  <w:vAlign w:val="center"/>
                </w:tcPr>
                <w:p w14:paraId="15C0E0A3">
                  <w:pPr>
                    <w:jc w:val="center"/>
                    <w:rPr>
                      <w:rFonts w:hint="default" w:eastAsia="宋体"/>
                      <w:snapToGrid w:val="0"/>
                      <w:szCs w:val="21"/>
                      <w:highlight w:val="none"/>
                      <w:lang w:val="en-US" w:eastAsia="zh-CN"/>
                    </w:rPr>
                  </w:pPr>
                  <w:r>
                    <w:rPr>
                      <w:rFonts w:hint="eastAsia"/>
                      <w:snapToGrid w:val="0"/>
                      <w:szCs w:val="21"/>
                      <w:highlight w:val="none"/>
                      <w:lang w:val="en-US" w:eastAsia="zh-CN"/>
                    </w:rPr>
                    <w:t>/</w:t>
                  </w:r>
                </w:p>
              </w:tc>
            </w:tr>
            <w:tr w14:paraId="3FD247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1E957B5A">
                  <w:pPr>
                    <w:jc w:val="center"/>
                    <w:rPr>
                      <w:snapToGrid w:val="0"/>
                      <w:szCs w:val="21"/>
                      <w:highlight w:val="none"/>
                    </w:rPr>
                  </w:pPr>
                  <w:r>
                    <w:rPr>
                      <w:snapToGrid w:val="0"/>
                      <w:szCs w:val="21"/>
                      <w:highlight w:val="none"/>
                    </w:rPr>
                    <w:t>4</w:t>
                  </w:r>
                </w:p>
              </w:tc>
              <w:tc>
                <w:tcPr>
                  <w:tcW w:w="2612" w:type="dxa"/>
                  <w:tcBorders>
                    <w:tl2br w:val="nil"/>
                    <w:tr2bl w:val="nil"/>
                  </w:tcBorders>
                  <w:noWrap w:val="0"/>
                  <w:vAlign w:val="center"/>
                </w:tcPr>
                <w:p w14:paraId="47EA72FF">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3#低芳溶剂</w:t>
                  </w:r>
                </w:p>
              </w:tc>
              <w:tc>
                <w:tcPr>
                  <w:tcW w:w="2240" w:type="dxa"/>
                  <w:tcBorders>
                    <w:tl2br w:val="nil"/>
                    <w:tr2bl w:val="nil"/>
                  </w:tcBorders>
                  <w:noWrap w:val="0"/>
                  <w:vAlign w:val="center"/>
                </w:tcPr>
                <w:p w14:paraId="01FBD47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17.29</w:t>
                  </w:r>
                </w:p>
              </w:tc>
              <w:tc>
                <w:tcPr>
                  <w:tcW w:w="2066" w:type="dxa"/>
                  <w:tcBorders>
                    <w:right w:val="single" w:color="auto" w:sz="4" w:space="0"/>
                    <w:tl2br w:val="nil"/>
                    <w:tr2bl w:val="nil"/>
                  </w:tcBorders>
                  <w:noWrap w:val="0"/>
                  <w:vAlign w:val="center"/>
                </w:tcPr>
                <w:p w14:paraId="0202C02D">
                  <w:pPr>
                    <w:jc w:val="center"/>
                    <w:rPr>
                      <w:snapToGrid w:val="0"/>
                      <w:szCs w:val="21"/>
                      <w:highlight w:val="none"/>
                    </w:rPr>
                  </w:pPr>
                  <w:r>
                    <w:rPr>
                      <w:rFonts w:hint="eastAsia"/>
                      <w:snapToGrid w:val="0"/>
                      <w:szCs w:val="21"/>
                      <w:highlight w:val="none"/>
                      <w:lang w:val="en-US" w:eastAsia="zh-CN"/>
                    </w:rPr>
                    <w:t>/</w:t>
                  </w:r>
                </w:p>
              </w:tc>
            </w:tr>
            <w:tr w14:paraId="4873F1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6AF32D5">
                  <w:pPr>
                    <w:jc w:val="center"/>
                    <w:rPr>
                      <w:rFonts w:hint="eastAsia" w:eastAsia="宋体"/>
                      <w:snapToGrid w:val="0"/>
                      <w:szCs w:val="21"/>
                      <w:highlight w:val="none"/>
                      <w:lang w:val="en-US" w:eastAsia="zh-CN"/>
                    </w:rPr>
                  </w:pPr>
                  <w:r>
                    <w:rPr>
                      <w:rFonts w:hint="eastAsia"/>
                      <w:snapToGrid w:val="0"/>
                      <w:szCs w:val="21"/>
                      <w:highlight w:val="none"/>
                      <w:lang w:val="en-US" w:eastAsia="zh-CN"/>
                    </w:rPr>
                    <w:t>5</w:t>
                  </w:r>
                </w:p>
              </w:tc>
              <w:tc>
                <w:tcPr>
                  <w:tcW w:w="2612" w:type="dxa"/>
                  <w:tcBorders>
                    <w:tl2br w:val="nil"/>
                    <w:tr2bl w:val="nil"/>
                  </w:tcBorders>
                  <w:noWrap w:val="0"/>
                  <w:vAlign w:val="center"/>
                </w:tcPr>
                <w:p w14:paraId="709E133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轻液体石蜡</w:t>
                  </w:r>
                </w:p>
              </w:tc>
              <w:tc>
                <w:tcPr>
                  <w:tcW w:w="2240" w:type="dxa"/>
                  <w:tcBorders>
                    <w:tl2br w:val="nil"/>
                    <w:tr2bl w:val="nil"/>
                  </w:tcBorders>
                  <w:noWrap w:val="0"/>
                  <w:vAlign w:val="center"/>
                </w:tcPr>
                <w:p w14:paraId="670379E3">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10.24</w:t>
                  </w:r>
                </w:p>
              </w:tc>
              <w:tc>
                <w:tcPr>
                  <w:tcW w:w="2066" w:type="dxa"/>
                  <w:tcBorders>
                    <w:right w:val="single" w:color="auto" w:sz="4" w:space="0"/>
                    <w:tl2br w:val="nil"/>
                    <w:tr2bl w:val="nil"/>
                  </w:tcBorders>
                  <w:noWrap w:val="0"/>
                  <w:vAlign w:val="center"/>
                </w:tcPr>
                <w:p w14:paraId="51B952AF">
                  <w:pPr>
                    <w:jc w:val="center"/>
                    <w:rPr>
                      <w:rFonts w:hint="eastAsia" w:eastAsia="宋体" w:cs="宋体"/>
                      <w:lang w:val="en-US" w:eastAsia="zh-CN"/>
                    </w:rPr>
                  </w:pPr>
                  <w:r>
                    <w:rPr>
                      <w:rFonts w:hint="eastAsia"/>
                      <w:snapToGrid w:val="0"/>
                      <w:szCs w:val="21"/>
                      <w:highlight w:val="none"/>
                      <w:lang w:val="en-US" w:eastAsia="zh-CN"/>
                    </w:rPr>
                    <w:t>/</w:t>
                  </w:r>
                </w:p>
              </w:tc>
            </w:tr>
            <w:tr w14:paraId="6138B4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30704D6">
                  <w:pPr>
                    <w:jc w:val="center"/>
                    <w:rPr>
                      <w:rFonts w:hint="eastAsia" w:eastAsia="宋体"/>
                      <w:snapToGrid w:val="0"/>
                      <w:szCs w:val="21"/>
                      <w:highlight w:val="none"/>
                      <w:lang w:val="en-US" w:eastAsia="zh-CN"/>
                    </w:rPr>
                  </w:pPr>
                  <w:r>
                    <w:rPr>
                      <w:rFonts w:hint="eastAsia"/>
                      <w:snapToGrid w:val="0"/>
                      <w:szCs w:val="21"/>
                      <w:highlight w:val="none"/>
                      <w:lang w:val="en-US" w:eastAsia="zh-CN"/>
                    </w:rPr>
                    <w:t>6</w:t>
                  </w:r>
                </w:p>
              </w:tc>
              <w:tc>
                <w:tcPr>
                  <w:tcW w:w="2612" w:type="dxa"/>
                  <w:tcBorders>
                    <w:tl2br w:val="nil"/>
                    <w:tr2bl w:val="nil"/>
                  </w:tcBorders>
                  <w:noWrap w:val="0"/>
                  <w:vAlign w:val="center"/>
                </w:tcPr>
                <w:p w14:paraId="7734350A">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重液体石蜡</w:t>
                  </w:r>
                </w:p>
              </w:tc>
              <w:tc>
                <w:tcPr>
                  <w:tcW w:w="2240" w:type="dxa"/>
                  <w:tcBorders>
                    <w:tl2br w:val="nil"/>
                    <w:tr2bl w:val="nil"/>
                  </w:tcBorders>
                  <w:noWrap w:val="0"/>
                  <w:vAlign w:val="center"/>
                </w:tcPr>
                <w:p w14:paraId="7FBE7F51">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24.67</w:t>
                  </w:r>
                </w:p>
              </w:tc>
              <w:tc>
                <w:tcPr>
                  <w:tcW w:w="2066" w:type="dxa"/>
                  <w:tcBorders>
                    <w:right w:val="single" w:color="auto" w:sz="4" w:space="0"/>
                    <w:tl2br w:val="nil"/>
                    <w:tr2bl w:val="nil"/>
                  </w:tcBorders>
                  <w:noWrap w:val="0"/>
                  <w:vAlign w:val="center"/>
                </w:tcPr>
                <w:p w14:paraId="1B428D26">
                  <w:pPr>
                    <w:jc w:val="center"/>
                    <w:rPr>
                      <w:rFonts w:hint="eastAsia" w:eastAsia="宋体" w:cs="宋体"/>
                      <w:lang w:val="en-US" w:eastAsia="zh-CN"/>
                    </w:rPr>
                  </w:pPr>
                  <w:r>
                    <w:rPr>
                      <w:rFonts w:hint="eastAsia"/>
                      <w:snapToGrid w:val="0"/>
                      <w:szCs w:val="21"/>
                      <w:highlight w:val="none"/>
                      <w:lang w:val="en-US" w:eastAsia="zh-CN"/>
                    </w:rPr>
                    <w:t>/</w:t>
                  </w:r>
                </w:p>
              </w:tc>
            </w:tr>
            <w:tr w14:paraId="0EC3E5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BBE74AA">
                  <w:pPr>
                    <w:jc w:val="center"/>
                    <w:rPr>
                      <w:rFonts w:hint="eastAsia" w:eastAsia="宋体"/>
                      <w:snapToGrid w:val="0"/>
                      <w:szCs w:val="21"/>
                      <w:highlight w:val="none"/>
                      <w:lang w:val="en-US" w:eastAsia="zh-CN"/>
                    </w:rPr>
                  </w:pPr>
                  <w:r>
                    <w:rPr>
                      <w:rFonts w:hint="eastAsia"/>
                      <w:snapToGrid w:val="0"/>
                      <w:szCs w:val="21"/>
                      <w:highlight w:val="none"/>
                      <w:lang w:val="en-US" w:eastAsia="zh-CN"/>
                    </w:rPr>
                    <w:t>7</w:t>
                  </w:r>
                </w:p>
              </w:tc>
              <w:tc>
                <w:tcPr>
                  <w:tcW w:w="2612" w:type="dxa"/>
                  <w:tcBorders>
                    <w:tl2br w:val="nil"/>
                    <w:tr2bl w:val="nil"/>
                  </w:tcBorders>
                  <w:noWrap w:val="0"/>
                  <w:vAlign w:val="center"/>
                </w:tcPr>
                <w:p w14:paraId="4750E622">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十六烷值改性剂</w:t>
                  </w:r>
                </w:p>
              </w:tc>
              <w:tc>
                <w:tcPr>
                  <w:tcW w:w="2240" w:type="dxa"/>
                  <w:tcBorders>
                    <w:tl2br w:val="nil"/>
                    <w:tr2bl w:val="nil"/>
                  </w:tcBorders>
                  <w:noWrap w:val="0"/>
                  <w:vAlign w:val="center"/>
                </w:tcPr>
                <w:p w14:paraId="58A6042A">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19.27</w:t>
                  </w:r>
                </w:p>
              </w:tc>
              <w:tc>
                <w:tcPr>
                  <w:tcW w:w="2066" w:type="dxa"/>
                  <w:tcBorders>
                    <w:right w:val="single" w:color="auto" w:sz="4" w:space="0"/>
                    <w:tl2br w:val="nil"/>
                    <w:tr2bl w:val="nil"/>
                  </w:tcBorders>
                  <w:noWrap w:val="0"/>
                  <w:vAlign w:val="center"/>
                </w:tcPr>
                <w:p w14:paraId="64292DCD">
                  <w:pPr>
                    <w:jc w:val="center"/>
                    <w:rPr>
                      <w:rFonts w:hint="eastAsia" w:eastAsia="宋体" w:cs="宋体"/>
                      <w:lang w:val="en-US" w:eastAsia="zh-CN"/>
                    </w:rPr>
                  </w:pPr>
                  <w:r>
                    <w:rPr>
                      <w:rFonts w:hint="eastAsia"/>
                      <w:snapToGrid w:val="0"/>
                      <w:szCs w:val="21"/>
                      <w:highlight w:val="none"/>
                      <w:lang w:val="en-US" w:eastAsia="zh-CN"/>
                    </w:rPr>
                    <w:t>/</w:t>
                  </w:r>
                </w:p>
              </w:tc>
            </w:tr>
            <w:tr w14:paraId="78FB0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905F309">
                  <w:pPr>
                    <w:jc w:val="center"/>
                    <w:rPr>
                      <w:rFonts w:hint="eastAsia" w:eastAsia="宋体"/>
                      <w:snapToGrid w:val="0"/>
                      <w:szCs w:val="21"/>
                      <w:highlight w:val="none"/>
                      <w:lang w:val="en-US" w:eastAsia="zh-CN"/>
                    </w:rPr>
                  </w:pPr>
                  <w:r>
                    <w:rPr>
                      <w:rFonts w:hint="eastAsia"/>
                      <w:snapToGrid w:val="0"/>
                      <w:szCs w:val="21"/>
                      <w:highlight w:val="none"/>
                      <w:lang w:val="en-US" w:eastAsia="zh-CN"/>
                    </w:rPr>
                    <w:t>8</w:t>
                  </w:r>
                </w:p>
              </w:tc>
              <w:tc>
                <w:tcPr>
                  <w:tcW w:w="2612" w:type="dxa"/>
                  <w:tcBorders>
                    <w:tl2br w:val="nil"/>
                    <w:tr2bl w:val="nil"/>
                  </w:tcBorders>
                  <w:noWrap w:val="0"/>
                  <w:vAlign w:val="center"/>
                </w:tcPr>
                <w:p w14:paraId="6B669CE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85#蜡</w:t>
                  </w:r>
                </w:p>
              </w:tc>
              <w:tc>
                <w:tcPr>
                  <w:tcW w:w="2240" w:type="dxa"/>
                  <w:tcBorders>
                    <w:tl2br w:val="nil"/>
                    <w:tr2bl w:val="nil"/>
                  </w:tcBorders>
                  <w:noWrap w:val="0"/>
                  <w:vAlign w:val="center"/>
                </w:tcPr>
                <w:p w14:paraId="2E823A4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6.36</w:t>
                  </w:r>
                </w:p>
              </w:tc>
              <w:tc>
                <w:tcPr>
                  <w:tcW w:w="2066" w:type="dxa"/>
                  <w:tcBorders>
                    <w:right w:val="single" w:color="auto" w:sz="4" w:space="0"/>
                    <w:tl2br w:val="nil"/>
                    <w:tr2bl w:val="nil"/>
                  </w:tcBorders>
                  <w:noWrap w:val="0"/>
                  <w:vAlign w:val="center"/>
                </w:tcPr>
                <w:p w14:paraId="2312B458">
                  <w:pPr>
                    <w:jc w:val="center"/>
                    <w:rPr>
                      <w:rFonts w:hint="eastAsia" w:eastAsia="宋体" w:cs="宋体"/>
                      <w:lang w:val="en-US" w:eastAsia="zh-CN"/>
                    </w:rPr>
                  </w:pPr>
                  <w:r>
                    <w:rPr>
                      <w:rFonts w:hint="eastAsia"/>
                      <w:snapToGrid w:val="0"/>
                      <w:szCs w:val="21"/>
                      <w:highlight w:val="none"/>
                      <w:lang w:val="en-US" w:eastAsia="zh-CN"/>
                    </w:rPr>
                    <w:t>/</w:t>
                  </w:r>
                </w:p>
              </w:tc>
            </w:tr>
            <w:tr w14:paraId="37567A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682D5B7F">
                  <w:pPr>
                    <w:jc w:val="center"/>
                    <w:rPr>
                      <w:rFonts w:hint="eastAsia" w:eastAsia="宋体"/>
                      <w:snapToGrid w:val="0"/>
                      <w:szCs w:val="21"/>
                      <w:highlight w:val="none"/>
                      <w:lang w:val="en-US" w:eastAsia="zh-CN"/>
                    </w:rPr>
                  </w:pPr>
                  <w:r>
                    <w:rPr>
                      <w:rFonts w:hint="eastAsia"/>
                      <w:snapToGrid w:val="0"/>
                      <w:szCs w:val="21"/>
                      <w:highlight w:val="none"/>
                      <w:lang w:val="en-US" w:eastAsia="zh-CN"/>
                    </w:rPr>
                    <w:t>9</w:t>
                  </w:r>
                </w:p>
              </w:tc>
              <w:tc>
                <w:tcPr>
                  <w:tcW w:w="2612" w:type="dxa"/>
                  <w:tcBorders>
                    <w:tl2br w:val="nil"/>
                    <w:tr2bl w:val="nil"/>
                  </w:tcBorders>
                  <w:noWrap w:val="0"/>
                  <w:vAlign w:val="center"/>
                </w:tcPr>
                <w:p w14:paraId="209AEF0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90#蜡</w:t>
                  </w:r>
                </w:p>
              </w:tc>
              <w:tc>
                <w:tcPr>
                  <w:tcW w:w="2240" w:type="dxa"/>
                  <w:tcBorders>
                    <w:tl2br w:val="nil"/>
                    <w:tr2bl w:val="nil"/>
                  </w:tcBorders>
                  <w:noWrap w:val="0"/>
                  <w:vAlign w:val="center"/>
                </w:tcPr>
                <w:p w14:paraId="053E817D">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5.09</w:t>
                  </w:r>
                </w:p>
              </w:tc>
              <w:tc>
                <w:tcPr>
                  <w:tcW w:w="2066" w:type="dxa"/>
                  <w:tcBorders>
                    <w:right w:val="single" w:color="auto" w:sz="4" w:space="0"/>
                    <w:tl2br w:val="nil"/>
                    <w:tr2bl w:val="nil"/>
                  </w:tcBorders>
                  <w:noWrap w:val="0"/>
                  <w:vAlign w:val="center"/>
                </w:tcPr>
                <w:p w14:paraId="081E37DE">
                  <w:pPr>
                    <w:jc w:val="center"/>
                    <w:rPr>
                      <w:rFonts w:hint="eastAsia" w:eastAsia="宋体" w:cs="宋体"/>
                      <w:lang w:val="en-US" w:eastAsia="zh-CN"/>
                    </w:rPr>
                  </w:pPr>
                  <w:r>
                    <w:rPr>
                      <w:rFonts w:hint="eastAsia"/>
                      <w:snapToGrid w:val="0"/>
                      <w:szCs w:val="21"/>
                      <w:highlight w:val="none"/>
                      <w:lang w:val="en-US" w:eastAsia="zh-CN"/>
                    </w:rPr>
                    <w:t>/</w:t>
                  </w:r>
                </w:p>
              </w:tc>
            </w:tr>
            <w:tr w14:paraId="2D0620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4A936E2">
                  <w:pPr>
                    <w:jc w:val="center"/>
                    <w:rPr>
                      <w:rFonts w:hint="default" w:eastAsia="宋体"/>
                      <w:snapToGrid w:val="0"/>
                      <w:szCs w:val="21"/>
                      <w:highlight w:val="none"/>
                      <w:lang w:val="en-US" w:eastAsia="zh-CN"/>
                    </w:rPr>
                  </w:pPr>
                  <w:r>
                    <w:rPr>
                      <w:rFonts w:hint="eastAsia"/>
                      <w:snapToGrid w:val="0"/>
                      <w:szCs w:val="21"/>
                      <w:highlight w:val="none"/>
                      <w:lang w:val="en-US" w:eastAsia="zh-CN"/>
                    </w:rPr>
                    <w:t>10</w:t>
                  </w:r>
                </w:p>
              </w:tc>
              <w:tc>
                <w:tcPr>
                  <w:tcW w:w="2612" w:type="dxa"/>
                  <w:tcBorders>
                    <w:tl2br w:val="nil"/>
                    <w:tr2bl w:val="nil"/>
                  </w:tcBorders>
                  <w:noWrap w:val="0"/>
                  <w:vAlign w:val="center"/>
                </w:tcPr>
                <w:p w14:paraId="5AED8F14">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110#蜡</w:t>
                  </w:r>
                </w:p>
              </w:tc>
              <w:tc>
                <w:tcPr>
                  <w:tcW w:w="2240" w:type="dxa"/>
                  <w:tcBorders>
                    <w:tl2br w:val="nil"/>
                    <w:tr2bl w:val="nil"/>
                  </w:tcBorders>
                  <w:noWrap w:val="0"/>
                  <w:vAlign w:val="center"/>
                </w:tcPr>
                <w:p w14:paraId="4D038F69">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2.55</w:t>
                  </w:r>
                </w:p>
              </w:tc>
              <w:tc>
                <w:tcPr>
                  <w:tcW w:w="2066" w:type="dxa"/>
                  <w:tcBorders>
                    <w:right w:val="single" w:color="auto" w:sz="4" w:space="0"/>
                    <w:tl2br w:val="nil"/>
                    <w:tr2bl w:val="nil"/>
                  </w:tcBorders>
                  <w:noWrap w:val="0"/>
                  <w:vAlign w:val="center"/>
                </w:tcPr>
                <w:p w14:paraId="2E2F483D">
                  <w:pPr>
                    <w:jc w:val="center"/>
                    <w:rPr>
                      <w:rFonts w:hint="eastAsia" w:eastAsia="宋体" w:cs="宋体"/>
                      <w:lang w:val="en-US" w:eastAsia="zh-CN"/>
                    </w:rPr>
                  </w:pPr>
                  <w:r>
                    <w:rPr>
                      <w:rFonts w:hint="eastAsia"/>
                      <w:snapToGrid w:val="0"/>
                      <w:szCs w:val="21"/>
                      <w:highlight w:val="none"/>
                      <w:lang w:val="en-US" w:eastAsia="zh-CN"/>
                    </w:rPr>
                    <w:t>/</w:t>
                  </w:r>
                </w:p>
              </w:tc>
            </w:tr>
            <w:tr w14:paraId="1E5E87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FFF1DC4">
                  <w:pPr>
                    <w:jc w:val="center"/>
                    <w:rPr>
                      <w:rFonts w:hint="default" w:eastAsia="宋体"/>
                      <w:snapToGrid w:val="0"/>
                      <w:szCs w:val="21"/>
                      <w:highlight w:val="none"/>
                      <w:lang w:val="en-US" w:eastAsia="zh-CN"/>
                    </w:rPr>
                  </w:pPr>
                  <w:r>
                    <w:rPr>
                      <w:rFonts w:hint="eastAsia"/>
                      <w:snapToGrid w:val="0"/>
                      <w:szCs w:val="21"/>
                      <w:highlight w:val="none"/>
                      <w:lang w:val="en-US" w:eastAsia="zh-CN"/>
                    </w:rPr>
                    <w:t>11</w:t>
                  </w:r>
                </w:p>
              </w:tc>
              <w:tc>
                <w:tcPr>
                  <w:tcW w:w="2612" w:type="dxa"/>
                  <w:tcBorders>
                    <w:tl2br w:val="nil"/>
                    <w:tr2bl w:val="nil"/>
                  </w:tcBorders>
                  <w:noWrap w:val="0"/>
                  <w:vAlign w:val="center"/>
                </w:tcPr>
                <w:p w14:paraId="6A89CA5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轻润滑油基础油</w:t>
                  </w:r>
                </w:p>
              </w:tc>
              <w:tc>
                <w:tcPr>
                  <w:tcW w:w="2240" w:type="dxa"/>
                  <w:tcBorders>
                    <w:tl2br w:val="nil"/>
                    <w:tr2bl w:val="nil"/>
                  </w:tcBorders>
                  <w:noWrap w:val="0"/>
                  <w:vAlign w:val="center"/>
                </w:tcPr>
                <w:p w14:paraId="57C7B00F">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16.82</w:t>
                  </w:r>
                </w:p>
              </w:tc>
              <w:tc>
                <w:tcPr>
                  <w:tcW w:w="2066" w:type="dxa"/>
                  <w:tcBorders>
                    <w:right w:val="single" w:color="auto" w:sz="4" w:space="0"/>
                    <w:tl2br w:val="nil"/>
                    <w:tr2bl w:val="nil"/>
                  </w:tcBorders>
                  <w:noWrap w:val="0"/>
                  <w:vAlign w:val="center"/>
                </w:tcPr>
                <w:p w14:paraId="2F10389D">
                  <w:pPr>
                    <w:jc w:val="center"/>
                    <w:rPr>
                      <w:rFonts w:hint="eastAsia" w:eastAsia="宋体" w:cs="宋体"/>
                      <w:lang w:val="en-US" w:eastAsia="zh-CN"/>
                    </w:rPr>
                  </w:pPr>
                  <w:r>
                    <w:rPr>
                      <w:rFonts w:hint="eastAsia"/>
                      <w:snapToGrid w:val="0"/>
                      <w:szCs w:val="21"/>
                      <w:highlight w:val="none"/>
                      <w:lang w:val="en-US" w:eastAsia="zh-CN"/>
                    </w:rPr>
                    <w:t>/</w:t>
                  </w:r>
                </w:p>
              </w:tc>
            </w:tr>
            <w:tr w14:paraId="14BEC3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0FE88EBB">
                  <w:pPr>
                    <w:jc w:val="center"/>
                    <w:rPr>
                      <w:rFonts w:hint="default" w:eastAsia="宋体"/>
                      <w:snapToGrid w:val="0"/>
                      <w:szCs w:val="21"/>
                      <w:highlight w:val="none"/>
                      <w:lang w:val="en-US" w:eastAsia="zh-CN"/>
                    </w:rPr>
                  </w:pPr>
                  <w:r>
                    <w:rPr>
                      <w:rFonts w:hint="eastAsia"/>
                      <w:snapToGrid w:val="0"/>
                      <w:szCs w:val="21"/>
                      <w:highlight w:val="none"/>
                      <w:lang w:val="en-US" w:eastAsia="zh-CN"/>
                    </w:rPr>
                    <w:t>12</w:t>
                  </w:r>
                </w:p>
              </w:tc>
              <w:tc>
                <w:tcPr>
                  <w:tcW w:w="2612" w:type="dxa"/>
                  <w:tcBorders>
                    <w:tl2br w:val="nil"/>
                    <w:tr2bl w:val="nil"/>
                  </w:tcBorders>
                  <w:noWrap w:val="0"/>
                  <w:vAlign w:val="center"/>
                </w:tcPr>
                <w:p w14:paraId="4BEEE3C5">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中润滑油基础油</w:t>
                  </w:r>
                </w:p>
              </w:tc>
              <w:tc>
                <w:tcPr>
                  <w:tcW w:w="2240" w:type="dxa"/>
                  <w:tcBorders>
                    <w:tl2br w:val="nil"/>
                    <w:tr2bl w:val="nil"/>
                  </w:tcBorders>
                  <w:noWrap w:val="0"/>
                  <w:vAlign w:val="center"/>
                </w:tcPr>
                <w:p w14:paraId="0D9C448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14.09</w:t>
                  </w:r>
                </w:p>
              </w:tc>
              <w:tc>
                <w:tcPr>
                  <w:tcW w:w="2066" w:type="dxa"/>
                  <w:tcBorders>
                    <w:right w:val="single" w:color="auto" w:sz="4" w:space="0"/>
                    <w:tl2br w:val="nil"/>
                    <w:tr2bl w:val="nil"/>
                  </w:tcBorders>
                  <w:noWrap w:val="0"/>
                  <w:vAlign w:val="center"/>
                </w:tcPr>
                <w:p w14:paraId="36D92CFA">
                  <w:pPr>
                    <w:jc w:val="center"/>
                    <w:rPr>
                      <w:rFonts w:hint="eastAsia" w:eastAsia="宋体" w:cs="宋体"/>
                      <w:lang w:val="en-US" w:eastAsia="zh-CN"/>
                    </w:rPr>
                  </w:pPr>
                  <w:r>
                    <w:rPr>
                      <w:rFonts w:hint="eastAsia"/>
                      <w:snapToGrid w:val="0"/>
                      <w:szCs w:val="21"/>
                      <w:highlight w:val="none"/>
                      <w:lang w:val="en-US" w:eastAsia="zh-CN"/>
                    </w:rPr>
                    <w:t>/</w:t>
                  </w:r>
                </w:p>
              </w:tc>
            </w:tr>
            <w:tr w14:paraId="7A50B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404E6F6">
                  <w:pPr>
                    <w:jc w:val="center"/>
                    <w:rPr>
                      <w:rFonts w:hint="default" w:eastAsia="宋体"/>
                      <w:snapToGrid w:val="0"/>
                      <w:szCs w:val="21"/>
                      <w:highlight w:val="none"/>
                      <w:lang w:val="en-US" w:eastAsia="zh-CN"/>
                    </w:rPr>
                  </w:pPr>
                  <w:r>
                    <w:rPr>
                      <w:rFonts w:hint="eastAsia"/>
                      <w:snapToGrid w:val="0"/>
                      <w:szCs w:val="21"/>
                      <w:highlight w:val="none"/>
                      <w:lang w:val="en-US" w:eastAsia="zh-CN"/>
                    </w:rPr>
                    <w:t>13</w:t>
                  </w:r>
                </w:p>
              </w:tc>
              <w:tc>
                <w:tcPr>
                  <w:tcW w:w="2612" w:type="dxa"/>
                  <w:tcBorders>
                    <w:tl2br w:val="nil"/>
                    <w:tr2bl w:val="nil"/>
                  </w:tcBorders>
                  <w:noWrap w:val="0"/>
                  <w:vAlign w:val="center"/>
                </w:tcPr>
                <w:p w14:paraId="3ADDF086">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重润滑油基础油</w:t>
                  </w:r>
                </w:p>
              </w:tc>
              <w:tc>
                <w:tcPr>
                  <w:tcW w:w="2240" w:type="dxa"/>
                  <w:tcBorders>
                    <w:tl2br w:val="nil"/>
                    <w:tr2bl w:val="nil"/>
                  </w:tcBorders>
                  <w:noWrap w:val="0"/>
                  <w:vAlign w:val="center"/>
                </w:tcPr>
                <w:p w14:paraId="5DDC63A4">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19.90</w:t>
                  </w:r>
                </w:p>
              </w:tc>
              <w:tc>
                <w:tcPr>
                  <w:tcW w:w="2066" w:type="dxa"/>
                  <w:tcBorders>
                    <w:right w:val="single" w:color="auto" w:sz="4" w:space="0"/>
                    <w:tl2br w:val="nil"/>
                    <w:tr2bl w:val="nil"/>
                  </w:tcBorders>
                  <w:noWrap w:val="0"/>
                  <w:vAlign w:val="center"/>
                </w:tcPr>
                <w:p w14:paraId="279C1B82">
                  <w:pPr>
                    <w:jc w:val="center"/>
                    <w:rPr>
                      <w:rFonts w:hint="eastAsia" w:eastAsia="宋体" w:cs="宋体"/>
                      <w:lang w:val="en-US" w:eastAsia="zh-CN"/>
                    </w:rPr>
                  </w:pPr>
                  <w:r>
                    <w:rPr>
                      <w:rFonts w:hint="eastAsia"/>
                      <w:snapToGrid w:val="0"/>
                      <w:szCs w:val="21"/>
                      <w:highlight w:val="none"/>
                      <w:lang w:val="en-US" w:eastAsia="zh-CN"/>
                    </w:rPr>
                    <w:t>/</w:t>
                  </w:r>
                </w:p>
              </w:tc>
            </w:tr>
            <w:tr w14:paraId="5B6F4A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1F11C02D">
                  <w:pPr>
                    <w:jc w:val="center"/>
                    <w:rPr>
                      <w:rFonts w:hint="default" w:eastAsia="宋体"/>
                      <w:snapToGrid w:val="0"/>
                      <w:szCs w:val="21"/>
                      <w:highlight w:val="none"/>
                      <w:lang w:val="en-US" w:eastAsia="zh-CN"/>
                    </w:rPr>
                  </w:pPr>
                  <w:r>
                    <w:rPr>
                      <w:rFonts w:hint="eastAsia"/>
                      <w:snapToGrid w:val="0"/>
                      <w:szCs w:val="21"/>
                      <w:highlight w:val="none"/>
                      <w:lang w:val="en-US" w:eastAsia="zh-CN"/>
                    </w:rPr>
                    <w:t>14</w:t>
                  </w:r>
                </w:p>
              </w:tc>
              <w:tc>
                <w:tcPr>
                  <w:tcW w:w="2612" w:type="dxa"/>
                  <w:tcBorders>
                    <w:tl2br w:val="nil"/>
                    <w:tr2bl w:val="nil"/>
                  </w:tcBorders>
                  <w:noWrap w:val="0"/>
                  <w:vAlign w:val="center"/>
                </w:tcPr>
                <w:p w14:paraId="33074157">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异丙醇</w:t>
                  </w:r>
                </w:p>
              </w:tc>
              <w:tc>
                <w:tcPr>
                  <w:tcW w:w="2240" w:type="dxa"/>
                  <w:tcBorders>
                    <w:tl2br w:val="nil"/>
                    <w:tr2bl w:val="nil"/>
                  </w:tcBorders>
                  <w:noWrap w:val="0"/>
                  <w:vAlign w:val="center"/>
                </w:tcPr>
                <w:p w14:paraId="14920652">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2.42</w:t>
                  </w:r>
                </w:p>
              </w:tc>
              <w:tc>
                <w:tcPr>
                  <w:tcW w:w="2066" w:type="dxa"/>
                  <w:tcBorders>
                    <w:right w:val="single" w:color="auto" w:sz="4" w:space="0"/>
                    <w:tl2br w:val="nil"/>
                    <w:tr2bl w:val="nil"/>
                  </w:tcBorders>
                  <w:noWrap w:val="0"/>
                  <w:vAlign w:val="center"/>
                </w:tcPr>
                <w:p w14:paraId="2DC3F5C7">
                  <w:pPr>
                    <w:jc w:val="center"/>
                    <w:rPr>
                      <w:rFonts w:hint="eastAsia" w:eastAsia="宋体" w:cs="宋体"/>
                      <w:lang w:val="en-US" w:eastAsia="zh-CN"/>
                    </w:rPr>
                  </w:pPr>
                  <w:r>
                    <w:rPr>
                      <w:rFonts w:hint="eastAsia"/>
                      <w:snapToGrid w:val="0"/>
                      <w:szCs w:val="21"/>
                      <w:highlight w:val="none"/>
                      <w:lang w:val="en-US" w:eastAsia="zh-CN"/>
                    </w:rPr>
                    <w:t>/</w:t>
                  </w:r>
                </w:p>
              </w:tc>
            </w:tr>
            <w:tr w14:paraId="6E454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637D5B0">
                  <w:pPr>
                    <w:jc w:val="center"/>
                    <w:rPr>
                      <w:rFonts w:hint="default" w:eastAsia="宋体"/>
                      <w:snapToGrid w:val="0"/>
                      <w:szCs w:val="21"/>
                      <w:highlight w:val="none"/>
                      <w:lang w:val="en-US" w:eastAsia="zh-CN"/>
                    </w:rPr>
                  </w:pPr>
                  <w:r>
                    <w:rPr>
                      <w:rFonts w:hint="eastAsia"/>
                      <w:snapToGrid w:val="0"/>
                      <w:szCs w:val="21"/>
                      <w:highlight w:val="none"/>
                      <w:lang w:val="en-US" w:eastAsia="zh-CN"/>
                    </w:rPr>
                    <w:t>15</w:t>
                  </w:r>
                </w:p>
              </w:tc>
              <w:tc>
                <w:tcPr>
                  <w:tcW w:w="2612" w:type="dxa"/>
                  <w:tcBorders>
                    <w:tl2br w:val="nil"/>
                    <w:tr2bl w:val="nil"/>
                  </w:tcBorders>
                  <w:noWrap w:val="0"/>
                  <w:vAlign w:val="center"/>
                </w:tcPr>
                <w:p w14:paraId="15CD89E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丙烷</w:t>
                  </w:r>
                </w:p>
              </w:tc>
              <w:tc>
                <w:tcPr>
                  <w:tcW w:w="2240" w:type="dxa"/>
                  <w:tcBorders>
                    <w:tl2br w:val="nil"/>
                    <w:tr2bl w:val="nil"/>
                  </w:tcBorders>
                  <w:noWrap w:val="0"/>
                  <w:vAlign w:val="center"/>
                </w:tcPr>
                <w:p w14:paraId="3D6CC270">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0.49</w:t>
                  </w:r>
                </w:p>
              </w:tc>
              <w:tc>
                <w:tcPr>
                  <w:tcW w:w="2066" w:type="dxa"/>
                  <w:tcBorders>
                    <w:right w:val="single" w:color="auto" w:sz="4" w:space="0"/>
                    <w:tl2br w:val="nil"/>
                    <w:tr2bl w:val="nil"/>
                  </w:tcBorders>
                  <w:noWrap w:val="0"/>
                  <w:vAlign w:val="center"/>
                </w:tcPr>
                <w:p w14:paraId="6D7E7161">
                  <w:pPr>
                    <w:jc w:val="center"/>
                    <w:rPr>
                      <w:rFonts w:hint="eastAsia" w:eastAsia="宋体" w:cs="宋体"/>
                      <w:lang w:val="en-US" w:eastAsia="zh-CN"/>
                    </w:rPr>
                  </w:pPr>
                  <w:r>
                    <w:rPr>
                      <w:rFonts w:hint="eastAsia"/>
                      <w:snapToGrid w:val="0"/>
                      <w:szCs w:val="21"/>
                      <w:highlight w:val="none"/>
                      <w:lang w:val="en-US" w:eastAsia="zh-CN"/>
                    </w:rPr>
                    <w:t>/</w:t>
                  </w:r>
                </w:p>
              </w:tc>
            </w:tr>
            <w:tr w14:paraId="4530E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403D7F3">
                  <w:pPr>
                    <w:jc w:val="center"/>
                    <w:rPr>
                      <w:rFonts w:hint="default" w:eastAsia="宋体"/>
                      <w:snapToGrid w:val="0"/>
                      <w:szCs w:val="21"/>
                      <w:highlight w:val="none"/>
                      <w:lang w:val="en-US" w:eastAsia="zh-CN"/>
                    </w:rPr>
                  </w:pPr>
                  <w:r>
                    <w:rPr>
                      <w:rFonts w:hint="eastAsia"/>
                      <w:snapToGrid w:val="0"/>
                      <w:szCs w:val="21"/>
                      <w:highlight w:val="none"/>
                      <w:lang w:val="en-US" w:eastAsia="zh-CN"/>
                    </w:rPr>
                    <w:t>16</w:t>
                  </w:r>
                </w:p>
              </w:tc>
              <w:tc>
                <w:tcPr>
                  <w:tcW w:w="2612" w:type="dxa"/>
                  <w:tcBorders>
                    <w:tl2br w:val="nil"/>
                    <w:tr2bl w:val="nil"/>
                  </w:tcBorders>
                  <w:noWrap w:val="0"/>
                  <w:vAlign w:val="center"/>
                </w:tcPr>
                <w:p w14:paraId="7A3DE8E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LPG</w:t>
                  </w:r>
                </w:p>
              </w:tc>
              <w:tc>
                <w:tcPr>
                  <w:tcW w:w="2240" w:type="dxa"/>
                  <w:tcBorders>
                    <w:tl2br w:val="nil"/>
                    <w:tr2bl w:val="nil"/>
                  </w:tcBorders>
                  <w:noWrap w:val="0"/>
                  <w:vAlign w:val="center"/>
                </w:tcPr>
                <w:p w14:paraId="5D91869F">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8.23</w:t>
                  </w:r>
                </w:p>
              </w:tc>
              <w:tc>
                <w:tcPr>
                  <w:tcW w:w="2066" w:type="dxa"/>
                  <w:tcBorders>
                    <w:right w:val="single" w:color="auto" w:sz="4" w:space="0"/>
                    <w:tl2br w:val="nil"/>
                    <w:tr2bl w:val="nil"/>
                  </w:tcBorders>
                  <w:noWrap w:val="0"/>
                  <w:vAlign w:val="center"/>
                </w:tcPr>
                <w:p w14:paraId="69DCC325">
                  <w:pPr>
                    <w:jc w:val="center"/>
                    <w:rPr>
                      <w:rFonts w:hint="eastAsia" w:eastAsia="宋体" w:cs="宋体"/>
                      <w:lang w:val="en-US" w:eastAsia="zh-CN"/>
                    </w:rPr>
                  </w:pPr>
                  <w:r>
                    <w:rPr>
                      <w:rFonts w:hint="eastAsia"/>
                      <w:snapToGrid w:val="0"/>
                      <w:szCs w:val="21"/>
                      <w:highlight w:val="none"/>
                      <w:lang w:val="en-US" w:eastAsia="zh-CN"/>
                    </w:rPr>
                    <w:t>/</w:t>
                  </w:r>
                </w:p>
              </w:tc>
            </w:tr>
            <w:tr w14:paraId="0FD23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56C898DF">
                  <w:pPr>
                    <w:jc w:val="center"/>
                    <w:rPr>
                      <w:rFonts w:hint="default" w:eastAsia="宋体"/>
                      <w:snapToGrid w:val="0"/>
                      <w:szCs w:val="21"/>
                      <w:highlight w:val="none"/>
                      <w:lang w:val="en-US" w:eastAsia="zh-CN"/>
                    </w:rPr>
                  </w:pPr>
                  <w:r>
                    <w:rPr>
                      <w:rFonts w:hint="eastAsia"/>
                      <w:snapToGrid w:val="0"/>
                      <w:szCs w:val="21"/>
                      <w:highlight w:val="none"/>
                      <w:lang w:val="en-US" w:eastAsia="zh-CN"/>
                    </w:rPr>
                    <w:t>17</w:t>
                  </w:r>
                </w:p>
              </w:tc>
              <w:tc>
                <w:tcPr>
                  <w:tcW w:w="2612" w:type="dxa"/>
                  <w:tcBorders>
                    <w:tl2br w:val="nil"/>
                    <w:tr2bl w:val="nil"/>
                  </w:tcBorders>
                  <w:noWrap w:val="0"/>
                  <w:vAlign w:val="center"/>
                </w:tcPr>
                <w:p w14:paraId="4AEDF6D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硫磺</w:t>
                  </w:r>
                </w:p>
              </w:tc>
              <w:tc>
                <w:tcPr>
                  <w:tcW w:w="2240" w:type="dxa"/>
                  <w:tcBorders>
                    <w:tl2br w:val="nil"/>
                    <w:tr2bl w:val="nil"/>
                  </w:tcBorders>
                  <w:noWrap w:val="0"/>
                  <w:vAlign w:val="center"/>
                </w:tcPr>
                <w:p w14:paraId="52ACBF21">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3.70</w:t>
                  </w:r>
                </w:p>
              </w:tc>
              <w:tc>
                <w:tcPr>
                  <w:tcW w:w="2066" w:type="dxa"/>
                  <w:tcBorders>
                    <w:right w:val="single" w:color="auto" w:sz="4" w:space="0"/>
                    <w:tl2br w:val="nil"/>
                    <w:tr2bl w:val="nil"/>
                  </w:tcBorders>
                  <w:noWrap w:val="0"/>
                  <w:vAlign w:val="center"/>
                </w:tcPr>
                <w:p w14:paraId="08FD2972">
                  <w:pPr>
                    <w:jc w:val="center"/>
                    <w:rPr>
                      <w:rFonts w:hint="eastAsia" w:eastAsia="宋体" w:cs="宋体"/>
                      <w:lang w:val="en-US" w:eastAsia="zh-CN"/>
                    </w:rPr>
                  </w:pPr>
                  <w:r>
                    <w:rPr>
                      <w:rFonts w:hint="eastAsia"/>
                      <w:snapToGrid w:val="0"/>
                      <w:szCs w:val="21"/>
                      <w:highlight w:val="none"/>
                      <w:lang w:val="en-US" w:eastAsia="zh-CN"/>
                    </w:rPr>
                    <w:t>/</w:t>
                  </w:r>
                </w:p>
              </w:tc>
            </w:tr>
            <w:tr w14:paraId="76299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39873898">
                  <w:pPr>
                    <w:jc w:val="center"/>
                    <w:rPr>
                      <w:rFonts w:hint="default" w:eastAsia="宋体"/>
                      <w:snapToGrid w:val="0"/>
                      <w:szCs w:val="21"/>
                      <w:highlight w:val="none"/>
                      <w:lang w:val="en-US" w:eastAsia="zh-CN"/>
                    </w:rPr>
                  </w:pPr>
                  <w:r>
                    <w:rPr>
                      <w:rFonts w:hint="eastAsia"/>
                      <w:snapToGrid w:val="0"/>
                      <w:szCs w:val="21"/>
                      <w:highlight w:val="none"/>
                      <w:lang w:val="en-US" w:eastAsia="zh-CN"/>
                    </w:rPr>
                    <w:t>18</w:t>
                  </w:r>
                </w:p>
              </w:tc>
              <w:tc>
                <w:tcPr>
                  <w:tcW w:w="2612" w:type="dxa"/>
                  <w:tcBorders>
                    <w:tl2br w:val="nil"/>
                    <w:tr2bl w:val="nil"/>
                  </w:tcBorders>
                  <w:noWrap w:val="0"/>
                  <w:vAlign w:val="center"/>
                </w:tcPr>
                <w:p w14:paraId="1BD1E2B3">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硫酸铵</w:t>
                  </w:r>
                </w:p>
              </w:tc>
              <w:tc>
                <w:tcPr>
                  <w:tcW w:w="2240" w:type="dxa"/>
                  <w:tcBorders>
                    <w:tl2br w:val="nil"/>
                    <w:tr2bl w:val="nil"/>
                  </w:tcBorders>
                  <w:noWrap w:val="0"/>
                  <w:vAlign w:val="center"/>
                </w:tcPr>
                <w:p w14:paraId="2364487E">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5.11</w:t>
                  </w:r>
                </w:p>
              </w:tc>
              <w:tc>
                <w:tcPr>
                  <w:tcW w:w="2066" w:type="dxa"/>
                  <w:tcBorders>
                    <w:right w:val="single" w:color="auto" w:sz="4" w:space="0"/>
                    <w:tl2br w:val="nil"/>
                    <w:tr2bl w:val="nil"/>
                  </w:tcBorders>
                  <w:noWrap w:val="0"/>
                  <w:vAlign w:val="center"/>
                </w:tcPr>
                <w:p w14:paraId="60E19536">
                  <w:pPr>
                    <w:jc w:val="center"/>
                    <w:rPr>
                      <w:rFonts w:hint="eastAsia" w:eastAsia="宋体" w:cs="宋体"/>
                      <w:lang w:val="en-US" w:eastAsia="zh-CN"/>
                    </w:rPr>
                  </w:pPr>
                  <w:r>
                    <w:rPr>
                      <w:rFonts w:hint="eastAsia"/>
                      <w:snapToGrid w:val="0"/>
                      <w:szCs w:val="21"/>
                      <w:highlight w:val="none"/>
                      <w:lang w:val="en-US" w:eastAsia="zh-CN"/>
                    </w:rPr>
                    <w:t>/</w:t>
                  </w:r>
                </w:p>
              </w:tc>
            </w:tr>
            <w:tr w14:paraId="10656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tl2br w:val="nil"/>
                    <w:tr2bl w:val="nil"/>
                  </w:tcBorders>
                  <w:noWrap w:val="0"/>
                  <w:vAlign w:val="center"/>
                </w:tcPr>
                <w:p w14:paraId="4F5B9AF1">
                  <w:pPr>
                    <w:jc w:val="center"/>
                    <w:rPr>
                      <w:rFonts w:hint="default" w:eastAsia="宋体"/>
                      <w:snapToGrid w:val="0"/>
                      <w:szCs w:val="21"/>
                      <w:highlight w:val="none"/>
                      <w:lang w:val="en-US" w:eastAsia="zh-CN"/>
                    </w:rPr>
                  </w:pPr>
                  <w:r>
                    <w:rPr>
                      <w:rFonts w:hint="eastAsia"/>
                      <w:snapToGrid w:val="0"/>
                      <w:szCs w:val="21"/>
                      <w:highlight w:val="none"/>
                      <w:lang w:val="en-US" w:eastAsia="zh-CN"/>
                    </w:rPr>
                    <w:t>19</w:t>
                  </w:r>
                </w:p>
              </w:tc>
              <w:tc>
                <w:tcPr>
                  <w:tcW w:w="2612" w:type="dxa"/>
                  <w:tcBorders>
                    <w:tl2br w:val="nil"/>
                    <w:tr2bl w:val="nil"/>
                  </w:tcBorders>
                  <w:noWrap w:val="0"/>
                  <w:vAlign w:val="center"/>
                </w:tcPr>
                <w:p w14:paraId="7D16A8FC">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混醇</w:t>
                  </w:r>
                </w:p>
              </w:tc>
              <w:tc>
                <w:tcPr>
                  <w:tcW w:w="2240" w:type="dxa"/>
                  <w:tcBorders>
                    <w:tl2br w:val="nil"/>
                    <w:tr2bl w:val="nil"/>
                  </w:tcBorders>
                  <w:noWrap w:val="0"/>
                  <w:vAlign w:val="center"/>
                </w:tcPr>
                <w:p w14:paraId="6CB698A7">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2.30</w:t>
                  </w:r>
                </w:p>
              </w:tc>
              <w:tc>
                <w:tcPr>
                  <w:tcW w:w="2066" w:type="dxa"/>
                  <w:tcBorders>
                    <w:right w:val="single" w:color="auto" w:sz="4" w:space="0"/>
                    <w:tl2br w:val="nil"/>
                    <w:tr2bl w:val="nil"/>
                  </w:tcBorders>
                  <w:noWrap w:val="0"/>
                  <w:vAlign w:val="center"/>
                </w:tcPr>
                <w:p w14:paraId="187900AD">
                  <w:pPr>
                    <w:jc w:val="center"/>
                    <w:rPr>
                      <w:rFonts w:hint="eastAsia" w:eastAsia="宋体" w:cs="宋体"/>
                      <w:lang w:val="en-US" w:eastAsia="zh-CN"/>
                    </w:rPr>
                  </w:pPr>
                  <w:r>
                    <w:rPr>
                      <w:rFonts w:hint="eastAsia"/>
                      <w:snapToGrid w:val="0"/>
                      <w:szCs w:val="21"/>
                      <w:highlight w:val="none"/>
                      <w:lang w:val="en-US" w:eastAsia="zh-CN"/>
                    </w:rPr>
                    <w:t>/</w:t>
                  </w:r>
                </w:p>
              </w:tc>
            </w:tr>
            <w:tr w14:paraId="0E4851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58" w:type="dxa"/>
                  <w:tcBorders>
                    <w:left w:val="single" w:color="auto" w:sz="4" w:space="0"/>
                    <w:bottom w:val="single" w:color="auto" w:sz="4" w:space="0"/>
                    <w:tl2br w:val="nil"/>
                    <w:tr2bl w:val="nil"/>
                  </w:tcBorders>
                  <w:noWrap w:val="0"/>
                  <w:vAlign w:val="center"/>
                </w:tcPr>
                <w:p w14:paraId="0F037AD2">
                  <w:pPr>
                    <w:jc w:val="center"/>
                    <w:rPr>
                      <w:rFonts w:hint="default" w:eastAsia="宋体"/>
                      <w:snapToGrid w:val="0"/>
                      <w:szCs w:val="21"/>
                      <w:highlight w:val="none"/>
                      <w:lang w:val="en-US" w:eastAsia="zh-CN"/>
                    </w:rPr>
                  </w:pPr>
                  <w:r>
                    <w:rPr>
                      <w:rFonts w:hint="eastAsia"/>
                      <w:snapToGrid w:val="0"/>
                      <w:szCs w:val="21"/>
                      <w:highlight w:val="none"/>
                      <w:lang w:val="en-US" w:eastAsia="zh-CN"/>
                    </w:rPr>
                    <w:t>20</w:t>
                  </w:r>
                </w:p>
              </w:tc>
              <w:tc>
                <w:tcPr>
                  <w:tcW w:w="2612" w:type="dxa"/>
                  <w:tcBorders>
                    <w:bottom w:val="single" w:color="auto" w:sz="4" w:space="0"/>
                    <w:tl2br w:val="nil"/>
                    <w:tr2bl w:val="nil"/>
                  </w:tcBorders>
                  <w:noWrap w:val="0"/>
                  <w:vAlign w:val="center"/>
                </w:tcPr>
                <w:p w14:paraId="6F6C6EAD">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合计</w:t>
                  </w:r>
                </w:p>
              </w:tc>
              <w:tc>
                <w:tcPr>
                  <w:tcW w:w="2240" w:type="dxa"/>
                  <w:tcBorders>
                    <w:bottom w:val="single" w:color="auto" w:sz="4" w:space="0"/>
                    <w:tl2br w:val="nil"/>
                    <w:tr2bl w:val="nil"/>
                  </w:tcBorders>
                  <w:noWrap w:val="0"/>
                  <w:vAlign w:val="center"/>
                </w:tcPr>
                <w:p w14:paraId="40DF5358">
                  <w:pPr>
                    <w:jc w:val="center"/>
                    <w:rPr>
                      <w:rFonts w:hint="default" w:ascii="Times New Roman" w:hAnsi="Times New Roman" w:eastAsia="宋体" w:cs="Times New Roman"/>
                      <w:snapToGrid w:val="0"/>
                      <w:szCs w:val="21"/>
                      <w:highlight w:val="none"/>
                      <w:lang w:val="en-US" w:eastAsia="zh-CN"/>
                    </w:rPr>
                  </w:pPr>
                  <w:r>
                    <w:rPr>
                      <w:rFonts w:hint="eastAsia" w:ascii="Times New Roman" w:hAnsi="Times New Roman" w:eastAsia="宋体" w:cs="Times New Roman"/>
                      <w:snapToGrid w:val="0"/>
                      <w:szCs w:val="21"/>
                      <w:highlight w:val="none"/>
                      <w:lang w:val="en-US" w:eastAsia="zh-CN"/>
                    </w:rPr>
                    <w:t>116.27</w:t>
                  </w:r>
                </w:p>
              </w:tc>
              <w:tc>
                <w:tcPr>
                  <w:tcW w:w="2066" w:type="dxa"/>
                  <w:tcBorders>
                    <w:bottom w:val="single" w:color="auto" w:sz="4" w:space="0"/>
                    <w:right w:val="single" w:color="auto" w:sz="4" w:space="0"/>
                    <w:tl2br w:val="nil"/>
                    <w:tr2bl w:val="nil"/>
                  </w:tcBorders>
                  <w:noWrap w:val="0"/>
                  <w:vAlign w:val="center"/>
                </w:tcPr>
                <w:p w14:paraId="501A50B5">
                  <w:pPr>
                    <w:jc w:val="center"/>
                    <w:rPr>
                      <w:rFonts w:hint="eastAsia" w:eastAsia="宋体" w:cs="宋体"/>
                      <w:lang w:val="en-US" w:eastAsia="zh-CN"/>
                    </w:rPr>
                  </w:pPr>
                  <w:r>
                    <w:rPr>
                      <w:rFonts w:hint="eastAsia"/>
                      <w:snapToGrid w:val="0"/>
                      <w:szCs w:val="21"/>
                      <w:highlight w:val="none"/>
                      <w:lang w:val="en-US" w:eastAsia="zh-CN"/>
                    </w:rPr>
                    <w:t>/</w:t>
                  </w:r>
                </w:p>
              </w:tc>
            </w:tr>
          </w:tbl>
          <w:p w14:paraId="1A492885">
            <w:pPr>
              <w:pStyle w:val="3"/>
              <w:spacing w:before="0" w:beforeAutospacing="0" w:after="0" w:afterAutospacing="0" w:line="360" w:lineRule="auto"/>
              <w:ind w:firstLine="482" w:firstLineChars="200"/>
              <w:rPr>
                <w:rFonts w:ascii="Times New Roman" w:hAnsi="Times New Roman" w:eastAsia="宋体" w:cs="宋体"/>
                <w:sz w:val="24"/>
              </w:rPr>
            </w:pPr>
            <w:r>
              <w:rPr>
                <w:rFonts w:hint="eastAsia" w:ascii="Times New Roman" w:hAnsi="Times New Roman" w:eastAsia="宋体" w:cs="宋体"/>
                <w:sz w:val="24"/>
                <w:lang w:val="en-US" w:eastAsia="zh-CN"/>
              </w:rPr>
              <w:t>三、</w:t>
            </w:r>
            <w:r>
              <w:rPr>
                <w:rFonts w:hint="eastAsia" w:ascii="Times New Roman" w:hAnsi="Times New Roman" w:eastAsia="宋体" w:cs="宋体"/>
                <w:sz w:val="24"/>
              </w:rPr>
              <w:t>现有项目主要污染物排放及采取的环保措施情况</w:t>
            </w:r>
          </w:p>
          <w:p w14:paraId="1C2CF879">
            <w:pPr>
              <w:adjustRightInd w:val="0"/>
              <w:spacing w:line="360" w:lineRule="auto"/>
              <w:ind w:firstLine="480" w:firstLineChars="200"/>
              <w:rPr>
                <w:rFonts w:hint="eastAsia"/>
                <w:sz w:val="24"/>
              </w:rPr>
            </w:pPr>
            <w:r>
              <w:rPr>
                <w:rFonts w:hint="eastAsia"/>
                <w:sz w:val="24"/>
              </w:rPr>
              <w:t>1</w:t>
            </w:r>
            <w:r>
              <w:rPr>
                <w:rFonts w:hint="eastAsia"/>
                <w:sz w:val="24"/>
                <w:lang w:val="en-US" w:eastAsia="zh-CN"/>
              </w:rPr>
              <w:t>.</w:t>
            </w:r>
            <w:r>
              <w:rPr>
                <w:rFonts w:hint="eastAsia"/>
                <w:sz w:val="24"/>
              </w:rPr>
              <w:t>废气</w:t>
            </w:r>
          </w:p>
          <w:p w14:paraId="48606B97">
            <w:pPr>
              <w:adjustRightInd w:val="0"/>
              <w:spacing w:line="360" w:lineRule="auto"/>
              <w:ind w:firstLine="480" w:firstLineChars="200"/>
              <w:rPr>
                <w:rFonts w:hint="eastAsia"/>
                <w:sz w:val="24"/>
              </w:rPr>
            </w:pPr>
            <w:r>
              <w:rPr>
                <w:rFonts w:hint="eastAsia"/>
                <w:sz w:val="24"/>
              </w:rPr>
              <w:t>废气根据《内蒙古伊泰化工有限责任公司</w:t>
            </w:r>
            <w:r>
              <w:rPr>
                <w:rFonts w:hint="eastAsia"/>
                <w:sz w:val="24"/>
                <w:lang w:val="en-US" w:eastAsia="zh-CN"/>
              </w:rPr>
              <w:t>自行检测</w:t>
            </w:r>
            <w:r>
              <w:rPr>
                <w:rFonts w:hint="eastAsia"/>
                <w:sz w:val="24"/>
              </w:rPr>
              <w:t>报告</w:t>
            </w:r>
            <w:r>
              <w:rPr>
                <w:rFonts w:hint="eastAsia"/>
                <w:sz w:val="24"/>
                <w:lang w:eastAsia="zh-CN"/>
              </w:rPr>
              <w:t>（</w:t>
            </w:r>
            <w:r>
              <w:rPr>
                <w:rFonts w:hint="eastAsia"/>
                <w:sz w:val="24"/>
                <w:lang w:val="en-US" w:eastAsia="zh-CN"/>
              </w:rPr>
              <w:t>四季度</w:t>
            </w:r>
            <w:r>
              <w:rPr>
                <w:rFonts w:hint="eastAsia"/>
                <w:sz w:val="24"/>
                <w:lang w:eastAsia="zh-CN"/>
              </w:rPr>
              <w:t>）</w:t>
            </w:r>
            <w:r>
              <w:rPr>
                <w:rFonts w:hint="eastAsia"/>
                <w:sz w:val="24"/>
              </w:rPr>
              <w:t>》（鄂尔多斯市环境监测检验有限公司编制，20</w:t>
            </w:r>
            <w:r>
              <w:rPr>
                <w:rFonts w:hint="eastAsia"/>
                <w:sz w:val="24"/>
                <w:lang w:val="en-US" w:eastAsia="zh-CN"/>
              </w:rPr>
              <w:t>24</w:t>
            </w:r>
            <w:r>
              <w:rPr>
                <w:rFonts w:hint="eastAsia"/>
                <w:sz w:val="24"/>
              </w:rPr>
              <w:t>年</w:t>
            </w:r>
            <w:r>
              <w:rPr>
                <w:rFonts w:hint="eastAsia"/>
                <w:sz w:val="24"/>
                <w:lang w:val="en-US" w:eastAsia="zh-CN"/>
              </w:rPr>
              <w:t>11</w:t>
            </w:r>
            <w:r>
              <w:rPr>
                <w:rFonts w:hint="eastAsia"/>
                <w:sz w:val="24"/>
              </w:rPr>
              <w:t>月</w:t>
            </w:r>
            <w:r>
              <w:rPr>
                <w:rFonts w:hint="eastAsia"/>
                <w:sz w:val="24"/>
                <w:lang w:val="en-US" w:eastAsia="zh-CN"/>
              </w:rPr>
              <w:t>6日</w:t>
            </w:r>
            <w:r>
              <w:rPr>
                <w:rFonts w:hint="eastAsia"/>
                <w:sz w:val="24"/>
              </w:rPr>
              <w:t>），现有项目废气主要污染物排放及采取的环保措施见表2-1</w:t>
            </w:r>
            <w:r>
              <w:rPr>
                <w:rFonts w:hint="eastAsia"/>
                <w:sz w:val="24"/>
                <w:lang w:val="en-US" w:eastAsia="zh-CN"/>
              </w:rPr>
              <w:t>3</w:t>
            </w:r>
            <w:r>
              <w:rPr>
                <w:rFonts w:hint="eastAsia"/>
                <w:sz w:val="24"/>
              </w:rPr>
              <w:t>（1），达标分析见表2-1</w:t>
            </w:r>
            <w:r>
              <w:rPr>
                <w:rFonts w:hint="eastAsia"/>
                <w:sz w:val="24"/>
                <w:lang w:val="en-US" w:eastAsia="zh-CN"/>
              </w:rPr>
              <w:t>3</w:t>
            </w:r>
            <w:r>
              <w:rPr>
                <w:rFonts w:hint="eastAsia"/>
                <w:sz w:val="24"/>
              </w:rPr>
              <w:t>（2）。</w:t>
            </w:r>
          </w:p>
          <w:p w14:paraId="0010940A">
            <w:pPr>
              <w:adjustRightInd w:val="0"/>
              <w:spacing w:line="360" w:lineRule="auto"/>
              <w:ind w:firstLine="480" w:firstLineChars="200"/>
              <w:rPr>
                <w:rFonts w:hint="eastAsia"/>
                <w:sz w:val="24"/>
              </w:rPr>
            </w:pPr>
            <w:r>
              <w:rPr>
                <w:rFonts w:hint="eastAsia"/>
                <w:sz w:val="24"/>
              </w:rPr>
              <w:t>2</w:t>
            </w:r>
            <w:r>
              <w:rPr>
                <w:rFonts w:hint="eastAsia"/>
                <w:sz w:val="24"/>
                <w:lang w:val="en-US" w:eastAsia="zh-CN"/>
              </w:rPr>
              <w:t>.</w:t>
            </w:r>
            <w:r>
              <w:rPr>
                <w:rFonts w:hint="eastAsia"/>
                <w:sz w:val="24"/>
              </w:rPr>
              <w:t>废水</w:t>
            </w:r>
          </w:p>
          <w:p w14:paraId="2A0FEA6D">
            <w:pPr>
              <w:adjustRightInd w:val="0"/>
              <w:spacing w:line="360" w:lineRule="auto"/>
              <w:ind w:firstLine="480" w:firstLineChars="200"/>
              <w:rPr>
                <w:rFonts w:hint="eastAsia"/>
                <w:sz w:val="24"/>
              </w:rPr>
            </w:pPr>
            <w:r>
              <w:rPr>
                <w:rFonts w:hint="eastAsia"/>
                <w:sz w:val="24"/>
              </w:rPr>
              <w:t>依据环评报告，现有项目废水主要污染物排放及采取的环保措施见表2-1</w:t>
            </w:r>
            <w:r>
              <w:rPr>
                <w:rFonts w:hint="eastAsia"/>
                <w:sz w:val="24"/>
                <w:lang w:val="en-US" w:eastAsia="zh-CN"/>
              </w:rPr>
              <w:t>4</w:t>
            </w:r>
            <w:r>
              <w:rPr>
                <w:rFonts w:hint="eastAsia"/>
                <w:sz w:val="24"/>
              </w:rPr>
              <w:t>。</w:t>
            </w:r>
          </w:p>
          <w:p w14:paraId="1DF26E46">
            <w:pPr>
              <w:adjustRightInd w:val="0"/>
              <w:spacing w:line="360" w:lineRule="auto"/>
              <w:ind w:firstLine="480" w:firstLineChars="200"/>
              <w:rPr>
                <w:rFonts w:hint="eastAsia"/>
                <w:sz w:val="24"/>
              </w:rPr>
            </w:pPr>
            <w:r>
              <w:rPr>
                <w:rFonts w:hint="eastAsia"/>
                <w:sz w:val="24"/>
              </w:rPr>
              <w:t>现有项目污水处理设施分为</w:t>
            </w:r>
            <w:r>
              <w:rPr>
                <w:rFonts w:hint="eastAsia"/>
                <w:sz w:val="24"/>
                <w:lang w:eastAsia="zh-CN"/>
              </w:rPr>
              <w:t>污水处理厂</w:t>
            </w:r>
            <w:r>
              <w:rPr>
                <w:rFonts w:hint="eastAsia"/>
                <w:sz w:val="24"/>
              </w:rPr>
              <w:t>（预处理单元、污水生化处理单元、污泥处理单元、臭气处理单元）、废水处理及回用（包括生化合格出水处理单元、清净废水处理单元）、高含盐</w:t>
            </w:r>
            <w:r>
              <w:rPr>
                <w:rFonts w:hint="eastAsia"/>
                <w:sz w:val="24"/>
                <w:lang w:eastAsia="zh-CN"/>
              </w:rPr>
              <w:t>废</w:t>
            </w:r>
            <w:r>
              <w:rPr>
                <w:rFonts w:hint="eastAsia"/>
                <w:sz w:val="24"/>
              </w:rPr>
              <w:t>水蒸发及结晶（膜浓缩单元、蒸发预处理单元、蒸发结晶单元）。最终实现废水全部回用、结晶盐资源化利用。</w:t>
            </w:r>
          </w:p>
          <w:p w14:paraId="787B4418">
            <w:pPr>
              <w:adjustRightInd w:val="0"/>
              <w:spacing w:line="360" w:lineRule="auto"/>
              <w:ind w:firstLine="480" w:firstLineChars="200"/>
              <w:rPr>
                <w:rFonts w:hint="eastAsia"/>
                <w:sz w:val="24"/>
              </w:rPr>
            </w:pPr>
            <w:r>
              <w:rPr>
                <w:rFonts w:hint="eastAsia"/>
                <w:sz w:val="24"/>
              </w:rPr>
              <w:t>根据《内蒙古伊泰化工有限责任公司120万吨/年精细化学品项目水处理及零排放整体系统工艺优化改造工程竣工环境保护验收监测报告表》（鄂尔多斯市环境监测检验有限公司编制，2019年10月），废水处理及回用出水回用水水质满足《污水综合排放标准》（GB8978-1996）一级标准要求。</w:t>
            </w:r>
          </w:p>
          <w:p w14:paraId="4A040C68">
            <w:pPr>
              <w:adjustRightInd w:val="0"/>
              <w:spacing w:line="360" w:lineRule="auto"/>
              <w:ind w:firstLine="480" w:firstLineChars="200"/>
              <w:rPr>
                <w:rFonts w:hint="eastAsia"/>
                <w:sz w:val="24"/>
              </w:rPr>
            </w:pPr>
            <w:r>
              <w:rPr>
                <w:rFonts w:hint="eastAsia"/>
                <w:sz w:val="24"/>
              </w:rPr>
              <w:t>废水处理及回用出口回用水水质见表2-1</w:t>
            </w:r>
            <w:r>
              <w:rPr>
                <w:rFonts w:hint="eastAsia"/>
                <w:sz w:val="24"/>
                <w:lang w:val="en-US" w:eastAsia="zh-CN"/>
              </w:rPr>
              <w:t>5</w:t>
            </w:r>
            <w:r>
              <w:rPr>
                <w:rFonts w:hint="eastAsia"/>
                <w:sz w:val="24"/>
              </w:rPr>
              <w:t>和表2-1</w:t>
            </w:r>
            <w:r>
              <w:rPr>
                <w:rFonts w:hint="eastAsia"/>
                <w:sz w:val="24"/>
                <w:lang w:val="en-US" w:eastAsia="zh-CN"/>
              </w:rPr>
              <w:t>6</w:t>
            </w:r>
            <w:r>
              <w:rPr>
                <w:rFonts w:hint="eastAsia"/>
                <w:sz w:val="24"/>
              </w:rPr>
              <w:t>。</w:t>
            </w:r>
          </w:p>
          <w:p w14:paraId="51D51939">
            <w:pPr>
              <w:adjustRightInd w:val="0"/>
              <w:spacing w:line="360" w:lineRule="auto"/>
              <w:ind w:firstLine="480" w:firstLineChars="200"/>
              <w:rPr>
                <w:rFonts w:hint="eastAsia"/>
                <w:sz w:val="24"/>
              </w:rPr>
            </w:pPr>
            <w:r>
              <w:rPr>
                <w:rFonts w:hint="eastAsia"/>
                <w:sz w:val="24"/>
              </w:rPr>
              <w:t>3</w:t>
            </w:r>
            <w:r>
              <w:rPr>
                <w:rFonts w:hint="eastAsia"/>
                <w:sz w:val="24"/>
                <w:lang w:val="en-US" w:eastAsia="zh-CN"/>
              </w:rPr>
              <w:t>.</w:t>
            </w:r>
            <w:r>
              <w:rPr>
                <w:rFonts w:hint="eastAsia"/>
                <w:sz w:val="24"/>
              </w:rPr>
              <w:t>固体废物</w:t>
            </w:r>
          </w:p>
          <w:p w14:paraId="52211606">
            <w:pPr>
              <w:adjustRightInd w:val="0"/>
              <w:spacing w:line="360" w:lineRule="auto"/>
              <w:ind w:firstLine="480" w:firstLineChars="200"/>
              <w:rPr>
                <w:rFonts w:hint="eastAsia"/>
                <w:sz w:val="24"/>
              </w:rPr>
            </w:pPr>
            <w:r>
              <w:rPr>
                <w:rFonts w:hint="eastAsia"/>
                <w:sz w:val="24"/>
              </w:rPr>
              <w:t>现有项目固体废物主要污染物排放</w:t>
            </w:r>
            <w:r>
              <w:rPr>
                <w:rFonts w:hint="eastAsia"/>
                <w:sz w:val="24"/>
                <w:lang w:eastAsia="zh-CN"/>
              </w:rPr>
              <w:t>量</w:t>
            </w:r>
            <w:r>
              <w:rPr>
                <w:rFonts w:hint="eastAsia"/>
                <w:sz w:val="24"/>
              </w:rPr>
              <w:t>及采取的环保措施见表2-1</w:t>
            </w:r>
            <w:r>
              <w:rPr>
                <w:rFonts w:hint="eastAsia"/>
                <w:sz w:val="24"/>
                <w:lang w:val="en-US" w:eastAsia="zh-CN"/>
              </w:rPr>
              <w:t>7</w:t>
            </w:r>
            <w:r>
              <w:rPr>
                <w:rFonts w:hint="eastAsia"/>
                <w:sz w:val="24"/>
              </w:rPr>
              <w:t>。</w:t>
            </w:r>
          </w:p>
          <w:p w14:paraId="3C2A795C">
            <w:pPr>
              <w:adjustRightInd w:val="0"/>
              <w:spacing w:line="360" w:lineRule="auto"/>
              <w:ind w:firstLine="480" w:firstLineChars="200"/>
              <w:rPr>
                <w:rFonts w:hint="eastAsia"/>
                <w:sz w:val="24"/>
              </w:rPr>
            </w:pPr>
            <w:r>
              <w:rPr>
                <w:rFonts w:hint="eastAsia"/>
                <w:sz w:val="24"/>
              </w:rPr>
              <w:t>4</w:t>
            </w:r>
            <w:r>
              <w:rPr>
                <w:rFonts w:hint="eastAsia"/>
                <w:sz w:val="24"/>
                <w:lang w:val="en-US" w:eastAsia="zh-CN"/>
              </w:rPr>
              <w:t>.</w:t>
            </w:r>
            <w:r>
              <w:rPr>
                <w:rFonts w:hint="eastAsia"/>
                <w:sz w:val="24"/>
              </w:rPr>
              <w:t>噪声</w:t>
            </w:r>
          </w:p>
          <w:p w14:paraId="0C18C156">
            <w:pPr>
              <w:adjustRightInd w:val="0"/>
              <w:spacing w:line="360" w:lineRule="auto"/>
              <w:ind w:firstLine="480" w:firstLineChars="200"/>
              <w:rPr>
                <w:rFonts w:hint="eastAsia"/>
                <w:sz w:val="24"/>
              </w:rPr>
            </w:pPr>
            <w:r>
              <w:rPr>
                <w:rFonts w:hint="eastAsia"/>
                <w:sz w:val="24"/>
              </w:rPr>
              <w:t>现有项目主要噪声源为由各种机械动力设备</w:t>
            </w:r>
            <w:r>
              <w:rPr>
                <w:rFonts w:hint="eastAsia"/>
                <w:sz w:val="24"/>
                <w:lang w:eastAsia="zh-CN"/>
              </w:rPr>
              <w:t>产生</w:t>
            </w:r>
            <w:r>
              <w:rPr>
                <w:rFonts w:hint="eastAsia"/>
                <w:sz w:val="24"/>
              </w:rPr>
              <w:t>的机械振动和空气湍流引起的噪声。采取选</w:t>
            </w:r>
            <w:r>
              <w:rPr>
                <w:rFonts w:hint="eastAsia"/>
                <w:sz w:val="24"/>
                <w:lang w:val="en-US" w:eastAsia="zh-CN"/>
              </w:rPr>
              <w:t>用</w:t>
            </w:r>
            <w:r>
              <w:rPr>
                <w:rFonts w:hint="eastAsia"/>
                <w:sz w:val="24"/>
              </w:rPr>
              <w:t>低噪声设备、隔声、减震及加装消音器等措施减轻项目噪声对周围环境的影响。</w:t>
            </w:r>
          </w:p>
          <w:p w14:paraId="6A4862EE">
            <w:pPr>
              <w:adjustRightInd w:val="0"/>
              <w:spacing w:line="360" w:lineRule="auto"/>
              <w:ind w:firstLine="480" w:firstLineChars="200"/>
              <w:rPr>
                <w:rFonts w:hint="eastAsia"/>
                <w:sz w:val="24"/>
              </w:rPr>
            </w:pPr>
            <w:r>
              <w:rPr>
                <w:rFonts w:hint="eastAsia"/>
                <w:sz w:val="24"/>
              </w:rPr>
              <w:t>根据《内蒙古伊泰化工有限责任公司</w:t>
            </w:r>
            <w:r>
              <w:rPr>
                <w:rFonts w:hint="eastAsia"/>
                <w:sz w:val="24"/>
                <w:lang w:val="en-US" w:eastAsia="zh-CN"/>
              </w:rPr>
              <w:t>自行检测</w:t>
            </w:r>
            <w:r>
              <w:rPr>
                <w:rFonts w:hint="eastAsia"/>
                <w:sz w:val="24"/>
              </w:rPr>
              <w:t>报告</w:t>
            </w:r>
            <w:r>
              <w:rPr>
                <w:rFonts w:hint="eastAsia"/>
                <w:sz w:val="24"/>
                <w:lang w:eastAsia="zh-CN"/>
              </w:rPr>
              <w:t>（</w:t>
            </w:r>
            <w:r>
              <w:rPr>
                <w:rFonts w:hint="eastAsia"/>
                <w:sz w:val="24"/>
                <w:lang w:val="en-US" w:eastAsia="zh-CN"/>
              </w:rPr>
              <w:t>四季度</w:t>
            </w:r>
            <w:r>
              <w:rPr>
                <w:rFonts w:hint="eastAsia"/>
                <w:sz w:val="24"/>
                <w:lang w:eastAsia="zh-CN"/>
              </w:rPr>
              <w:t>）</w:t>
            </w:r>
            <w:r>
              <w:rPr>
                <w:rFonts w:hint="eastAsia"/>
                <w:sz w:val="24"/>
              </w:rPr>
              <w:t>》（鄂尔多斯市环境监测检验有限公司编制，20</w:t>
            </w:r>
            <w:r>
              <w:rPr>
                <w:rFonts w:hint="eastAsia"/>
                <w:sz w:val="24"/>
                <w:lang w:val="en-US" w:eastAsia="zh-CN"/>
              </w:rPr>
              <w:t>24</w:t>
            </w:r>
            <w:r>
              <w:rPr>
                <w:rFonts w:hint="eastAsia"/>
                <w:sz w:val="24"/>
              </w:rPr>
              <w:t>年</w:t>
            </w:r>
            <w:r>
              <w:rPr>
                <w:rFonts w:hint="eastAsia"/>
                <w:sz w:val="24"/>
                <w:lang w:val="en-US" w:eastAsia="zh-CN"/>
              </w:rPr>
              <w:t>11</w:t>
            </w:r>
            <w:r>
              <w:rPr>
                <w:rFonts w:hint="eastAsia"/>
                <w:sz w:val="24"/>
              </w:rPr>
              <w:t>月</w:t>
            </w:r>
            <w:r>
              <w:rPr>
                <w:rFonts w:hint="eastAsia"/>
                <w:sz w:val="24"/>
                <w:lang w:val="en-US" w:eastAsia="zh-CN"/>
              </w:rPr>
              <w:t>6日</w:t>
            </w:r>
            <w:r>
              <w:rPr>
                <w:rFonts w:hint="eastAsia"/>
                <w:sz w:val="24"/>
              </w:rPr>
              <w:t>），现有项目厂界噪声昼间在</w:t>
            </w:r>
            <w:r>
              <w:rPr>
                <w:rFonts w:hint="eastAsia"/>
                <w:sz w:val="24"/>
                <w:lang w:val="en-US" w:eastAsia="zh-CN"/>
              </w:rPr>
              <w:t>61</w:t>
            </w:r>
            <w:r>
              <w:rPr>
                <w:rFonts w:hint="eastAsia"/>
                <w:sz w:val="24"/>
              </w:rPr>
              <w:t>dB</w:t>
            </w:r>
            <w:r>
              <w:rPr>
                <w:rFonts w:hint="eastAsia"/>
                <w:sz w:val="24"/>
                <w:lang w:eastAsia="zh-CN"/>
              </w:rPr>
              <w:t>（</w:t>
            </w:r>
            <w:r>
              <w:rPr>
                <w:rFonts w:hint="eastAsia"/>
                <w:sz w:val="24"/>
              </w:rPr>
              <w:t>A</w:t>
            </w:r>
            <w:r>
              <w:rPr>
                <w:rFonts w:hint="eastAsia"/>
                <w:sz w:val="24"/>
                <w:lang w:eastAsia="zh-CN"/>
              </w:rPr>
              <w:t>）</w:t>
            </w:r>
            <w:r>
              <w:rPr>
                <w:rFonts w:hint="eastAsia"/>
                <w:sz w:val="24"/>
              </w:rPr>
              <w:t>~</w:t>
            </w:r>
            <w:r>
              <w:rPr>
                <w:rFonts w:hint="eastAsia"/>
                <w:sz w:val="24"/>
                <w:lang w:val="en-US" w:eastAsia="zh-CN"/>
              </w:rPr>
              <w:t>52</w:t>
            </w:r>
            <w:r>
              <w:rPr>
                <w:rFonts w:hint="eastAsia"/>
                <w:sz w:val="24"/>
              </w:rPr>
              <w:t>dB</w:t>
            </w:r>
            <w:r>
              <w:rPr>
                <w:rFonts w:hint="eastAsia"/>
                <w:sz w:val="24"/>
                <w:lang w:eastAsia="zh-CN"/>
              </w:rPr>
              <w:t>（</w:t>
            </w:r>
            <w:r>
              <w:rPr>
                <w:rFonts w:hint="eastAsia"/>
                <w:sz w:val="24"/>
              </w:rPr>
              <w:t>A</w:t>
            </w:r>
            <w:r>
              <w:rPr>
                <w:rFonts w:hint="eastAsia"/>
                <w:sz w:val="24"/>
                <w:lang w:eastAsia="zh-CN"/>
              </w:rPr>
              <w:t>）</w:t>
            </w:r>
            <w:r>
              <w:rPr>
                <w:rFonts w:hint="eastAsia"/>
                <w:sz w:val="24"/>
              </w:rPr>
              <w:t>之间，夜间在</w:t>
            </w:r>
            <w:r>
              <w:rPr>
                <w:rFonts w:hint="eastAsia"/>
                <w:sz w:val="24"/>
                <w:lang w:val="en-US" w:eastAsia="zh-CN"/>
              </w:rPr>
              <w:t>48</w:t>
            </w:r>
            <w:r>
              <w:rPr>
                <w:rFonts w:hint="eastAsia"/>
                <w:sz w:val="24"/>
              </w:rPr>
              <w:t>dB</w:t>
            </w:r>
            <w:r>
              <w:rPr>
                <w:rFonts w:hint="eastAsia"/>
                <w:sz w:val="24"/>
                <w:lang w:eastAsia="zh-CN"/>
              </w:rPr>
              <w:t>（</w:t>
            </w:r>
            <w:r>
              <w:rPr>
                <w:rFonts w:hint="eastAsia"/>
                <w:sz w:val="24"/>
              </w:rPr>
              <w:t>A</w:t>
            </w:r>
            <w:r>
              <w:rPr>
                <w:rFonts w:hint="eastAsia"/>
                <w:sz w:val="24"/>
                <w:lang w:eastAsia="zh-CN"/>
              </w:rPr>
              <w:t>）</w:t>
            </w:r>
            <w:r>
              <w:rPr>
                <w:rFonts w:hint="eastAsia"/>
                <w:sz w:val="24"/>
              </w:rPr>
              <w:t>~54dB</w:t>
            </w:r>
            <w:r>
              <w:rPr>
                <w:rFonts w:hint="eastAsia"/>
                <w:sz w:val="24"/>
                <w:lang w:eastAsia="zh-CN"/>
              </w:rPr>
              <w:t>（</w:t>
            </w:r>
            <w:r>
              <w:rPr>
                <w:rFonts w:hint="eastAsia"/>
                <w:sz w:val="24"/>
              </w:rPr>
              <w:t>A</w:t>
            </w:r>
            <w:r>
              <w:rPr>
                <w:rFonts w:hint="eastAsia"/>
                <w:sz w:val="24"/>
                <w:lang w:eastAsia="zh-CN"/>
              </w:rPr>
              <w:t>）</w:t>
            </w:r>
            <w:r>
              <w:rPr>
                <w:rFonts w:hint="eastAsia"/>
                <w:sz w:val="24"/>
              </w:rPr>
              <w:t>之间，昼夜噪声值均达到《工业企业厂界环境噪声排放标准》（GB12348-2008）3类标准限值要求。</w:t>
            </w:r>
          </w:p>
          <w:p w14:paraId="55DDC38B">
            <w:pPr>
              <w:pStyle w:val="3"/>
              <w:spacing w:before="0" w:beforeAutospacing="0" w:after="0" w:afterAutospacing="0" w:line="360" w:lineRule="auto"/>
              <w:ind w:firstLine="482" w:firstLineChars="200"/>
              <w:rPr>
                <w:rFonts w:ascii="Times New Roman" w:hAnsi="Times New Roman" w:cs="宋体"/>
                <w:sz w:val="24"/>
              </w:rPr>
            </w:pPr>
            <w:r>
              <w:rPr>
                <w:rFonts w:hint="eastAsia" w:ascii="Times New Roman" w:hAnsi="Times New Roman" w:cs="宋体"/>
                <w:sz w:val="24"/>
                <w:lang w:val="en-US" w:eastAsia="zh-CN"/>
              </w:rPr>
              <w:t>四</w:t>
            </w:r>
            <w:r>
              <w:rPr>
                <w:rFonts w:ascii="Times New Roman" w:hAnsi="Times New Roman" w:cs="宋体"/>
                <w:sz w:val="24"/>
              </w:rPr>
              <w:t>、现有工程存在的主要环境问题及拟采取措施</w:t>
            </w:r>
          </w:p>
          <w:p w14:paraId="78CF281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eastAsia="宋体"/>
                <w:snapToGrid w:val="0"/>
                <w:color w:val="000000"/>
                <w:kern w:val="21"/>
                <w:sz w:val="24"/>
                <w:szCs w:val="20"/>
                <w:lang w:eastAsia="zh-CN"/>
              </w:rPr>
            </w:pPr>
            <w:r>
              <w:rPr>
                <w:rFonts w:hint="eastAsia"/>
                <w:sz w:val="24"/>
                <w:lang w:val="en-US" w:eastAsia="zh-CN"/>
              </w:rPr>
              <w:t>无。</w:t>
            </w:r>
          </w:p>
        </w:tc>
      </w:tr>
    </w:tbl>
    <w:p w14:paraId="6145736F">
      <w:pPr>
        <w:pStyle w:val="37"/>
        <w:jc w:val="center"/>
        <w:rPr>
          <w:rFonts w:ascii="Times New Roman" w:hAnsi="Times New Roman" w:eastAsia="黑体"/>
          <w:snapToGrid w:val="0"/>
          <w:color w:val="000000"/>
          <w:sz w:val="36"/>
          <w:szCs w:val="36"/>
        </w:rPr>
        <w:sectPr>
          <w:pgSz w:w="11906" w:h="16838"/>
          <w:pgMar w:top="1424" w:right="1531" w:bottom="1134" w:left="1531" w:header="992" w:footer="964" w:gutter="0"/>
          <w:pgBorders>
            <w:top w:val="none" w:sz="0" w:space="0"/>
            <w:left w:val="none" w:sz="0" w:space="0"/>
            <w:bottom w:val="none" w:sz="0" w:space="0"/>
            <w:right w:val="none" w:sz="0" w:space="0"/>
          </w:pgBorders>
          <w:cols w:space="720" w:num="1"/>
          <w:docGrid w:linePitch="312" w:charSpace="0"/>
        </w:sectPr>
      </w:pPr>
    </w:p>
    <w:p w14:paraId="6B6F9A16">
      <w:pPr>
        <w:ind w:firstLine="42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3</w:t>
      </w:r>
      <w:r>
        <w:rPr>
          <w:rFonts w:hint="eastAsia"/>
          <w:b/>
          <w:bCs/>
          <w:szCs w:val="21"/>
          <w:highlight w:val="none"/>
          <w:lang w:eastAsia="zh-CN"/>
        </w:rPr>
        <w:t>（</w:t>
      </w:r>
      <w:r>
        <w:rPr>
          <w:b/>
          <w:bCs/>
          <w:szCs w:val="21"/>
          <w:highlight w:val="none"/>
        </w:rPr>
        <w:t>1</w:t>
      </w:r>
      <w:r>
        <w:rPr>
          <w:rFonts w:hint="eastAsia"/>
          <w:b/>
          <w:bCs/>
          <w:szCs w:val="21"/>
          <w:highlight w:val="none"/>
          <w:lang w:eastAsia="zh-CN"/>
        </w:rPr>
        <w:t>）：</w:t>
      </w:r>
      <w:r>
        <w:rPr>
          <w:b/>
          <w:bCs/>
          <w:szCs w:val="21"/>
          <w:highlight w:val="none"/>
        </w:rPr>
        <w:t>现有项目废气污染物排放</w:t>
      </w:r>
      <w:r>
        <w:rPr>
          <w:rFonts w:hint="eastAsia"/>
          <w:b/>
          <w:bCs/>
          <w:szCs w:val="21"/>
          <w:highlight w:val="none"/>
          <w:lang w:eastAsia="zh-CN"/>
        </w:rPr>
        <w:t>情况</w:t>
      </w:r>
      <w:r>
        <w:rPr>
          <w:b/>
          <w:bCs/>
          <w:szCs w:val="21"/>
          <w:highlight w:val="none"/>
        </w:rPr>
        <w:t>及采取的环保措施一览表</w:t>
      </w:r>
    </w:p>
    <w:tbl>
      <w:tblPr>
        <w:tblStyle w:val="41"/>
        <w:tblW w:w="51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
        <w:gridCol w:w="672"/>
        <w:gridCol w:w="887"/>
        <w:gridCol w:w="1740"/>
        <w:gridCol w:w="2205"/>
        <w:gridCol w:w="2618"/>
        <w:gridCol w:w="1103"/>
        <w:gridCol w:w="935"/>
        <w:gridCol w:w="743"/>
        <w:gridCol w:w="666"/>
        <w:gridCol w:w="719"/>
        <w:gridCol w:w="625"/>
        <w:gridCol w:w="1227"/>
      </w:tblGrid>
      <w:tr w14:paraId="097D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29" w:type="pct"/>
            <w:gridSpan w:val="3"/>
            <w:vMerge w:val="restart"/>
            <w:noWrap w:val="0"/>
            <w:tcMar>
              <w:left w:w="28" w:type="dxa"/>
              <w:right w:w="28" w:type="dxa"/>
            </w:tcMar>
            <w:vAlign w:val="center"/>
          </w:tcPr>
          <w:p w14:paraId="130EA6EC">
            <w:pPr>
              <w:jc w:val="center"/>
              <w:rPr>
                <w:sz w:val="21"/>
                <w:szCs w:val="21"/>
                <w:highlight w:val="none"/>
              </w:rPr>
            </w:pPr>
            <w:r>
              <w:rPr>
                <w:sz w:val="21"/>
                <w:szCs w:val="21"/>
                <w:highlight w:val="none"/>
              </w:rPr>
              <w:t>装置名称</w:t>
            </w:r>
          </w:p>
        </w:tc>
        <w:tc>
          <w:tcPr>
            <w:tcW w:w="590" w:type="pct"/>
            <w:vMerge w:val="restart"/>
            <w:noWrap w:val="0"/>
            <w:vAlign w:val="center"/>
          </w:tcPr>
          <w:p w14:paraId="27921F2E">
            <w:pPr>
              <w:jc w:val="center"/>
              <w:rPr>
                <w:sz w:val="21"/>
                <w:szCs w:val="21"/>
                <w:highlight w:val="none"/>
              </w:rPr>
            </w:pPr>
            <w:r>
              <w:rPr>
                <w:sz w:val="21"/>
                <w:szCs w:val="21"/>
                <w:highlight w:val="none"/>
              </w:rPr>
              <w:t>污染源</w:t>
            </w:r>
          </w:p>
        </w:tc>
        <w:tc>
          <w:tcPr>
            <w:tcW w:w="748" w:type="pct"/>
            <w:vMerge w:val="restart"/>
            <w:noWrap w:val="0"/>
            <w:tcMar>
              <w:left w:w="28" w:type="dxa"/>
              <w:right w:w="28" w:type="dxa"/>
            </w:tcMar>
            <w:vAlign w:val="center"/>
          </w:tcPr>
          <w:p w14:paraId="6F60F879">
            <w:pPr>
              <w:jc w:val="center"/>
              <w:rPr>
                <w:sz w:val="21"/>
                <w:szCs w:val="21"/>
                <w:highlight w:val="none"/>
              </w:rPr>
            </w:pPr>
            <w:r>
              <w:rPr>
                <w:sz w:val="21"/>
                <w:szCs w:val="21"/>
                <w:highlight w:val="none"/>
              </w:rPr>
              <w:t>主要污染物名称</w:t>
            </w:r>
          </w:p>
        </w:tc>
        <w:tc>
          <w:tcPr>
            <w:tcW w:w="888" w:type="pct"/>
            <w:vMerge w:val="restart"/>
            <w:noWrap w:val="0"/>
            <w:tcMar>
              <w:left w:w="28" w:type="dxa"/>
              <w:right w:w="28" w:type="dxa"/>
            </w:tcMar>
            <w:vAlign w:val="center"/>
          </w:tcPr>
          <w:p w14:paraId="3BF5B425">
            <w:pPr>
              <w:jc w:val="center"/>
              <w:rPr>
                <w:sz w:val="21"/>
                <w:szCs w:val="21"/>
                <w:highlight w:val="none"/>
              </w:rPr>
            </w:pPr>
            <w:r>
              <w:rPr>
                <w:sz w:val="21"/>
                <w:szCs w:val="21"/>
                <w:highlight w:val="none"/>
              </w:rPr>
              <w:t>治理措施</w:t>
            </w:r>
          </w:p>
        </w:tc>
        <w:tc>
          <w:tcPr>
            <w:tcW w:w="691" w:type="pct"/>
            <w:gridSpan w:val="2"/>
            <w:noWrap w:val="0"/>
            <w:tcMar>
              <w:left w:w="28" w:type="dxa"/>
              <w:right w:w="28" w:type="dxa"/>
            </w:tcMar>
            <w:vAlign w:val="center"/>
          </w:tcPr>
          <w:p w14:paraId="3065B95D">
            <w:pPr>
              <w:jc w:val="center"/>
              <w:rPr>
                <w:sz w:val="21"/>
                <w:szCs w:val="21"/>
                <w:highlight w:val="none"/>
              </w:rPr>
            </w:pPr>
            <w:r>
              <w:rPr>
                <w:sz w:val="21"/>
                <w:szCs w:val="21"/>
                <w:highlight w:val="none"/>
              </w:rPr>
              <w:t>主要污染物排放</w:t>
            </w:r>
          </w:p>
        </w:tc>
        <w:tc>
          <w:tcPr>
            <w:tcW w:w="722" w:type="pct"/>
            <w:gridSpan w:val="3"/>
            <w:noWrap w:val="0"/>
            <w:tcMar>
              <w:left w:w="28" w:type="dxa"/>
              <w:right w:w="28" w:type="dxa"/>
            </w:tcMar>
            <w:vAlign w:val="center"/>
          </w:tcPr>
          <w:p w14:paraId="5BE0E6A7">
            <w:pPr>
              <w:jc w:val="center"/>
              <w:rPr>
                <w:sz w:val="21"/>
                <w:szCs w:val="21"/>
                <w:highlight w:val="none"/>
              </w:rPr>
            </w:pPr>
            <w:r>
              <w:rPr>
                <w:sz w:val="21"/>
                <w:szCs w:val="21"/>
                <w:highlight w:val="none"/>
              </w:rPr>
              <w:t>排气筒</w:t>
            </w:r>
          </w:p>
        </w:tc>
        <w:tc>
          <w:tcPr>
            <w:tcW w:w="212" w:type="pct"/>
            <w:vMerge w:val="restart"/>
            <w:noWrap w:val="0"/>
            <w:vAlign w:val="center"/>
          </w:tcPr>
          <w:p w14:paraId="1F667C74">
            <w:pPr>
              <w:jc w:val="center"/>
              <w:rPr>
                <w:sz w:val="21"/>
                <w:szCs w:val="21"/>
                <w:highlight w:val="none"/>
              </w:rPr>
            </w:pPr>
            <w:r>
              <w:rPr>
                <w:sz w:val="21"/>
                <w:szCs w:val="21"/>
                <w:highlight w:val="none"/>
              </w:rPr>
              <w:t>排放规律</w:t>
            </w:r>
          </w:p>
        </w:tc>
        <w:tc>
          <w:tcPr>
            <w:tcW w:w="416" w:type="pct"/>
            <w:vMerge w:val="restart"/>
            <w:noWrap w:val="0"/>
            <w:vAlign w:val="center"/>
          </w:tcPr>
          <w:p w14:paraId="6F0911F9">
            <w:pPr>
              <w:jc w:val="center"/>
              <w:rPr>
                <w:sz w:val="21"/>
                <w:szCs w:val="21"/>
                <w:highlight w:val="none"/>
              </w:rPr>
            </w:pPr>
            <w:r>
              <w:rPr>
                <w:sz w:val="21"/>
                <w:szCs w:val="21"/>
                <w:highlight w:val="none"/>
              </w:rPr>
              <w:t>排放去向</w:t>
            </w:r>
          </w:p>
        </w:tc>
      </w:tr>
      <w:tr w14:paraId="066A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29" w:type="pct"/>
            <w:gridSpan w:val="3"/>
            <w:vMerge w:val="continue"/>
            <w:noWrap w:val="0"/>
            <w:tcMar>
              <w:left w:w="28" w:type="dxa"/>
              <w:right w:w="28" w:type="dxa"/>
            </w:tcMar>
            <w:vAlign w:val="center"/>
          </w:tcPr>
          <w:p w14:paraId="673DABD3">
            <w:pPr>
              <w:jc w:val="center"/>
              <w:rPr>
                <w:b/>
                <w:sz w:val="21"/>
                <w:szCs w:val="21"/>
                <w:highlight w:val="none"/>
              </w:rPr>
            </w:pPr>
          </w:p>
        </w:tc>
        <w:tc>
          <w:tcPr>
            <w:tcW w:w="590" w:type="pct"/>
            <w:vMerge w:val="continue"/>
            <w:noWrap w:val="0"/>
            <w:vAlign w:val="center"/>
          </w:tcPr>
          <w:p w14:paraId="6D833890">
            <w:pPr>
              <w:jc w:val="center"/>
              <w:rPr>
                <w:b/>
                <w:sz w:val="21"/>
                <w:szCs w:val="21"/>
                <w:highlight w:val="none"/>
              </w:rPr>
            </w:pPr>
          </w:p>
        </w:tc>
        <w:tc>
          <w:tcPr>
            <w:tcW w:w="748" w:type="pct"/>
            <w:vMerge w:val="continue"/>
            <w:noWrap w:val="0"/>
            <w:tcMar>
              <w:left w:w="28" w:type="dxa"/>
              <w:right w:w="28" w:type="dxa"/>
            </w:tcMar>
            <w:vAlign w:val="center"/>
          </w:tcPr>
          <w:p w14:paraId="5C6018DE">
            <w:pPr>
              <w:jc w:val="center"/>
              <w:rPr>
                <w:sz w:val="21"/>
                <w:szCs w:val="21"/>
                <w:highlight w:val="none"/>
              </w:rPr>
            </w:pPr>
          </w:p>
        </w:tc>
        <w:tc>
          <w:tcPr>
            <w:tcW w:w="888" w:type="pct"/>
            <w:vMerge w:val="continue"/>
            <w:noWrap w:val="0"/>
            <w:tcMar>
              <w:left w:w="28" w:type="dxa"/>
              <w:right w:w="28" w:type="dxa"/>
            </w:tcMar>
            <w:vAlign w:val="center"/>
          </w:tcPr>
          <w:p w14:paraId="36236C57">
            <w:pPr>
              <w:jc w:val="center"/>
              <w:rPr>
                <w:sz w:val="21"/>
                <w:szCs w:val="21"/>
                <w:highlight w:val="none"/>
              </w:rPr>
            </w:pPr>
          </w:p>
        </w:tc>
        <w:tc>
          <w:tcPr>
            <w:tcW w:w="374" w:type="pct"/>
            <w:noWrap w:val="0"/>
            <w:tcMar>
              <w:left w:w="28" w:type="dxa"/>
              <w:right w:w="28" w:type="dxa"/>
            </w:tcMar>
            <w:vAlign w:val="center"/>
          </w:tcPr>
          <w:p w14:paraId="3B292FD4">
            <w:pPr>
              <w:jc w:val="center"/>
              <w:rPr>
                <w:sz w:val="21"/>
                <w:szCs w:val="21"/>
                <w:highlight w:val="none"/>
              </w:rPr>
            </w:pPr>
            <w:r>
              <w:rPr>
                <w:sz w:val="21"/>
                <w:szCs w:val="21"/>
                <w:highlight w:val="none"/>
              </w:rPr>
              <w:t>烟气量</w:t>
            </w:r>
          </w:p>
          <w:p w14:paraId="0D1CD775">
            <w:pPr>
              <w:pStyle w:val="12"/>
              <w:ind w:firstLine="0" w:firstLineChars="0"/>
              <w:jc w:val="center"/>
              <w:rPr>
                <w:rFonts w:ascii="Times New Roman"/>
                <w:sz w:val="21"/>
                <w:szCs w:val="21"/>
                <w:highlight w:val="none"/>
              </w:rPr>
            </w:pPr>
            <w:r>
              <w:rPr>
                <w:rFonts w:ascii="Times New Roman"/>
                <w:kern w:val="2"/>
                <w:sz w:val="21"/>
                <w:szCs w:val="21"/>
                <w:highlight w:val="none"/>
              </w:rPr>
              <w:t>m</w:t>
            </w:r>
            <w:r>
              <w:rPr>
                <w:rFonts w:ascii="Times New Roman"/>
                <w:kern w:val="2"/>
                <w:sz w:val="21"/>
                <w:szCs w:val="21"/>
                <w:highlight w:val="none"/>
                <w:vertAlign w:val="superscript"/>
              </w:rPr>
              <w:t>3</w:t>
            </w:r>
            <w:r>
              <w:rPr>
                <w:rFonts w:ascii="Times New Roman"/>
                <w:kern w:val="2"/>
                <w:sz w:val="21"/>
                <w:szCs w:val="21"/>
                <w:highlight w:val="none"/>
              </w:rPr>
              <w:t>/h</w:t>
            </w:r>
          </w:p>
        </w:tc>
        <w:tc>
          <w:tcPr>
            <w:tcW w:w="316" w:type="pct"/>
            <w:noWrap w:val="0"/>
            <w:tcMar>
              <w:left w:w="28" w:type="dxa"/>
              <w:right w:w="28" w:type="dxa"/>
            </w:tcMar>
            <w:vAlign w:val="center"/>
          </w:tcPr>
          <w:p w14:paraId="57EC2F8E">
            <w:pPr>
              <w:jc w:val="center"/>
              <w:rPr>
                <w:sz w:val="21"/>
                <w:szCs w:val="21"/>
                <w:highlight w:val="none"/>
              </w:rPr>
            </w:pPr>
            <w:r>
              <w:rPr>
                <w:sz w:val="21"/>
                <w:szCs w:val="21"/>
                <w:highlight w:val="none"/>
              </w:rPr>
              <w:t>浓度</w:t>
            </w:r>
          </w:p>
          <w:p w14:paraId="0B54617D">
            <w:pPr>
              <w:jc w:val="center"/>
              <w:rPr>
                <w:sz w:val="21"/>
                <w:szCs w:val="21"/>
                <w:highlight w:val="none"/>
              </w:rPr>
            </w:pPr>
            <w:r>
              <w:rPr>
                <w:sz w:val="21"/>
                <w:szCs w:val="21"/>
                <w:highlight w:val="none"/>
              </w:rPr>
              <w:t>mg/m</w:t>
            </w:r>
            <w:r>
              <w:rPr>
                <w:sz w:val="21"/>
                <w:szCs w:val="21"/>
                <w:highlight w:val="none"/>
                <w:vertAlign w:val="superscript"/>
              </w:rPr>
              <w:t>3</w:t>
            </w:r>
          </w:p>
        </w:tc>
        <w:tc>
          <w:tcPr>
            <w:tcW w:w="252" w:type="pct"/>
            <w:noWrap w:val="0"/>
            <w:tcMar>
              <w:left w:w="28" w:type="dxa"/>
              <w:right w:w="28" w:type="dxa"/>
            </w:tcMar>
            <w:vAlign w:val="center"/>
          </w:tcPr>
          <w:p w14:paraId="7D7DA615">
            <w:pPr>
              <w:jc w:val="center"/>
              <w:rPr>
                <w:sz w:val="21"/>
                <w:szCs w:val="21"/>
                <w:highlight w:val="none"/>
              </w:rPr>
            </w:pPr>
            <w:r>
              <w:rPr>
                <w:sz w:val="21"/>
                <w:szCs w:val="21"/>
                <w:highlight w:val="none"/>
              </w:rPr>
              <w:t>个数</w:t>
            </w:r>
          </w:p>
        </w:tc>
        <w:tc>
          <w:tcPr>
            <w:tcW w:w="226" w:type="pct"/>
            <w:noWrap w:val="0"/>
            <w:vAlign w:val="center"/>
          </w:tcPr>
          <w:p w14:paraId="03496031">
            <w:pPr>
              <w:jc w:val="center"/>
              <w:rPr>
                <w:sz w:val="21"/>
                <w:szCs w:val="21"/>
                <w:highlight w:val="none"/>
              </w:rPr>
            </w:pPr>
            <w:r>
              <w:rPr>
                <w:sz w:val="21"/>
                <w:szCs w:val="21"/>
                <w:highlight w:val="none"/>
              </w:rPr>
              <w:t>高度</w:t>
            </w:r>
          </w:p>
          <w:p w14:paraId="4AC3B166">
            <w:pPr>
              <w:jc w:val="center"/>
              <w:rPr>
                <w:sz w:val="21"/>
                <w:szCs w:val="21"/>
                <w:highlight w:val="none"/>
              </w:rPr>
            </w:pPr>
            <w:r>
              <w:rPr>
                <w:sz w:val="21"/>
                <w:szCs w:val="21"/>
                <w:highlight w:val="none"/>
              </w:rPr>
              <w:t>m</w:t>
            </w:r>
          </w:p>
        </w:tc>
        <w:tc>
          <w:tcPr>
            <w:tcW w:w="244" w:type="pct"/>
            <w:noWrap w:val="0"/>
            <w:tcMar>
              <w:left w:w="28" w:type="dxa"/>
              <w:right w:w="28" w:type="dxa"/>
            </w:tcMar>
            <w:vAlign w:val="center"/>
          </w:tcPr>
          <w:p w14:paraId="6E8C1FDC">
            <w:pPr>
              <w:jc w:val="center"/>
              <w:rPr>
                <w:sz w:val="21"/>
                <w:szCs w:val="21"/>
                <w:highlight w:val="none"/>
              </w:rPr>
            </w:pPr>
            <w:r>
              <w:rPr>
                <w:sz w:val="21"/>
                <w:szCs w:val="21"/>
                <w:highlight w:val="none"/>
              </w:rPr>
              <w:t>直径</w:t>
            </w:r>
          </w:p>
          <w:p w14:paraId="1C8C70B6">
            <w:pPr>
              <w:jc w:val="center"/>
              <w:rPr>
                <w:sz w:val="21"/>
                <w:szCs w:val="21"/>
                <w:highlight w:val="none"/>
              </w:rPr>
            </w:pPr>
            <w:r>
              <w:rPr>
                <w:sz w:val="21"/>
                <w:szCs w:val="21"/>
                <w:highlight w:val="none"/>
              </w:rPr>
              <w:t>m</w:t>
            </w:r>
          </w:p>
        </w:tc>
        <w:tc>
          <w:tcPr>
            <w:tcW w:w="212" w:type="pct"/>
            <w:vMerge w:val="continue"/>
            <w:noWrap w:val="0"/>
            <w:vAlign w:val="center"/>
          </w:tcPr>
          <w:p w14:paraId="6A50970B">
            <w:pPr>
              <w:jc w:val="center"/>
              <w:rPr>
                <w:sz w:val="21"/>
                <w:szCs w:val="21"/>
                <w:highlight w:val="none"/>
              </w:rPr>
            </w:pPr>
          </w:p>
        </w:tc>
        <w:tc>
          <w:tcPr>
            <w:tcW w:w="416" w:type="pct"/>
            <w:vMerge w:val="continue"/>
            <w:noWrap w:val="0"/>
            <w:vAlign w:val="center"/>
          </w:tcPr>
          <w:p w14:paraId="2BD14905">
            <w:pPr>
              <w:jc w:val="center"/>
              <w:rPr>
                <w:sz w:val="21"/>
                <w:szCs w:val="21"/>
                <w:highlight w:val="none"/>
              </w:rPr>
            </w:pPr>
          </w:p>
        </w:tc>
      </w:tr>
      <w:tr w14:paraId="7A7B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restart"/>
            <w:noWrap w:val="0"/>
            <w:tcMar>
              <w:left w:w="28" w:type="dxa"/>
              <w:right w:w="28" w:type="dxa"/>
            </w:tcMar>
            <w:vAlign w:val="center"/>
          </w:tcPr>
          <w:p w14:paraId="5754ED04">
            <w:pPr>
              <w:widowControl/>
              <w:snapToGrid w:val="0"/>
              <w:jc w:val="center"/>
              <w:rPr>
                <w:sz w:val="21"/>
                <w:szCs w:val="21"/>
                <w:highlight w:val="none"/>
              </w:rPr>
            </w:pPr>
            <w:r>
              <w:rPr>
                <w:sz w:val="21"/>
                <w:szCs w:val="21"/>
                <w:highlight w:val="none"/>
              </w:rPr>
              <w:t>煤气化装置</w:t>
            </w:r>
          </w:p>
        </w:tc>
        <w:tc>
          <w:tcPr>
            <w:tcW w:w="228" w:type="pct"/>
            <w:vMerge w:val="restart"/>
            <w:noWrap w:val="0"/>
            <w:vAlign w:val="center"/>
          </w:tcPr>
          <w:p w14:paraId="62905B9D">
            <w:pPr>
              <w:widowControl/>
              <w:snapToGrid w:val="0"/>
              <w:jc w:val="center"/>
              <w:rPr>
                <w:sz w:val="21"/>
                <w:szCs w:val="21"/>
                <w:highlight w:val="none"/>
              </w:rPr>
            </w:pPr>
            <w:r>
              <w:rPr>
                <w:sz w:val="21"/>
                <w:szCs w:val="21"/>
                <w:highlight w:val="none"/>
              </w:rPr>
              <w:t>干粉煤气化</w:t>
            </w:r>
          </w:p>
        </w:tc>
        <w:tc>
          <w:tcPr>
            <w:tcW w:w="301" w:type="pct"/>
            <w:vMerge w:val="restart"/>
            <w:noWrap w:val="0"/>
            <w:vAlign w:val="center"/>
          </w:tcPr>
          <w:p w14:paraId="3CA10519">
            <w:pPr>
              <w:jc w:val="center"/>
              <w:rPr>
                <w:sz w:val="21"/>
                <w:szCs w:val="21"/>
                <w:highlight w:val="none"/>
              </w:rPr>
            </w:pPr>
            <w:r>
              <w:rPr>
                <w:sz w:val="21"/>
                <w:szCs w:val="21"/>
                <w:highlight w:val="none"/>
              </w:rPr>
              <w:t>预干燥单元</w:t>
            </w:r>
          </w:p>
        </w:tc>
        <w:tc>
          <w:tcPr>
            <w:tcW w:w="590" w:type="pct"/>
            <w:noWrap w:val="0"/>
            <w:vAlign w:val="center"/>
          </w:tcPr>
          <w:p w14:paraId="4BCEFFCD">
            <w:pPr>
              <w:jc w:val="center"/>
              <w:rPr>
                <w:sz w:val="21"/>
                <w:szCs w:val="21"/>
                <w:highlight w:val="none"/>
              </w:rPr>
            </w:pPr>
            <w:r>
              <w:rPr>
                <w:sz w:val="21"/>
                <w:szCs w:val="21"/>
                <w:highlight w:val="none"/>
              </w:rPr>
              <w:t>转运站废气</w:t>
            </w:r>
          </w:p>
        </w:tc>
        <w:tc>
          <w:tcPr>
            <w:tcW w:w="748" w:type="pct"/>
            <w:noWrap w:val="0"/>
            <w:tcMar>
              <w:left w:w="28" w:type="dxa"/>
              <w:right w:w="28" w:type="dxa"/>
            </w:tcMar>
            <w:vAlign w:val="center"/>
          </w:tcPr>
          <w:p w14:paraId="1F09C9B2">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286A7C61">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114CAF79">
            <w:pPr>
              <w:jc w:val="center"/>
              <w:rPr>
                <w:sz w:val="21"/>
                <w:szCs w:val="21"/>
                <w:highlight w:val="none"/>
              </w:rPr>
            </w:pPr>
            <w:r>
              <w:rPr>
                <w:sz w:val="21"/>
                <w:szCs w:val="21"/>
                <w:highlight w:val="none"/>
              </w:rPr>
              <w:t>3×8716</w:t>
            </w:r>
          </w:p>
        </w:tc>
        <w:tc>
          <w:tcPr>
            <w:tcW w:w="316" w:type="pct"/>
            <w:noWrap w:val="0"/>
            <w:tcMar>
              <w:left w:w="28" w:type="dxa"/>
              <w:right w:w="28" w:type="dxa"/>
            </w:tcMar>
            <w:vAlign w:val="center"/>
          </w:tcPr>
          <w:p w14:paraId="739D4A15">
            <w:pPr>
              <w:jc w:val="center"/>
              <w:rPr>
                <w:sz w:val="21"/>
                <w:szCs w:val="21"/>
                <w:highlight w:val="none"/>
              </w:rPr>
            </w:pPr>
            <w:r>
              <w:rPr>
                <w:sz w:val="21"/>
                <w:szCs w:val="21"/>
                <w:highlight w:val="none"/>
              </w:rPr>
              <w:t>44.3</w:t>
            </w:r>
          </w:p>
        </w:tc>
        <w:tc>
          <w:tcPr>
            <w:tcW w:w="252" w:type="pct"/>
            <w:noWrap w:val="0"/>
            <w:tcMar>
              <w:left w:w="28" w:type="dxa"/>
              <w:right w:w="28" w:type="dxa"/>
            </w:tcMar>
            <w:vAlign w:val="center"/>
          </w:tcPr>
          <w:p w14:paraId="282250F1">
            <w:pPr>
              <w:jc w:val="center"/>
              <w:rPr>
                <w:sz w:val="21"/>
                <w:szCs w:val="21"/>
                <w:highlight w:val="none"/>
              </w:rPr>
            </w:pPr>
            <w:r>
              <w:rPr>
                <w:sz w:val="21"/>
                <w:szCs w:val="21"/>
                <w:highlight w:val="none"/>
              </w:rPr>
              <w:t>3</w:t>
            </w:r>
          </w:p>
        </w:tc>
        <w:tc>
          <w:tcPr>
            <w:tcW w:w="226" w:type="pct"/>
            <w:noWrap w:val="0"/>
            <w:vAlign w:val="center"/>
          </w:tcPr>
          <w:p w14:paraId="21B50232">
            <w:pPr>
              <w:jc w:val="center"/>
              <w:rPr>
                <w:sz w:val="21"/>
                <w:szCs w:val="21"/>
                <w:highlight w:val="none"/>
              </w:rPr>
            </w:pPr>
            <w:r>
              <w:rPr>
                <w:sz w:val="21"/>
                <w:szCs w:val="21"/>
                <w:highlight w:val="none"/>
              </w:rPr>
              <w:t>20</w:t>
            </w:r>
          </w:p>
        </w:tc>
        <w:tc>
          <w:tcPr>
            <w:tcW w:w="244" w:type="pct"/>
            <w:noWrap w:val="0"/>
            <w:tcMar>
              <w:left w:w="28" w:type="dxa"/>
              <w:right w:w="28" w:type="dxa"/>
            </w:tcMar>
            <w:vAlign w:val="center"/>
          </w:tcPr>
          <w:p w14:paraId="59871DFD">
            <w:pPr>
              <w:jc w:val="center"/>
              <w:rPr>
                <w:sz w:val="21"/>
                <w:szCs w:val="21"/>
                <w:highlight w:val="none"/>
              </w:rPr>
            </w:pPr>
            <w:r>
              <w:rPr>
                <w:sz w:val="21"/>
                <w:szCs w:val="21"/>
                <w:highlight w:val="none"/>
              </w:rPr>
              <w:t>0.3</w:t>
            </w:r>
          </w:p>
        </w:tc>
        <w:tc>
          <w:tcPr>
            <w:tcW w:w="212" w:type="pct"/>
            <w:noWrap w:val="0"/>
            <w:vAlign w:val="center"/>
          </w:tcPr>
          <w:p w14:paraId="1BEC9366">
            <w:pPr>
              <w:jc w:val="center"/>
              <w:rPr>
                <w:sz w:val="21"/>
                <w:szCs w:val="21"/>
                <w:highlight w:val="none"/>
              </w:rPr>
            </w:pPr>
            <w:r>
              <w:rPr>
                <w:sz w:val="21"/>
                <w:szCs w:val="21"/>
                <w:highlight w:val="none"/>
              </w:rPr>
              <w:t>连续</w:t>
            </w:r>
          </w:p>
        </w:tc>
        <w:tc>
          <w:tcPr>
            <w:tcW w:w="416" w:type="pct"/>
            <w:noWrap w:val="0"/>
            <w:vAlign w:val="center"/>
          </w:tcPr>
          <w:p w14:paraId="404A69B5">
            <w:pPr>
              <w:jc w:val="center"/>
              <w:rPr>
                <w:sz w:val="21"/>
                <w:szCs w:val="21"/>
                <w:highlight w:val="none"/>
              </w:rPr>
            </w:pPr>
            <w:r>
              <w:rPr>
                <w:sz w:val="21"/>
                <w:szCs w:val="21"/>
                <w:highlight w:val="none"/>
              </w:rPr>
              <w:t>排入大气</w:t>
            </w:r>
          </w:p>
        </w:tc>
      </w:tr>
      <w:tr w14:paraId="2F673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730C8D18">
            <w:pPr>
              <w:widowControl/>
              <w:snapToGrid w:val="0"/>
              <w:jc w:val="center"/>
              <w:rPr>
                <w:sz w:val="21"/>
                <w:szCs w:val="21"/>
                <w:highlight w:val="none"/>
              </w:rPr>
            </w:pPr>
          </w:p>
        </w:tc>
        <w:tc>
          <w:tcPr>
            <w:tcW w:w="228" w:type="pct"/>
            <w:vMerge w:val="continue"/>
            <w:noWrap w:val="0"/>
            <w:vAlign w:val="center"/>
          </w:tcPr>
          <w:p w14:paraId="6730316C">
            <w:pPr>
              <w:widowControl/>
              <w:snapToGrid w:val="0"/>
              <w:jc w:val="center"/>
              <w:rPr>
                <w:sz w:val="21"/>
                <w:szCs w:val="21"/>
                <w:highlight w:val="none"/>
              </w:rPr>
            </w:pPr>
          </w:p>
        </w:tc>
        <w:tc>
          <w:tcPr>
            <w:tcW w:w="301" w:type="pct"/>
            <w:vMerge w:val="continue"/>
            <w:noWrap w:val="0"/>
            <w:vAlign w:val="center"/>
          </w:tcPr>
          <w:p w14:paraId="2A9AC274">
            <w:pPr>
              <w:jc w:val="center"/>
              <w:rPr>
                <w:sz w:val="21"/>
                <w:szCs w:val="21"/>
                <w:highlight w:val="none"/>
              </w:rPr>
            </w:pPr>
          </w:p>
        </w:tc>
        <w:tc>
          <w:tcPr>
            <w:tcW w:w="590" w:type="pct"/>
            <w:noWrap w:val="0"/>
            <w:vAlign w:val="center"/>
          </w:tcPr>
          <w:p w14:paraId="0C73CF4F">
            <w:pPr>
              <w:jc w:val="center"/>
              <w:rPr>
                <w:sz w:val="21"/>
                <w:szCs w:val="21"/>
                <w:highlight w:val="none"/>
              </w:rPr>
            </w:pPr>
            <w:r>
              <w:rPr>
                <w:sz w:val="21"/>
                <w:szCs w:val="21"/>
                <w:highlight w:val="none"/>
              </w:rPr>
              <w:t>干燥机出料口废气</w:t>
            </w:r>
          </w:p>
        </w:tc>
        <w:tc>
          <w:tcPr>
            <w:tcW w:w="748" w:type="pct"/>
            <w:noWrap w:val="0"/>
            <w:tcMar>
              <w:left w:w="28" w:type="dxa"/>
              <w:right w:w="28" w:type="dxa"/>
            </w:tcMar>
            <w:vAlign w:val="center"/>
          </w:tcPr>
          <w:p w14:paraId="425CCA48">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17710A42">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512F5CDF">
            <w:pPr>
              <w:jc w:val="center"/>
              <w:rPr>
                <w:sz w:val="21"/>
                <w:szCs w:val="21"/>
                <w:highlight w:val="none"/>
              </w:rPr>
            </w:pPr>
            <w:r>
              <w:rPr>
                <w:sz w:val="21"/>
                <w:szCs w:val="21"/>
                <w:highlight w:val="none"/>
              </w:rPr>
              <w:t>4×8148</w:t>
            </w:r>
          </w:p>
        </w:tc>
        <w:tc>
          <w:tcPr>
            <w:tcW w:w="316" w:type="pct"/>
            <w:noWrap w:val="0"/>
            <w:tcMar>
              <w:left w:w="28" w:type="dxa"/>
              <w:right w:w="28" w:type="dxa"/>
            </w:tcMar>
            <w:vAlign w:val="center"/>
          </w:tcPr>
          <w:p w14:paraId="6BFC0029">
            <w:pPr>
              <w:jc w:val="center"/>
              <w:rPr>
                <w:sz w:val="21"/>
                <w:szCs w:val="21"/>
                <w:highlight w:val="none"/>
              </w:rPr>
            </w:pPr>
            <w:r>
              <w:rPr>
                <w:sz w:val="21"/>
                <w:szCs w:val="21"/>
                <w:highlight w:val="none"/>
              </w:rPr>
              <w:t>40.3</w:t>
            </w:r>
          </w:p>
        </w:tc>
        <w:tc>
          <w:tcPr>
            <w:tcW w:w="252" w:type="pct"/>
            <w:noWrap w:val="0"/>
            <w:tcMar>
              <w:left w:w="28" w:type="dxa"/>
              <w:right w:w="28" w:type="dxa"/>
            </w:tcMar>
            <w:vAlign w:val="center"/>
          </w:tcPr>
          <w:p w14:paraId="325046AD">
            <w:pPr>
              <w:jc w:val="center"/>
              <w:rPr>
                <w:sz w:val="21"/>
                <w:szCs w:val="21"/>
                <w:highlight w:val="none"/>
              </w:rPr>
            </w:pPr>
            <w:r>
              <w:rPr>
                <w:sz w:val="21"/>
                <w:szCs w:val="21"/>
                <w:highlight w:val="none"/>
              </w:rPr>
              <w:t>4</w:t>
            </w:r>
          </w:p>
        </w:tc>
        <w:tc>
          <w:tcPr>
            <w:tcW w:w="226" w:type="pct"/>
            <w:noWrap w:val="0"/>
            <w:vAlign w:val="center"/>
          </w:tcPr>
          <w:p w14:paraId="69809736">
            <w:pPr>
              <w:jc w:val="center"/>
              <w:rPr>
                <w:sz w:val="21"/>
                <w:szCs w:val="21"/>
                <w:highlight w:val="none"/>
              </w:rPr>
            </w:pPr>
            <w:r>
              <w:rPr>
                <w:sz w:val="21"/>
                <w:szCs w:val="21"/>
                <w:highlight w:val="none"/>
              </w:rPr>
              <w:t>20</w:t>
            </w:r>
          </w:p>
        </w:tc>
        <w:tc>
          <w:tcPr>
            <w:tcW w:w="244" w:type="pct"/>
            <w:noWrap w:val="0"/>
            <w:tcMar>
              <w:left w:w="28" w:type="dxa"/>
              <w:right w:w="28" w:type="dxa"/>
            </w:tcMar>
            <w:vAlign w:val="center"/>
          </w:tcPr>
          <w:p w14:paraId="4204CBEB">
            <w:pPr>
              <w:jc w:val="center"/>
              <w:rPr>
                <w:sz w:val="21"/>
                <w:szCs w:val="21"/>
                <w:highlight w:val="none"/>
              </w:rPr>
            </w:pPr>
            <w:r>
              <w:rPr>
                <w:sz w:val="21"/>
                <w:szCs w:val="21"/>
                <w:highlight w:val="none"/>
              </w:rPr>
              <w:t>0.3</w:t>
            </w:r>
          </w:p>
        </w:tc>
        <w:tc>
          <w:tcPr>
            <w:tcW w:w="212" w:type="pct"/>
            <w:noWrap w:val="0"/>
            <w:vAlign w:val="center"/>
          </w:tcPr>
          <w:p w14:paraId="549E4BB8">
            <w:pPr>
              <w:jc w:val="center"/>
              <w:rPr>
                <w:sz w:val="21"/>
                <w:szCs w:val="21"/>
                <w:highlight w:val="none"/>
              </w:rPr>
            </w:pPr>
            <w:r>
              <w:rPr>
                <w:sz w:val="21"/>
                <w:szCs w:val="21"/>
                <w:highlight w:val="none"/>
              </w:rPr>
              <w:t>连续</w:t>
            </w:r>
          </w:p>
        </w:tc>
        <w:tc>
          <w:tcPr>
            <w:tcW w:w="416" w:type="pct"/>
            <w:noWrap w:val="0"/>
            <w:vAlign w:val="center"/>
          </w:tcPr>
          <w:p w14:paraId="01E7D712">
            <w:pPr>
              <w:jc w:val="center"/>
              <w:rPr>
                <w:sz w:val="21"/>
                <w:szCs w:val="21"/>
                <w:highlight w:val="none"/>
              </w:rPr>
            </w:pPr>
            <w:r>
              <w:rPr>
                <w:sz w:val="21"/>
                <w:szCs w:val="21"/>
                <w:highlight w:val="none"/>
              </w:rPr>
              <w:t>排入大气</w:t>
            </w:r>
          </w:p>
        </w:tc>
      </w:tr>
      <w:tr w14:paraId="6D16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173A24DC">
            <w:pPr>
              <w:widowControl/>
              <w:snapToGrid w:val="0"/>
              <w:jc w:val="center"/>
              <w:rPr>
                <w:sz w:val="21"/>
                <w:szCs w:val="21"/>
                <w:highlight w:val="none"/>
              </w:rPr>
            </w:pPr>
          </w:p>
        </w:tc>
        <w:tc>
          <w:tcPr>
            <w:tcW w:w="228" w:type="pct"/>
            <w:vMerge w:val="continue"/>
            <w:noWrap w:val="0"/>
            <w:vAlign w:val="center"/>
          </w:tcPr>
          <w:p w14:paraId="6028FEDB">
            <w:pPr>
              <w:widowControl/>
              <w:snapToGrid w:val="0"/>
              <w:jc w:val="center"/>
              <w:rPr>
                <w:sz w:val="21"/>
                <w:szCs w:val="21"/>
                <w:highlight w:val="none"/>
              </w:rPr>
            </w:pPr>
          </w:p>
        </w:tc>
        <w:tc>
          <w:tcPr>
            <w:tcW w:w="301" w:type="pct"/>
            <w:vMerge w:val="continue"/>
            <w:noWrap w:val="0"/>
            <w:vAlign w:val="center"/>
          </w:tcPr>
          <w:p w14:paraId="0A94A9FF">
            <w:pPr>
              <w:jc w:val="center"/>
              <w:rPr>
                <w:sz w:val="21"/>
                <w:szCs w:val="21"/>
                <w:highlight w:val="none"/>
              </w:rPr>
            </w:pPr>
          </w:p>
        </w:tc>
        <w:tc>
          <w:tcPr>
            <w:tcW w:w="590" w:type="pct"/>
            <w:noWrap w:val="0"/>
            <w:vAlign w:val="center"/>
          </w:tcPr>
          <w:p w14:paraId="1F15F605">
            <w:pPr>
              <w:jc w:val="center"/>
              <w:rPr>
                <w:sz w:val="21"/>
                <w:szCs w:val="21"/>
                <w:highlight w:val="none"/>
              </w:rPr>
            </w:pPr>
            <w:r>
              <w:rPr>
                <w:sz w:val="21"/>
                <w:szCs w:val="21"/>
                <w:highlight w:val="none"/>
              </w:rPr>
              <w:t>煤干燥置换气</w:t>
            </w:r>
          </w:p>
        </w:tc>
        <w:tc>
          <w:tcPr>
            <w:tcW w:w="748" w:type="pct"/>
            <w:noWrap w:val="0"/>
            <w:tcMar>
              <w:left w:w="28" w:type="dxa"/>
              <w:right w:w="28" w:type="dxa"/>
            </w:tcMar>
            <w:vAlign w:val="center"/>
          </w:tcPr>
          <w:p w14:paraId="2772377C">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5B36C68D">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33246568">
            <w:pPr>
              <w:jc w:val="center"/>
              <w:rPr>
                <w:sz w:val="21"/>
                <w:szCs w:val="21"/>
                <w:highlight w:val="none"/>
              </w:rPr>
            </w:pPr>
            <w:r>
              <w:rPr>
                <w:sz w:val="21"/>
                <w:szCs w:val="21"/>
                <w:highlight w:val="none"/>
              </w:rPr>
              <w:t>9043</w:t>
            </w:r>
          </w:p>
        </w:tc>
        <w:tc>
          <w:tcPr>
            <w:tcW w:w="316" w:type="pct"/>
            <w:noWrap w:val="0"/>
            <w:tcMar>
              <w:left w:w="28" w:type="dxa"/>
              <w:right w:w="28" w:type="dxa"/>
            </w:tcMar>
            <w:vAlign w:val="center"/>
          </w:tcPr>
          <w:p w14:paraId="27819090">
            <w:pPr>
              <w:jc w:val="center"/>
              <w:rPr>
                <w:sz w:val="21"/>
                <w:szCs w:val="21"/>
                <w:highlight w:val="none"/>
              </w:rPr>
            </w:pPr>
            <w:r>
              <w:rPr>
                <w:sz w:val="21"/>
                <w:szCs w:val="21"/>
                <w:highlight w:val="none"/>
              </w:rPr>
              <w:t>33.7</w:t>
            </w:r>
          </w:p>
        </w:tc>
        <w:tc>
          <w:tcPr>
            <w:tcW w:w="252" w:type="pct"/>
            <w:noWrap w:val="0"/>
            <w:tcMar>
              <w:left w:w="28" w:type="dxa"/>
              <w:right w:w="28" w:type="dxa"/>
            </w:tcMar>
            <w:vAlign w:val="center"/>
          </w:tcPr>
          <w:p w14:paraId="3421C446">
            <w:pPr>
              <w:jc w:val="center"/>
              <w:rPr>
                <w:sz w:val="21"/>
                <w:szCs w:val="21"/>
                <w:highlight w:val="none"/>
              </w:rPr>
            </w:pPr>
            <w:r>
              <w:rPr>
                <w:sz w:val="21"/>
                <w:szCs w:val="21"/>
                <w:highlight w:val="none"/>
              </w:rPr>
              <w:t>1</w:t>
            </w:r>
          </w:p>
        </w:tc>
        <w:tc>
          <w:tcPr>
            <w:tcW w:w="226" w:type="pct"/>
            <w:noWrap w:val="0"/>
            <w:vAlign w:val="center"/>
          </w:tcPr>
          <w:p w14:paraId="4E33FB1E">
            <w:pPr>
              <w:jc w:val="center"/>
              <w:rPr>
                <w:sz w:val="21"/>
                <w:szCs w:val="21"/>
                <w:highlight w:val="none"/>
              </w:rPr>
            </w:pPr>
            <w:r>
              <w:rPr>
                <w:sz w:val="21"/>
                <w:szCs w:val="21"/>
                <w:highlight w:val="none"/>
              </w:rPr>
              <w:t>50</w:t>
            </w:r>
          </w:p>
        </w:tc>
        <w:tc>
          <w:tcPr>
            <w:tcW w:w="244" w:type="pct"/>
            <w:noWrap w:val="0"/>
            <w:tcMar>
              <w:left w:w="28" w:type="dxa"/>
              <w:right w:w="28" w:type="dxa"/>
            </w:tcMar>
            <w:vAlign w:val="center"/>
          </w:tcPr>
          <w:p w14:paraId="7C1FABD8">
            <w:pPr>
              <w:jc w:val="center"/>
              <w:rPr>
                <w:sz w:val="21"/>
                <w:szCs w:val="21"/>
                <w:highlight w:val="none"/>
              </w:rPr>
            </w:pPr>
            <w:r>
              <w:rPr>
                <w:sz w:val="21"/>
                <w:szCs w:val="21"/>
                <w:highlight w:val="none"/>
              </w:rPr>
              <w:t>2</w:t>
            </w:r>
          </w:p>
        </w:tc>
        <w:tc>
          <w:tcPr>
            <w:tcW w:w="212" w:type="pct"/>
            <w:noWrap w:val="0"/>
            <w:vAlign w:val="center"/>
          </w:tcPr>
          <w:p w14:paraId="4D31FB0A">
            <w:pPr>
              <w:jc w:val="center"/>
              <w:rPr>
                <w:sz w:val="21"/>
                <w:szCs w:val="21"/>
                <w:highlight w:val="none"/>
              </w:rPr>
            </w:pPr>
            <w:r>
              <w:rPr>
                <w:sz w:val="21"/>
                <w:szCs w:val="21"/>
                <w:highlight w:val="none"/>
              </w:rPr>
              <w:t>间断</w:t>
            </w:r>
          </w:p>
        </w:tc>
        <w:tc>
          <w:tcPr>
            <w:tcW w:w="416" w:type="pct"/>
            <w:noWrap w:val="0"/>
            <w:vAlign w:val="center"/>
          </w:tcPr>
          <w:p w14:paraId="4E5EA113">
            <w:pPr>
              <w:jc w:val="center"/>
              <w:rPr>
                <w:sz w:val="21"/>
                <w:szCs w:val="21"/>
                <w:highlight w:val="none"/>
              </w:rPr>
            </w:pPr>
            <w:r>
              <w:rPr>
                <w:sz w:val="21"/>
                <w:szCs w:val="21"/>
                <w:highlight w:val="none"/>
              </w:rPr>
              <w:t>排入大气</w:t>
            </w:r>
          </w:p>
        </w:tc>
      </w:tr>
      <w:tr w14:paraId="37CC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54BEA1CC">
            <w:pPr>
              <w:widowControl/>
              <w:snapToGrid w:val="0"/>
              <w:jc w:val="center"/>
              <w:rPr>
                <w:sz w:val="21"/>
                <w:szCs w:val="21"/>
                <w:highlight w:val="none"/>
              </w:rPr>
            </w:pPr>
          </w:p>
        </w:tc>
        <w:tc>
          <w:tcPr>
            <w:tcW w:w="228" w:type="pct"/>
            <w:vMerge w:val="continue"/>
            <w:noWrap w:val="0"/>
            <w:vAlign w:val="center"/>
          </w:tcPr>
          <w:p w14:paraId="07C465ED">
            <w:pPr>
              <w:widowControl/>
              <w:snapToGrid w:val="0"/>
              <w:jc w:val="center"/>
              <w:rPr>
                <w:sz w:val="21"/>
                <w:szCs w:val="21"/>
                <w:highlight w:val="none"/>
              </w:rPr>
            </w:pPr>
          </w:p>
        </w:tc>
        <w:tc>
          <w:tcPr>
            <w:tcW w:w="301" w:type="pct"/>
            <w:vMerge w:val="restart"/>
            <w:noWrap w:val="0"/>
            <w:vAlign w:val="center"/>
          </w:tcPr>
          <w:p w14:paraId="469E0909">
            <w:pPr>
              <w:jc w:val="center"/>
              <w:rPr>
                <w:sz w:val="21"/>
                <w:szCs w:val="21"/>
                <w:highlight w:val="none"/>
              </w:rPr>
            </w:pPr>
            <w:r>
              <w:rPr>
                <w:sz w:val="21"/>
                <w:szCs w:val="21"/>
                <w:highlight w:val="none"/>
              </w:rPr>
              <w:t>磨煤及干燥单元</w:t>
            </w:r>
          </w:p>
        </w:tc>
        <w:tc>
          <w:tcPr>
            <w:tcW w:w="590" w:type="pct"/>
            <w:noWrap w:val="0"/>
            <w:vAlign w:val="center"/>
          </w:tcPr>
          <w:p w14:paraId="246C0FF0">
            <w:pPr>
              <w:jc w:val="center"/>
              <w:rPr>
                <w:sz w:val="21"/>
                <w:szCs w:val="21"/>
                <w:highlight w:val="none"/>
              </w:rPr>
            </w:pPr>
            <w:r>
              <w:rPr>
                <w:sz w:val="21"/>
                <w:szCs w:val="21"/>
                <w:highlight w:val="none"/>
              </w:rPr>
              <w:t>原煤储仓过滤器排放气</w:t>
            </w:r>
          </w:p>
        </w:tc>
        <w:tc>
          <w:tcPr>
            <w:tcW w:w="748" w:type="pct"/>
            <w:noWrap w:val="0"/>
            <w:tcMar>
              <w:left w:w="28" w:type="dxa"/>
              <w:right w:w="28" w:type="dxa"/>
            </w:tcMar>
            <w:vAlign w:val="center"/>
          </w:tcPr>
          <w:p w14:paraId="7236CF7A">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1A6F4D0E">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22EB89A1">
            <w:pPr>
              <w:jc w:val="center"/>
              <w:rPr>
                <w:sz w:val="21"/>
                <w:szCs w:val="21"/>
                <w:highlight w:val="none"/>
              </w:rPr>
            </w:pPr>
            <w:r>
              <w:rPr>
                <w:sz w:val="21"/>
                <w:szCs w:val="21"/>
                <w:highlight w:val="none"/>
              </w:rPr>
              <w:t>5×12747</w:t>
            </w:r>
          </w:p>
        </w:tc>
        <w:tc>
          <w:tcPr>
            <w:tcW w:w="316" w:type="pct"/>
            <w:noWrap w:val="0"/>
            <w:tcMar>
              <w:left w:w="28" w:type="dxa"/>
              <w:right w:w="28" w:type="dxa"/>
            </w:tcMar>
            <w:vAlign w:val="center"/>
          </w:tcPr>
          <w:p w14:paraId="6AFCA32F">
            <w:pPr>
              <w:jc w:val="center"/>
              <w:rPr>
                <w:sz w:val="21"/>
                <w:szCs w:val="21"/>
                <w:highlight w:val="none"/>
              </w:rPr>
            </w:pPr>
            <w:r>
              <w:rPr>
                <w:sz w:val="21"/>
                <w:szCs w:val="21"/>
                <w:highlight w:val="none"/>
              </w:rPr>
              <w:t>10.5</w:t>
            </w:r>
          </w:p>
        </w:tc>
        <w:tc>
          <w:tcPr>
            <w:tcW w:w="252" w:type="pct"/>
            <w:noWrap w:val="0"/>
            <w:tcMar>
              <w:left w:w="28" w:type="dxa"/>
              <w:right w:w="28" w:type="dxa"/>
            </w:tcMar>
            <w:vAlign w:val="center"/>
          </w:tcPr>
          <w:p w14:paraId="49961592">
            <w:pPr>
              <w:jc w:val="center"/>
              <w:rPr>
                <w:sz w:val="21"/>
                <w:szCs w:val="21"/>
                <w:highlight w:val="none"/>
              </w:rPr>
            </w:pPr>
            <w:r>
              <w:rPr>
                <w:sz w:val="21"/>
                <w:szCs w:val="21"/>
                <w:highlight w:val="none"/>
              </w:rPr>
              <w:t>5</w:t>
            </w:r>
          </w:p>
        </w:tc>
        <w:tc>
          <w:tcPr>
            <w:tcW w:w="226" w:type="pct"/>
            <w:noWrap w:val="0"/>
            <w:vAlign w:val="center"/>
          </w:tcPr>
          <w:p w14:paraId="20A1F828">
            <w:pPr>
              <w:jc w:val="center"/>
              <w:rPr>
                <w:sz w:val="21"/>
                <w:szCs w:val="21"/>
                <w:highlight w:val="none"/>
              </w:rPr>
            </w:pPr>
            <w:r>
              <w:rPr>
                <w:sz w:val="21"/>
                <w:szCs w:val="21"/>
                <w:highlight w:val="none"/>
              </w:rPr>
              <w:t>57</w:t>
            </w:r>
          </w:p>
        </w:tc>
        <w:tc>
          <w:tcPr>
            <w:tcW w:w="244" w:type="pct"/>
            <w:noWrap w:val="0"/>
            <w:tcMar>
              <w:left w:w="28" w:type="dxa"/>
              <w:right w:w="28" w:type="dxa"/>
            </w:tcMar>
            <w:vAlign w:val="center"/>
          </w:tcPr>
          <w:p w14:paraId="6B83BF15">
            <w:pPr>
              <w:jc w:val="center"/>
              <w:rPr>
                <w:sz w:val="21"/>
                <w:szCs w:val="21"/>
                <w:highlight w:val="none"/>
              </w:rPr>
            </w:pPr>
            <w:r>
              <w:rPr>
                <w:sz w:val="21"/>
                <w:szCs w:val="21"/>
                <w:highlight w:val="none"/>
              </w:rPr>
              <w:t>0.2</w:t>
            </w:r>
          </w:p>
        </w:tc>
        <w:tc>
          <w:tcPr>
            <w:tcW w:w="212" w:type="pct"/>
            <w:noWrap w:val="0"/>
            <w:vAlign w:val="center"/>
          </w:tcPr>
          <w:p w14:paraId="2CDE4C4D">
            <w:pPr>
              <w:jc w:val="center"/>
              <w:rPr>
                <w:sz w:val="21"/>
                <w:szCs w:val="21"/>
                <w:highlight w:val="none"/>
              </w:rPr>
            </w:pPr>
            <w:r>
              <w:rPr>
                <w:sz w:val="21"/>
                <w:szCs w:val="21"/>
                <w:highlight w:val="none"/>
              </w:rPr>
              <w:t>连续</w:t>
            </w:r>
          </w:p>
        </w:tc>
        <w:tc>
          <w:tcPr>
            <w:tcW w:w="416" w:type="pct"/>
            <w:noWrap w:val="0"/>
            <w:vAlign w:val="center"/>
          </w:tcPr>
          <w:p w14:paraId="7E376B06">
            <w:pPr>
              <w:jc w:val="center"/>
              <w:rPr>
                <w:sz w:val="21"/>
                <w:szCs w:val="21"/>
                <w:highlight w:val="none"/>
              </w:rPr>
            </w:pPr>
            <w:r>
              <w:rPr>
                <w:sz w:val="21"/>
                <w:szCs w:val="21"/>
                <w:highlight w:val="none"/>
              </w:rPr>
              <w:t>排入大气</w:t>
            </w:r>
          </w:p>
        </w:tc>
      </w:tr>
      <w:tr w14:paraId="567D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2F675937">
            <w:pPr>
              <w:widowControl/>
              <w:snapToGrid w:val="0"/>
              <w:jc w:val="center"/>
              <w:rPr>
                <w:sz w:val="21"/>
                <w:szCs w:val="21"/>
                <w:highlight w:val="none"/>
              </w:rPr>
            </w:pPr>
          </w:p>
        </w:tc>
        <w:tc>
          <w:tcPr>
            <w:tcW w:w="228" w:type="pct"/>
            <w:vMerge w:val="continue"/>
            <w:noWrap w:val="0"/>
            <w:vAlign w:val="center"/>
          </w:tcPr>
          <w:p w14:paraId="323499A4">
            <w:pPr>
              <w:widowControl/>
              <w:snapToGrid w:val="0"/>
              <w:jc w:val="center"/>
              <w:rPr>
                <w:sz w:val="21"/>
                <w:szCs w:val="21"/>
                <w:highlight w:val="none"/>
              </w:rPr>
            </w:pPr>
          </w:p>
        </w:tc>
        <w:tc>
          <w:tcPr>
            <w:tcW w:w="301" w:type="pct"/>
            <w:vMerge w:val="continue"/>
            <w:noWrap w:val="0"/>
            <w:vAlign w:val="center"/>
          </w:tcPr>
          <w:p w14:paraId="0B07A72A">
            <w:pPr>
              <w:jc w:val="center"/>
              <w:rPr>
                <w:sz w:val="21"/>
                <w:szCs w:val="21"/>
                <w:highlight w:val="none"/>
              </w:rPr>
            </w:pPr>
          </w:p>
        </w:tc>
        <w:tc>
          <w:tcPr>
            <w:tcW w:w="590" w:type="pct"/>
            <w:noWrap w:val="0"/>
            <w:vAlign w:val="center"/>
          </w:tcPr>
          <w:p w14:paraId="06CDD750">
            <w:pPr>
              <w:jc w:val="center"/>
              <w:rPr>
                <w:sz w:val="21"/>
                <w:szCs w:val="21"/>
                <w:highlight w:val="none"/>
              </w:rPr>
            </w:pPr>
            <w:r>
              <w:rPr>
                <w:sz w:val="21"/>
                <w:szCs w:val="21"/>
                <w:highlight w:val="none"/>
              </w:rPr>
              <w:t>磨煤废气</w:t>
            </w:r>
          </w:p>
        </w:tc>
        <w:tc>
          <w:tcPr>
            <w:tcW w:w="748" w:type="pct"/>
            <w:noWrap w:val="0"/>
            <w:tcMar>
              <w:left w:w="28" w:type="dxa"/>
              <w:right w:w="28" w:type="dxa"/>
            </w:tcMar>
            <w:vAlign w:val="center"/>
          </w:tcPr>
          <w:p w14:paraId="7DAA679E">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04767893">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15B51FED">
            <w:pPr>
              <w:jc w:val="center"/>
              <w:rPr>
                <w:sz w:val="21"/>
                <w:szCs w:val="21"/>
                <w:highlight w:val="none"/>
              </w:rPr>
            </w:pPr>
            <w:r>
              <w:rPr>
                <w:sz w:val="21"/>
                <w:szCs w:val="21"/>
                <w:highlight w:val="none"/>
              </w:rPr>
              <w:t>6×61081</w:t>
            </w:r>
          </w:p>
        </w:tc>
        <w:tc>
          <w:tcPr>
            <w:tcW w:w="316" w:type="pct"/>
            <w:noWrap w:val="0"/>
            <w:tcMar>
              <w:left w:w="28" w:type="dxa"/>
              <w:right w:w="28" w:type="dxa"/>
            </w:tcMar>
            <w:vAlign w:val="center"/>
          </w:tcPr>
          <w:p w14:paraId="5BAE2B9C">
            <w:pPr>
              <w:jc w:val="center"/>
              <w:rPr>
                <w:sz w:val="21"/>
                <w:szCs w:val="21"/>
                <w:highlight w:val="none"/>
              </w:rPr>
            </w:pPr>
            <w:r>
              <w:rPr>
                <w:sz w:val="21"/>
                <w:szCs w:val="21"/>
                <w:highlight w:val="none"/>
              </w:rPr>
              <w:t>10.9</w:t>
            </w:r>
          </w:p>
        </w:tc>
        <w:tc>
          <w:tcPr>
            <w:tcW w:w="252" w:type="pct"/>
            <w:noWrap w:val="0"/>
            <w:tcMar>
              <w:left w:w="28" w:type="dxa"/>
              <w:right w:w="28" w:type="dxa"/>
            </w:tcMar>
            <w:vAlign w:val="center"/>
          </w:tcPr>
          <w:p w14:paraId="42AE6161">
            <w:pPr>
              <w:jc w:val="center"/>
              <w:rPr>
                <w:sz w:val="21"/>
                <w:szCs w:val="21"/>
                <w:highlight w:val="none"/>
              </w:rPr>
            </w:pPr>
            <w:r>
              <w:rPr>
                <w:sz w:val="21"/>
                <w:szCs w:val="21"/>
                <w:highlight w:val="none"/>
              </w:rPr>
              <w:t>8（6开2备）</w:t>
            </w:r>
          </w:p>
        </w:tc>
        <w:tc>
          <w:tcPr>
            <w:tcW w:w="226" w:type="pct"/>
            <w:noWrap w:val="0"/>
            <w:vAlign w:val="center"/>
          </w:tcPr>
          <w:p w14:paraId="1807A042">
            <w:pPr>
              <w:jc w:val="center"/>
              <w:rPr>
                <w:sz w:val="21"/>
                <w:szCs w:val="21"/>
                <w:highlight w:val="none"/>
              </w:rPr>
            </w:pPr>
            <w:r>
              <w:rPr>
                <w:sz w:val="21"/>
                <w:szCs w:val="21"/>
                <w:highlight w:val="none"/>
              </w:rPr>
              <w:t>95</w:t>
            </w:r>
          </w:p>
        </w:tc>
        <w:tc>
          <w:tcPr>
            <w:tcW w:w="244" w:type="pct"/>
            <w:noWrap w:val="0"/>
            <w:tcMar>
              <w:left w:w="28" w:type="dxa"/>
              <w:right w:w="28" w:type="dxa"/>
            </w:tcMar>
            <w:vAlign w:val="center"/>
          </w:tcPr>
          <w:p w14:paraId="2ED45591">
            <w:pPr>
              <w:jc w:val="center"/>
              <w:rPr>
                <w:sz w:val="21"/>
                <w:szCs w:val="21"/>
                <w:highlight w:val="none"/>
              </w:rPr>
            </w:pPr>
            <w:r>
              <w:rPr>
                <w:sz w:val="21"/>
                <w:szCs w:val="21"/>
                <w:highlight w:val="none"/>
              </w:rPr>
              <w:t>0.9</w:t>
            </w:r>
          </w:p>
        </w:tc>
        <w:tc>
          <w:tcPr>
            <w:tcW w:w="212" w:type="pct"/>
            <w:noWrap w:val="0"/>
            <w:vAlign w:val="center"/>
          </w:tcPr>
          <w:p w14:paraId="0881466A">
            <w:pPr>
              <w:jc w:val="center"/>
              <w:rPr>
                <w:sz w:val="21"/>
                <w:szCs w:val="21"/>
                <w:highlight w:val="none"/>
              </w:rPr>
            </w:pPr>
            <w:r>
              <w:rPr>
                <w:sz w:val="21"/>
                <w:szCs w:val="21"/>
                <w:highlight w:val="none"/>
              </w:rPr>
              <w:t>连续</w:t>
            </w:r>
          </w:p>
        </w:tc>
        <w:tc>
          <w:tcPr>
            <w:tcW w:w="416" w:type="pct"/>
            <w:noWrap w:val="0"/>
            <w:vAlign w:val="center"/>
          </w:tcPr>
          <w:p w14:paraId="70F77B47">
            <w:pPr>
              <w:jc w:val="center"/>
              <w:rPr>
                <w:sz w:val="21"/>
                <w:szCs w:val="21"/>
                <w:highlight w:val="none"/>
              </w:rPr>
            </w:pPr>
            <w:r>
              <w:rPr>
                <w:sz w:val="21"/>
                <w:szCs w:val="21"/>
                <w:highlight w:val="none"/>
              </w:rPr>
              <w:t>排入大气</w:t>
            </w:r>
          </w:p>
        </w:tc>
      </w:tr>
      <w:tr w14:paraId="2E0A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50818168">
            <w:pPr>
              <w:widowControl/>
              <w:snapToGrid w:val="0"/>
              <w:jc w:val="center"/>
              <w:rPr>
                <w:sz w:val="21"/>
                <w:szCs w:val="21"/>
                <w:highlight w:val="none"/>
              </w:rPr>
            </w:pPr>
          </w:p>
        </w:tc>
        <w:tc>
          <w:tcPr>
            <w:tcW w:w="228" w:type="pct"/>
            <w:vMerge w:val="continue"/>
            <w:noWrap w:val="0"/>
            <w:vAlign w:val="center"/>
          </w:tcPr>
          <w:p w14:paraId="240BD2CA">
            <w:pPr>
              <w:widowControl/>
              <w:snapToGrid w:val="0"/>
              <w:jc w:val="center"/>
              <w:rPr>
                <w:sz w:val="21"/>
                <w:szCs w:val="21"/>
                <w:highlight w:val="none"/>
              </w:rPr>
            </w:pPr>
          </w:p>
        </w:tc>
        <w:tc>
          <w:tcPr>
            <w:tcW w:w="301" w:type="pct"/>
            <w:noWrap w:val="0"/>
            <w:vAlign w:val="center"/>
          </w:tcPr>
          <w:p w14:paraId="37AF860D">
            <w:pPr>
              <w:jc w:val="center"/>
              <w:rPr>
                <w:sz w:val="21"/>
                <w:szCs w:val="21"/>
                <w:highlight w:val="none"/>
              </w:rPr>
            </w:pPr>
            <w:r>
              <w:rPr>
                <w:sz w:val="21"/>
                <w:szCs w:val="21"/>
                <w:highlight w:val="none"/>
              </w:rPr>
              <w:t>煤加压及进煤单元</w:t>
            </w:r>
          </w:p>
        </w:tc>
        <w:tc>
          <w:tcPr>
            <w:tcW w:w="590" w:type="pct"/>
            <w:noWrap w:val="0"/>
            <w:vAlign w:val="center"/>
          </w:tcPr>
          <w:p w14:paraId="0544A294">
            <w:pPr>
              <w:jc w:val="center"/>
              <w:rPr>
                <w:sz w:val="21"/>
                <w:szCs w:val="21"/>
                <w:highlight w:val="none"/>
              </w:rPr>
            </w:pPr>
            <w:r>
              <w:rPr>
                <w:sz w:val="21"/>
                <w:szCs w:val="21"/>
                <w:highlight w:val="none"/>
              </w:rPr>
              <w:t>粉煤贮罐过滤器排放气</w:t>
            </w:r>
          </w:p>
        </w:tc>
        <w:tc>
          <w:tcPr>
            <w:tcW w:w="748" w:type="pct"/>
            <w:noWrap w:val="0"/>
            <w:tcMar>
              <w:left w:w="28" w:type="dxa"/>
              <w:right w:w="28" w:type="dxa"/>
            </w:tcMar>
            <w:vAlign w:val="center"/>
          </w:tcPr>
          <w:p w14:paraId="24B40A15">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7AABCFFF">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0CD8207D">
            <w:pPr>
              <w:jc w:val="center"/>
              <w:rPr>
                <w:sz w:val="21"/>
                <w:szCs w:val="21"/>
                <w:highlight w:val="none"/>
              </w:rPr>
            </w:pPr>
            <w:r>
              <w:rPr>
                <w:sz w:val="21"/>
                <w:szCs w:val="21"/>
                <w:highlight w:val="none"/>
              </w:rPr>
              <w:t>6×13354</w:t>
            </w:r>
          </w:p>
        </w:tc>
        <w:tc>
          <w:tcPr>
            <w:tcW w:w="316" w:type="pct"/>
            <w:noWrap w:val="0"/>
            <w:tcMar>
              <w:left w:w="28" w:type="dxa"/>
              <w:right w:w="28" w:type="dxa"/>
            </w:tcMar>
            <w:vAlign w:val="center"/>
          </w:tcPr>
          <w:p w14:paraId="11A02EBA">
            <w:pPr>
              <w:jc w:val="center"/>
              <w:rPr>
                <w:sz w:val="21"/>
                <w:szCs w:val="21"/>
                <w:highlight w:val="none"/>
              </w:rPr>
            </w:pPr>
            <w:r>
              <w:rPr>
                <w:sz w:val="21"/>
                <w:szCs w:val="21"/>
                <w:highlight w:val="none"/>
              </w:rPr>
              <w:t>16.6</w:t>
            </w:r>
          </w:p>
        </w:tc>
        <w:tc>
          <w:tcPr>
            <w:tcW w:w="252" w:type="pct"/>
            <w:noWrap w:val="0"/>
            <w:tcMar>
              <w:left w:w="28" w:type="dxa"/>
              <w:right w:w="28" w:type="dxa"/>
            </w:tcMar>
            <w:vAlign w:val="center"/>
          </w:tcPr>
          <w:p w14:paraId="550E87A4">
            <w:pPr>
              <w:jc w:val="center"/>
              <w:rPr>
                <w:sz w:val="21"/>
                <w:szCs w:val="21"/>
                <w:highlight w:val="none"/>
              </w:rPr>
            </w:pPr>
            <w:r>
              <w:rPr>
                <w:sz w:val="21"/>
                <w:szCs w:val="21"/>
                <w:highlight w:val="none"/>
              </w:rPr>
              <w:t>6</w:t>
            </w:r>
          </w:p>
        </w:tc>
        <w:tc>
          <w:tcPr>
            <w:tcW w:w="226" w:type="pct"/>
            <w:noWrap w:val="0"/>
            <w:vAlign w:val="center"/>
          </w:tcPr>
          <w:p w14:paraId="60FB56AB">
            <w:pPr>
              <w:jc w:val="center"/>
              <w:rPr>
                <w:sz w:val="21"/>
                <w:szCs w:val="21"/>
                <w:highlight w:val="none"/>
              </w:rPr>
            </w:pPr>
            <w:r>
              <w:rPr>
                <w:sz w:val="21"/>
                <w:szCs w:val="21"/>
                <w:highlight w:val="none"/>
              </w:rPr>
              <w:t>105</w:t>
            </w:r>
          </w:p>
        </w:tc>
        <w:tc>
          <w:tcPr>
            <w:tcW w:w="244" w:type="pct"/>
            <w:noWrap w:val="0"/>
            <w:tcMar>
              <w:left w:w="28" w:type="dxa"/>
              <w:right w:w="28" w:type="dxa"/>
            </w:tcMar>
            <w:vAlign w:val="center"/>
          </w:tcPr>
          <w:p w14:paraId="6BA61C89">
            <w:pPr>
              <w:jc w:val="center"/>
              <w:rPr>
                <w:sz w:val="21"/>
                <w:szCs w:val="21"/>
                <w:highlight w:val="none"/>
              </w:rPr>
            </w:pPr>
            <w:r>
              <w:rPr>
                <w:sz w:val="21"/>
                <w:szCs w:val="21"/>
                <w:highlight w:val="none"/>
              </w:rPr>
              <w:t>1</w:t>
            </w:r>
          </w:p>
        </w:tc>
        <w:tc>
          <w:tcPr>
            <w:tcW w:w="212" w:type="pct"/>
            <w:noWrap w:val="0"/>
            <w:vAlign w:val="center"/>
          </w:tcPr>
          <w:p w14:paraId="73143CBA">
            <w:pPr>
              <w:jc w:val="center"/>
              <w:rPr>
                <w:sz w:val="21"/>
                <w:szCs w:val="21"/>
                <w:highlight w:val="none"/>
              </w:rPr>
            </w:pPr>
            <w:r>
              <w:rPr>
                <w:sz w:val="21"/>
                <w:szCs w:val="21"/>
                <w:highlight w:val="none"/>
              </w:rPr>
              <w:t>间断</w:t>
            </w:r>
          </w:p>
        </w:tc>
        <w:tc>
          <w:tcPr>
            <w:tcW w:w="416" w:type="pct"/>
            <w:noWrap w:val="0"/>
            <w:vAlign w:val="center"/>
          </w:tcPr>
          <w:p w14:paraId="277CA477">
            <w:pPr>
              <w:jc w:val="center"/>
              <w:rPr>
                <w:sz w:val="21"/>
                <w:szCs w:val="21"/>
                <w:highlight w:val="none"/>
              </w:rPr>
            </w:pPr>
            <w:r>
              <w:rPr>
                <w:sz w:val="21"/>
                <w:szCs w:val="21"/>
                <w:highlight w:val="none"/>
              </w:rPr>
              <w:t>排入大气</w:t>
            </w:r>
          </w:p>
        </w:tc>
      </w:tr>
      <w:tr w14:paraId="4228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13EAAD79">
            <w:pPr>
              <w:widowControl/>
              <w:snapToGrid w:val="0"/>
              <w:jc w:val="center"/>
              <w:rPr>
                <w:sz w:val="21"/>
                <w:szCs w:val="21"/>
                <w:highlight w:val="none"/>
              </w:rPr>
            </w:pPr>
          </w:p>
        </w:tc>
        <w:tc>
          <w:tcPr>
            <w:tcW w:w="228" w:type="pct"/>
            <w:vMerge w:val="continue"/>
            <w:noWrap w:val="0"/>
            <w:vAlign w:val="center"/>
          </w:tcPr>
          <w:p w14:paraId="751C1FBC">
            <w:pPr>
              <w:widowControl/>
              <w:snapToGrid w:val="0"/>
              <w:jc w:val="center"/>
              <w:rPr>
                <w:sz w:val="21"/>
                <w:szCs w:val="21"/>
                <w:highlight w:val="none"/>
              </w:rPr>
            </w:pPr>
          </w:p>
        </w:tc>
        <w:tc>
          <w:tcPr>
            <w:tcW w:w="301" w:type="pct"/>
            <w:vMerge w:val="restart"/>
            <w:noWrap w:val="0"/>
            <w:vAlign w:val="center"/>
          </w:tcPr>
          <w:p w14:paraId="0AED498D">
            <w:pPr>
              <w:jc w:val="center"/>
              <w:rPr>
                <w:sz w:val="21"/>
                <w:szCs w:val="21"/>
                <w:highlight w:val="none"/>
              </w:rPr>
            </w:pPr>
            <w:r>
              <w:rPr>
                <w:sz w:val="21"/>
                <w:szCs w:val="21"/>
                <w:highlight w:val="none"/>
              </w:rPr>
              <w:t>渣及灰水处理单元</w:t>
            </w:r>
          </w:p>
        </w:tc>
        <w:tc>
          <w:tcPr>
            <w:tcW w:w="590" w:type="pct"/>
            <w:noWrap w:val="0"/>
            <w:vAlign w:val="center"/>
          </w:tcPr>
          <w:p w14:paraId="4311F92E">
            <w:pPr>
              <w:jc w:val="center"/>
              <w:rPr>
                <w:sz w:val="21"/>
                <w:szCs w:val="21"/>
                <w:highlight w:val="none"/>
              </w:rPr>
            </w:pPr>
            <w:r>
              <w:rPr>
                <w:sz w:val="21"/>
                <w:szCs w:val="21"/>
                <w:highlight w:val="none"/>
              </w:rPr>
              <w:t>高压闪蒸不凝气</w:t>
            </w:r>
          </w:p>
        </w:tc>
        <w:tc>
          <w:tcPr>
            <w:tcW w:w="748" w:type="pct"/>
            <w:noWrap w:val="0"/>
            <w:tcMar>
              <w:left w:w="28" w:type="dxa"/>
              <w:right w:w="28" w:type="dxa"/>
            </w:tcMar>
            <w:vAlign w:val="center"/>
          </w:tcPr>
          <w:p w14:paraId="017E3869">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O、CO、H</w:t>
            </w:r>
            <w:r>
              <w:rPr>
                <w:sz w:val="21"/>
                <w:szCs w:val="21"/>
                <w:highlight w:val="none"/>
                <w:vertAlign w:val="subscript"/>
                <w:lang w:val="pt-BR"/>
              </w:rPr>
              <w:t>2</w:t>
            </w:r>
            <w:r>
              <w:rPr>
                <w:sz w:val="21"/>
                <w:szCs w:val="21"/>
                <w:highlight w:val="none"/>
                <w:lang w:val="pt-BR"/>
              </w:rPr>
              <w:t>、CO</w:t>
            </w:r>
            <w:r>
              <w:rPr>
                <w:sz w:val="21"/>
                <w:szCs w:val="21"/>
                <w:highlight w:val="none"/>
                <w:vertAlign w:val="subscript"/>
                <w:lang w:val="pt-BR"/>
              </w:rPr>
              <w:t>2</w:t>
            </w:r>
            <w:r>
              <w:rPr>
                <w:sz w:val="21"/>
                <w:szCs w:val="21"/>
                <w:highlight w:val="none"/>
                <w:lang w:val="pt-BR"/>
              </w:rPr>
              <w:t>、CH</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2</w:t>
            </w:r>
            <w:r>
              <w:rPr>
                <w:sz w:val="21"/>
                <w:szCs w:val="21"/>
                <w:highlight w:val="none"/>
                <w:lang w:val="pt-BR"/>
              </w:rPr>
              <w:t>S、N</w:t>
            </w:r>
            <w:r>
              <w:rPr>
                <w:sz w:val="21"/>
                <w:szCs w:val="21"/>
                <w:highlight w:val="none"/>
                <w:vertAlign w:val="subscript"/>
                <w:lang w:val="pt-BR"/>
              </w:rPr>
              <w:t>2</w:t>
            </w:r>
            <w:r>
              <w:rPr>
                <w:sz w:val="21"/>
                <w:szCs w:val="21"/>
                <w:highlight w:val="none"/>
                <w:lang w:val="pt-BR"/>
              </w:rPr>
              <w:t>、Ar、HCl、NH</w:t>
            </w:r>
            <w:r>
              <w:rPr>
                <w:sz w:val="21"/>
                <w:szCs w:val="21"/>
                <w:highlight w:val="none"/>
                <w:vertAlign w:val="subscript"/>
                <w:lang w:val="pt-BR"/>
              </w:rPr>
              <w:t>3</w:t>
            </w:r>
            <w:r>
              <w:rPr>
                <w:sz w:val="21"/>
                <w:szCs w:val="21"/>
                <w:highlight w:val="none"/>
                <w:lang w:val="pt-BR"/>
              </w:rPr>
              <w:t>、COS、HCN</w:t>
            </w:r>
          </w:p>
        </w:tc>
        <w:tc>
          <w:tcPr>
            <w:tcW w:w="888" w:type="pct"/>
            <w:noWrap w:val="0"/>
            <w:tcMar>
              <w:left w:w="28" w:type="dxa"/>
              <w:right w:w="28" w:type="dxa"/>
            </w:tcMar>
            <w:vAlign w:val="center"/>
          </w:tcPr>
          <w:p w14:paraId="18D7CBC7">
            <w:pPr>
              <w:jc w:val="center"/>
              <w:rPr>
                <w:sz w:val="21"/>
                <w:szCs w:val="21"/>
                <w:highlight w:val="none"/>
              </w:rPr>
            </w:pPr>
            <w:r>
              <w:rPr>
                <w:sz w:val="21"/>
                <w:szCs w:val="21"/>
                <w:highlight w:val="none"/>
              </w:rPr>
              <w:t>送净化装置硫回收单元</w:t>
            </w:r>
          </w:p>
        </w:tc>
        <w:tc>
          <w:tcPr>
            <w:tcW w:w="374" w:type="pct"/>
            <w:noWrap w:val="0"/>
            <w:tcMar>
              <w:left w:w="28" w:type="dxa"/>
              <w:right w:w="28" w:type="dxa"/>
            </w:tcMar>
            <w:vAlign w:val="center"/>
          </w:tcPr>
          <w:p w14:paraId="6BF7AF64">
            <w:pPr>
              <w:jc w:val="center"/>
              <w:rPr>
                <w:sz w:val="21"/>
                <w:szCs w:val="21"/>
                <w:highlight w:val="none"/>
                <w:lang w:val="pt-BR"/>
              </w:rPr>
            </w:pPr>
            <w:r>
              <w:rPr>
                <w:sz w:val="21"/>
                <w:szCs w:val="21"/>
                <w:highlight w:val="none"/>
                <w:lang w:val="pt-BR"/>
              </w:rPr>
              <w:t>/</w:t>
            </w:r>
          </w:p>
        </w:tc>
        <w:tc>
          <w:tcPr>
            <w:tcW w:w="316" w:type="pct"/>
            <w:noWrap w:val="0"/>
            <w:tcMar>
              <w:left w:w="28" w:type="dxa"/>
              <w:right w:w="28" w:type="dxa"/>
            </w:tcMar>
            <w:vAlign w:val="center"/>
          </w:tcPr>
          <w:p w14:paraId="5F04698F">
            <w:pPr>
              <w:jc w:val="center"/>
              <w:rPr>
                <w:sz w:val="21"/>
                <w:szCs w:val="21"/>
                <w:highlight w:val="none"/>
              </w:rPr>
            </w:pPr>
            <w:r>
              <w:rPr>
                <w:sz w:val="21"/>
                <w:szCs w:val="21"/>
                <w:highlight w:val="none"/>
              </w:rPr>
              <w:t>/</w:t>
            </w:r>
          </w:p>
        </w:tc>
        <w:tc>
          <w:tcPr>
            <w:tcW w:w="252" w:type="pct"/>
            <w:noWrap w:val="0"/>
            <w:tcMar>
              <w:left w:w="28" w:type="dxa"/>
              <w:right w:w="28" w:type="dxa"/>
            </w:tcMar>
            <w:vAlign w:val="center"/>
          </w:tcPr>
          <w:p w14:paraId="46158CB1">
            <w:pPr>
              <w:jc w:val="center"/>
              <w:rPr>
                <w:sz w:val="21"/>
                <w:szCs w:val="21"/>
                <w:highlight w:val="none"/>
              </w:rPr>
            </w:pPr>
            <w:r>
              <w:rPr>
                <w:sz w:val="21"/>
                <w:szCs w:val="21"/>
                <w:highlight w:val="none"/>
              </w:rPr>
              <w:t>/</w:t>
            </w:r>
          </w:p>
        </w:tc>
        <w:tc>
          <w:tcPr>
            <w:tcW w:w="226" w:type="pct"/>
            <w:noWrap w:val="0"/>
            <w:vAlign w:val="center"/>
          </w:tcPr>
          <w:p w14:paraId="257ED425">
            <w:pPr>
              <w:jc w:val="center"/>
              <w:rPr>
                <w:sz w:val="21"/>
                <w:szCs w:val="21"/>
                <w:highlight w:val="none"/>
              </w:rPr>
            </w:pPr>
            <w:r>
              <w:rPr>
                <w:sz w:val="21"/>
                <w:szCs w:val="21"/>
                <w:highlight w:val="none"/>
              </w:rPr>
              <w:t>/</w:t>
            </w:r>
          </w:p>
        </w:tc>
        <w:tc>
          <w:tcPr>
            <w:tcW w:w="244" w:type="pct"/>
            <w:noWrap w:val="0"/>
            <w:tcMar>
              <w:left w:w="28" w:type="dxa"/>
              <w:right w:w="28" w:type="dxa"/>
            </w:tcMar>
            <w:vAlign w:val="center"/>
          </w:tcPr>
          <w:p w14:paraId="637A718F">
            <w:pPr>
              <w:jc w:val="center"/>
              <w:rPr>
                <w:sz w:val="21"/>
                <w:szCs w:val="21"/>
                <w:highlight w:val="none"/>
              </w:rPr>
            </w:pPr>
            <w:r>
              <w:rPr>
                <w:sz w:val="21"/>
                <w:szCs w:val="21"/>
                <w:highlight w:val="none"/>
              </w:rPr>
              <w:t>/</w:t>
            </w:r>
          </w:p>
        </w:tc>
        <w:tc>
          <w:tcPr>
            <w:tcW w:w="212" w:type="pct"/>
            <w:noWrap w:val="0"/>
            <w:vAlign w:val="center"/>
          </w:tcPr>
          <w:p w14:paraId="5E1962AC">
            <w:pPr>
              <w:jc w:val="center"/>
              <w:rPr>
                <w:sz w:val="21"/>
                <w:szCs w:val="21"/>
                <w:highlight w:val="none"/>
              </w:rPr>
            </w:pPr>
            <w:r>
              <w:rPr>
                <w:sz w:val="21"/>
                <w:szCs w:val="21"/>
                <w:highlight w:val="none"/>
              </w:rPr>
              <w:t>连续</w:t>
            </w:r>
          </w:p>
        </w:tc>
        <w:tc>
          <w:tcPr>
            <w:tcW w:w="416" w:type="pct"/>
            <w:noWrap w:val="0"/>
            <w:vAlign w:val="center"/>
          </w:tcPr>
          <w:p w14:paraId="58496C4E">
            <w:pPr>
              <w:jc w:val="center"/>
              <w:rPr>
                <w:sz w:val="21"/>
                <w:szCs w:val="21"/>
                <w:highlight w:val="none"/>
              </w:rPr>
            </w:pPr>
            <w:r>
              <w:rPr>
                <w:sz w:val="21"/>
                <w:szCs w:val="21"/>
                <w:highlight w:val="none"/>
              </w:rPr>
              <w:t>送净化装置硫回收单元尾气焚烧工序</w:t>
            </w:r>
          </w:p>
        </w:tc>
      </w:tr>
      <w:tr w14:paraId="46A3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3A2A4FFE">
            <w:pPr>
              <w:widowControl/>
              <w:snapToGrid w:val="0"/>
              <w:jc w:val="center"/>
              <w:rPr>
                <w:sz w:val="21"/>
                <w:szCs w:val="21"/>
                <w:highlight w:val="none"/>
              </w:rPr>
            </w:pPr>
          </w:p>
        </w:tc>
        <w:tc>
          <w:tcPr>
            <w:tcW w:w="228" w:type="pct"/>
            <w:vMerge w:val="continue"/>
            <w:noWrap w:val="0"/>
            <w:vAlign w:val="center"/>
          </w:tcPr>
          <w:p w14:paraId="3D05FCFD">
            <w:pPr>
              <w:widowControl/>
              <w:snapToGrid w:val="0"/>
              <w:jc w:val="center"/>
              <w:rPr>
                <w:sz w:val="21"/>
                <w:szCs w:val="21"/>
                <w:highlight w:val="none"/>
              </w:rPr>
            </w:pPr>
          </w:p>
        </w:tc>
        <w:tc>
          <w:tcPr>
            <w:tcW w:w="301" w:type="pct"/>
            <w:vMerge w:val="continue"/>
            <w:noWrap w:val="0"/>
            <w:vAlign w:val="center"/>
          </w:tcPr>
          <w:p w14:paraId="027915FA">
            <w:pPr>
              <w:jc w:val="center"/>
              <w:rPr>
                <w:sz w:val="21"/>
                <w:szCs w:val="21"/>
                <w:highlight w:val="none"/>
              </w:rPr>
            </w:pPr>
          </w:p>
        </w:tc>
        <w:tc>
          <w:tcPr>
            <w:tcW w:w="590" w:type="pct"/>
            <w:noWrap w:val="0"/>
            <w:vAlign w:val="center"/>
          </w:tcPr>
          <w:p w14:paraId="58E8BEA0">
            <w:pPr>
              <w:jc w:val="center"/>
              <w:rPr>
                <w:sz w:val="21"/>
                <w:szCs w:val="21"/>
                <w:highlight w:val="none"/>
              </w:rPr>
            </w:pPr>
            <w:r>
              <w:rPr>
                <w:sz w:val="21"/>
                <w:szCs w:val="21"/>
                <w:highlight w:val="none"/>
              </w:rPr>
              <w:t>除氧器出口排放气（低压闪蒸）</w:t>
            </w:r>
          </w:p>
        </w:tc>
        <w:tc>
          <w:tcPr>
            <w:tcW w:w="748" w:type="pct"/>
            <w:noWrap w:val="0"/>
            <w:tcMar>
              <w:left w:w="28" w:type="dxa"/>
              <w:right w:w="28" w:type="dxa"/>
            </w:tcMar>
            <w:vAlign w:val="center"/>
          </w:tcPr>
          <w:p w14:paraId="71CA01C5">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00C0CB4F">
            <w:pPr>
              <w:jc w:val="center"/>
              <w:rPr>
                <w:sz w:val="21"/>
                <w:szCs w:val="21"/>
                <w:highlight w:val="none"/>
                <w:lang w:val="pt-BR"/>
              </w:rPr>
            </w:pPr>
            <w:r>
              <w:rPr>
                <w:sz w:val="21"/>
                <w:szCs w:val="21"/>
                <w:highlight w:val="none"/>
                <w:lang w:val="pt-BR"/>
              </w:rPr>
              <w:t>NH</w:t>
            </w:r>
            <w:r>
              <w:rPr>
                <w:sz w:val="21"/>
                <w:szCs w:val="21"/>
                <w:highlight w:val="none"/>
                <w:vertAlign w:val="subscript"/>
                <w:lang w:val="pt-BR"/>
              </w:rPr>
              <w:t>3</w:t>
            </w:r>
          </w:p>
        </w:tc>
        <w:tc>
          <w:tcPr>
            <w:tcW w:w="888" w:type="pct"/>
            <w:noWrap w:val="0"/>
            <w:tcMar>
              <w:left w:w="28" w:type="dxa"/>
              <w:right w:w="28" w:type="dxa"/>
            </w:tcMar>
            <w:vAlign w:val="center"/>
          </w:tcPr>
          <w:p w14:paraId="26682BDC">
            <w:pPr>
              <w:jc w:val="center"/>
              <w:rPr>
                <w:sz w:val="21"/>
                <w:szCs w:val="21"/>
                <w:highlight w:val="none"/>
                <w:lang w:val="pt-BR"/>
              </w:rPr>
            </w:pPr>
            <w:r>
              <w:rPr>
                <w:sz w:val="21"/>
                <w:szCs w:val="21"/>
                <w:highlight w:val="none"/>
              </w:rPr>
              <w:t>/</w:t>
            </w:r>
          </w:p>
        </w:tc>
        <w:tc>
          <w:tcPr>
            <w:tcW w:w="374" w:type="pct"/>
            <w:noWrap w:val="0"/>
            <w:tcMar>
              <w:left w:w="28" w:type="dxa"/>
              <w:right w:w="28" w:type="dxa"/>
            </w:tcMar>
            <w:vAlign w:val="center"/>
          </w:tcPr>
          <w:p w14:paraId="5A9BEB09">
            <w:pPr>
              <w:jc w:val="center"/>
              <w:rPr>
                <w:sz w:val="21"/>
                <w:szCs w:val="21"/>
                <w:highlight w:val="none"/>
                <w:lang w:val="pt-BR"/>
              </w:rPr>
            </w:pPr>
            <w:r>
              <w:rPr>
                <w:sz w:val="21"/>
                <w:szCs w:val="21"/>
                <w:highlight w:val="none"/>
              </w:rPr>
              <w:t>2×</w:t>
            </w:r>
            <w:r>
              <w:rPr>
                <w:sz w:val="21"/>
                <w:szCs w:val="21"/>
                <w:highlight w:val="none"/>
                <w:lang w:val="pt-BR"/>
              </w:rPr>
              <w:t>5641</w:t>
            </w:r>
          </w:p>
        </w:tc>
        <w:tc>
          <w:tcPr>
            <w:tcW w:w="316" w:type="pct"/>
            <w:noWrap w:val="0"/>
            <w:tcMar>
              <w:left w:w="28" w:type="dxa"/>
              <w:right w:w="28" w:type="dxa"/>
            </w:tcMar>
            <w:vAlign w:val="center"/>
          </w:tcPr>
          <w:p w14:paraId="7E1EF076">
            <w:pPr>
              <w:jc w:val="center"/>
              <w:rPr>
                <w:sz w:val="21"/>
                <w:szCs w:val="21"/>
                <w:highlight w:val="none"/>
                <w:lang w:val="pt-BR"/>
              </w:rPr>
            </w:pPr>
            <w:r>
              <w:rPr>
                <w:sz w:val="21"/>
                <w:szCs w:val="21"/>
                <w:highlight w:val="none"/>
                <w:lang w:val="pt-BR"/>
              </w:rPr>
              <w:t>0.006</w:t>
            </w:r>
          </w:p>
          <w:p w14:paraId="6F0C239E">
            <w:pPr>
              <w:jc w:val="center"/>
              <w:rPr>
                <w:sz w:val="21"/>
                <w:szCs w:val="21"/>
                <w:highlight w:val="none"/>
                <w:lang w:val="pt-BR"/>
              </w:rPr>
            </w:pPr>
            <w:r>
              <w:rPr>
                <w:sz w:val="21"/>
                <w:szCs w:val="21"/>
                <w:highlight w:val="none"/>
                <w:lang w:val="pt-BR"/>
              </w:rPr>
              <w:t>0.373</w:t>
            </w:r>
          </w:p>
        </w:tc>
        <w:tc>
          <w:tcPr>
            <w:tcW w:w="252" w:type="pct"/>
            <w:noWrap w:val="0"/>
            <w:tcMar>
              <w:left w:w="28" w:type="dxa"/>
              <w:right w:w="28" w:type="dxa"/>
            </w:tcMar>
            <w:vAlign w:val="center"/>
          </w:tcPr>
          <w:p w14:paraId="5E4A0F0A">
            <w:pPr>
              <w:jc w:val="center"/>
              <w:rPr>
                <w:sz w:val="21"/>
                <w:szCs w:val="21"/>
                <w:highlight w:val="none"/>
              </w:rPr>
            </w:pPr>
            <w:r>
              <w:rPr>
                <w:sz w:val="21"/>
                <w:szCs w:val="21"/>
                <w:highlight w:val="none"/>
              </w:rPr>
              <w:t>2</w:t>
            </w:r>
          </w:p>
        </w:tc>
        <w:tc>
          <w:tcPr>
            <w:tcW w:w="226" w:type="pct"/>
            <w:noWrap w:val="0"/>
            <w:vAlign w:val="center"/>
          </w:tcPr>
          <w:p w14:paraId="1AFB75F8">
            <w:pPr>
              <w:jc w:val="center"/>
              <w:rPr>
                <w:sz w:val="21"/>
                <w:szCs w:val="21"/>
                <w:highlight w:val="none"/>
              </w:rPr>
            </w:pPr>
            <w:r>
              <w:rPr>
                <w:sz w:val="21"/>
                <w:szCs w:val="21"/>
                <w:highlight w:val="none"/>
              </w:rPr>
              <w:t>35</w:t>
            </w:r>
          </w:p>
        </w:tc>
        <w:tc>
          <w:tcPr>
            <w:tcW w:w="244" w:type="pct"/>
            <w:noWrap w:val="0"/>
            <w:tcMar>
              <w:left w:w="28" w:type="dxa"/>
              <w:right w:w="28" w:type="dxa"/>
            </w:tcMar>
            <w:vAlign w:val="center"/>
          </w:tcPr>
          <w:p w14:paraId="57DBB05B">
            <w:pPr>
              <w:jc w:val="center"/>
              <w:rPr>
                <w:sz w:val="21"/>
                <w:szCs w:val="21"/>
                <w:highlight w:val="none"/>
              </w:rPr>
            </w:pPr>
            <w:r>
              <w:rPr>
                <w:sz w:val="21"/>
                <w:szCs w:val="21"/>
                <w:highlight w:val="none"/>
              </w:rPr>
              <w:t>0.25</w:t>
            </w:r>
          </w:p>
        </w:tc>
        <w:tc>
          <w:tcPr>
            <w:tcW w:w="212" w:type="pct"/>
            <w:noWrap w:val="0"/>
            <w:vAlign w:val="center"/>
          </w:tcPr>
          <w:p w14:paraId="28EBE00A">
            <w:pPr>
              <w:jc w:val="center"/>
              <w:rPr>
                <w:sz w:val="21"/>
                <w:szCs w:val="21"/>
                <w:highlight w:val="none"/>
              </w:rPr>
            </w:pPr>
            <w:r>
              <w:rPr>
                <w:sz w:val="21"/>
                <w:szCs w:val="21"/>
                <w:highlight w:val="none"/>
              </w:rPr>
              <w:t>连续</w:t>
            </w:r>
          </w:p>
        </w:tc>
        <w:tc>
          <w:tcPr>
            <w:tcW w:w="416" w:type="pct"/>
            <w:noWrap w:val="0"/>
            <w:vAlign w:val="center"/>
          </w:tcPr>
          <w:p w14:paraId="46B055F6">
            <w:pPr>
              <w:jc w:val="center"/>
              <w:rPr>
                <w:sz w:val="21"/>
                <w:szCs w:val="21"/>
                <w:highlight w:val="none"/>
              </w:rPr>
            </w:pPr>
            <w:r>
              <w:rPr>
                <w:sz w:val="21"/>
                <w:szCs w:val="21"/>
                <w:highlight w:val="none"/>
              </w:rPr>
              <w:t>排入大气</w:t>
            </w:r>
          </w:p>
        </w:tc>
      </w:tr>
      <w:tr w14:paraId="113F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2ABF6F9D">
            <w:pPr>
              <w:widowControl/>
              <w:snapToGrid w:val="0"/>
              <w:jc w:val="center"/>
              <w:rPr>
                <w:sz w:val="21"/>
                <w:szCs w:val="21"/>
                <w:highlight w:val="none"/>
              </w:rPr>
            </w:pPr>
          </w:p>
        </w:tc>
        <w:tc>
          <w:tcPr>
            <w:tcW w:w="228" w:type="pct"/>
            <w:vMerge w:val="continue"/>
            <w:noWrap w:val="0"/>
            <w:vAlign w:val="center"/>
          </w:tcPr>
          <w:p w14:paraId="630191E4">
            <w:pPr>
              <w:widowControl/>
              <w:snapToGrid w:val="0"/>
              <w:jc w:val="center"/>
              <w:rPr>
                <w:sz w:val="21"/>
                <w:szCs w:val="21"/>
                <w:highlight w:val="none"/>
              </w:rPr>
            </w:pPr>
          </w:p>
        </w:tc>
        <w:tc>
          <w:tcPr>
            <w:tcW w:w="301" w:type="pct"/>
            <w:vMerge w:val="continue"/>
            <w:noWrap w:val="0"/>
            <w:vAlign w:val="center"/>
          </w:tcPr>
          <w:p w14:paraId="48834B74">
            <w:pPr>
              <w:jc w:val="center"/>
              <w:rPr>
                <w:sz w:val="21"/>
                <w:szCs w:val="21"/>
                <w:highlight w:val="none"/>
              </w:rPr>
            </w:pPr>
          </w:p>
        </w:tc>
        <w:tc>
          <w:tcPr>
            <w:tcW w:w="590" w:type="pct"/>
            <w:noWrap w:val="0"/>
            <w:vAlign w:val="center"/>
          </w:tcPr>
          <w:p w14:paraId="7A31A3CE">
            <w:pPr>
              <w:jc w:val="center"/>
              <w:rPr>
                <w:sz w:val="21"/>
                <w:szCs w:val="21"/>
                <w:highlight w:val="none"/>
              </w:rPr>
            </w:pPr>
            <w:r>
              <w:rPr>
                <w:sz w:val="21"/>
                <w:szCs w:val="21"/>
                <w:highlight w:val="none"/>
              </w:rPr>
              <w:t>真空泵出口排放气（真空闪蒸）</w:t>
            </w:r>
          </w:p>
        </w:tc>
        <w:tc>
          <w:tcPr>
            <w:tcW w:w="748" w:type="pct"/>
            <w:noWrap w:val="0"/>
            <w:tcMar>
              <w:left w:w="28" w:type="dxa"/>
              <w:right w:w="28" w:type="dxa"/>
            </w:tcMar>
            <w:vAlign w:val="center"/>
          </w:tcPr>
          <w:p w14:paraId="122BE015">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37C21AEF">
            <w:pPr>
              <w:jc w:val="center"/>
              <w:rPr>
                <w:sz w:val="21"/>
                <w:szCs w:val="21"/>
                <w:highlight w:val="none"/>
                <w:lang w:val="pt-BR"/>
              </w:rPr>
            </w:pPr>
            <w:r>
              <w:rPr>
                <w:sz w:val="21"/>
                <w:szCs w:val="21"/>
                <w:highlight w:val="none"/>
                <w:lang w:val="pt-BR"/>
              </w:rPr>
              <w:t>NH</w:t>
            </w:r>
            <w:r>
              <w:rPr>
                <w:sz w:val="21"/>
                <w:szCs w:val="21"/>
                <w:highlight w:val="none"/>
                <w:vertAlign w:val="subscript"/>
                <w:lang w:val="pt-BR"/>
              </w:rPr>
              <w:t>3</w:t>
            </w:r>
          </w:p>
          <w:p w14:paraId="6A969696">
            <w:pPr>
              <w:jc w:val="center"/>
              <w:rPr>
                <w:sz w:val="21"/>
                <w:szCs w:val="21"/>
                <w:highlight w:val="none"/>
                <w:lang w:val="pt-BR"/>
              </w:rPr>
            </w:pPr>
            <w:r>
              <w:rPr>
                <w:sz w:val="21"/>
                <w:szCs w:val="21"/>
                <w:highlight w:val="none"/>
                <w:lang w:val="pt-BR"/>
              </w:rPr>
              <w:t>非甲烷总烃</w:t>
            </w:r>
          </w:p>
        </w:tc>
        <w:tc>
          <w:tcPr>
            <w:tcW w:w="888" w:type="pct"/>
            <w:noWrap w:val="0"/>
            <w:tcMar>
              <w:left w:w="28" w:type="dxa"/>
              <w:right w:w="28" w:type="dxa"/>
            </w:tcMar>
            <w:vAlign w:val="center"/>
          </w:tcPr>
          <w:p w14:paraId="74193338">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6D498050">
            <w:pPr>
              <w:jc w:val="center"/>
              <w:rPr>
                <w:sz w:val="21"/>
                <w:szCs w:val="21"/>
                <w:highlight w:val="none"/>
              </w:rPr>
            </w:pPr>
            <w:r>
              <w:rPr>
                <w:sz w:val="21"/>
                <w:szCs w:val="21"/>
                <w:highlight w:val="none"/>
              </w:rPr>
              <w:t>2×112</w:t>
            </w:r>
          </w:p>
        </w:tc>
        <w:tc>
          <w:tcPr>
            <w:tcW w:w="316" w:type="pct"/>
            <w:noWrap w:val="0"/>
            <w:tcMar>
              <w:left w:w="28" w:type="dxa"/>
              <w:right w:w="28" w:type="dxa"/>
            </w:tcMar>
            <w:vAlign w:val="center"/>
          </w:tcPr>
          <w:p w14:paraId="242EEB5C">
            <w:pPr>
              <w:jc w:val="center"/>
              <w:rPr>
                <w:sz w:val="21"/>
                <w:szCs w:val="21"/>
                <w:highlight w:val="none"/>
              </w:rPr>
            </w:pPr>
            <w:r>
              <w:rPr>
                <w:sz w:val="21"/>
                <w:szCs w:val="21"/>
                <w:highlight w:val="none"/>
              </w:rPr>
              <w:t>2.0×10</w:t>
            </w:r>
            <w:r>
              <w:rPr>
                <w:sz w:val="21"/>
                <w:szCs w:val="21"/>
                <w:highlight w:val="none"/>
                <w:vertAlign w:val="superscript"/>
              </w:rPr>
              <w:t>-6</w:t>
            </w:r>
          </w:p>
          <w:p w14:paraId="5A937E13">
            <w:pPr>
              <w:jc w:val="center"/>
              <w:rPr>
                <w:sz w:val="21"/>
                <w:szCs w:val="21"/>
                <w:highlight w:val="none"/>
                <w:lang w:val="pt-BR"/>
              </w:rPr>
            </w:pPr>
            <w:r>
              <w:rPr>
                <w:sz w:val="21"/>
                <w:szCs w:val="21"/>
                <w:highlight w:val="none"/>
                <w:lang w:val="pt-BR"/>
              </w:rPr>
              <w:t>0.010</w:t>
            </w:r>
          </w:p>
          <w:p w14:paraId="42DA52DE">
            <w:pPr>
              <w:jc w:val="center"/>
              <w:rPr>
                <w:sz w:val="21"/>
                <w:szCs w:val="21"/>
                <w:highlight w:val="none"/>
                <w:lang w:val="pt-BR"/>
              </w:rPr>
            </w:pPr>
            <w:r>
              <w:rPr>
                <w:sz w:val="21"/>
                <w:szCs w:val="21"/>
                <w:highlight w:val="none"/>
                <w:lang w:val="pt-BR"/>
              </w:rPr>
              <w:t>10.5</w:t>
            </w:r>
          </w:p>
        </w:tc>
        <w:tc>
          <w:tcPr>
            <w:tcW w:w="252" w:type="pct"/>
            <w:noWrap w:val="0"/>
            <w:tcMar>
              <w:left w:w="28" w:type="dxa"/>
              <w:right w:w="28" w:type="dxa"/>
            </w:tcMar>
            <w:vAlign w:val="center"/>
          </w:tcPr>
          <w:p w14:paraId="7FE53353">
            <w:pPr>
              <w:jc w:val="center"/>
              <w:rPr>
                <w:sz w:val="21"/>
                <w:szCs w:val="21"/>
                <w:highlight w:val="none"/>
              </w:rPr>
            </w:pPr>
            <w:r>
              <w:rPr>
                <w:sz w:val="21"/>
                <w:szCs w:val="21"/>
                <w:highlight w:val="none"/>
              </w:rPr>
              <w:t>2</w:t>
            </w:r>
          </w:p>
        </w:tc>
        <w:tc>
          <w:tcPr>
            <w:tcW w:w="226" w:type="pct"/>
            <w:noWrap w:val="0"/>
            <w:vAlign w:val="center"/>
          </w:tcPr>
          <w:p w14:paraId="1AAA6105">
            <w:pPr>
              <w:jc w:val="center"/>
              <w:rPr>
                <w:sz w:val="21"/>
                <w:szCs w:val="21"/>
                <w:highlight w:val="none"/>
              </w:rPr>
            </w:pPr>
            <w:r>
              <w:rPr>
                <w:sz w:val="21"/>
                <w:szCs w:val="21"/>
                <w:highlight w:val="none"/>
              </w:rPr>
              <w:t>35</w:t>
            </w:r>
          </w:p>
        </w:tc>
        <w:tc>
          <w:tcPr>
            <w:tcW w:w="244" w:type="pct"/>
            <w:noWrap w:val="0"/>
            <w:tcMar>
              <w:left w:w="28" w:type="dxa"/>
              <w:right w:w="28" w:type="dxa"/>
            </w:tcMar>
            <w:vAlign w:val="center"/>
          </w:tcPr>
          <w:p w14:paraId="1F35FC27">
            <w:pPr>
              <w:jc w:val="center"/>
              <w:rPr>
                <w:sz w:val="21"/>
                <w:szCs w:val="21"/>
                <w:highlight w:val="none"/>
              </w:rPr>
            </w:pPr>
            <w:r>
              <w:rPr>
                <w:sz w:val="21"/>
                <w:szCs w:val="21"/>
                <w:highlight w:val="none"/>
              </w:rPr>
              <w:t>0.15</w:t>
            </w:r>
          </w:p>
        </w:tc>
        <w:tc>
          <w:tcPr>
            <w:tcW w:w="212" w:type="pct"/>
            <w:noWrap w:val="0"/>
            <w:vAlign w:val="center"/>
          </w:tcPr>
          <w:p w14:paraId="14377EA6">
            <w:pPr>
              <w:jc w:val="center"/>
              <w:rPr>
                <w:sz w:val="21"/>
                <w:szCs w:val="21"/>
                <w:highlight w:val="none"/>
              </w:rPr>
            </w:pPr>
            <w:r>
              <w:rPr>
                <w:sz w:val="21"/>
                <w:szCs w:val="21"/>
                <w:highlight w:val="none"/>
              </w:rPr>
              <w:t>连续</w:t>
            </w:r>
          </w:p>
        </w:tc>
        <w:tc>
          <w:tcPr>
            <w:tcW w:w="416" w:type="pct"/>
            <w:noWrap w:val="0"/>
            <w:vAlign w:val="center"/>
          </w:tcPr>
          <w:p w14:paraId="3C588BA2">
            <w:pPr>
              <w:jc w:val="center"/>
              <w:rPr>
                <w:sz w:val="21"/>
                <w:szCs w:val="21"/>
                <w:highlight w:val="none"/>
              </w:rPr>
            </w:pPr>
            <w:r>
              <w:rPr>
                <w:sz w:val="21"/>
                <w:szCs w:val="21"/>
                <w:highlight w:val="none"/>
              </w:rPr>
              <w:t>排入大气</w:t>
            </w:r>
          </w:p>
        </w:tc>
      </w:tr>
      <w:tr w14:paraId="7B28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490E25D4">
            <w:pPr>
              <w:widowControl/>
              <w:snapToGrid w:val="0"/>
              <w:jc w:val="center"/>
              <w:rPr>
                <w:sz w:val="21"/>
                <w:szCs w:val="21"/>
                <w:highlight w:val="none"/>
              </w:rPr>
            </w:pPr>
          </w:p>
        </w:tc>
        <w:tc>
          <w:tcPr>
            <w:tcW w:w="228" w:type="pct"/>
            <w:vMerge w:val="restart"/>
            <w:noWrap w:val="0"/>
            <w:vAlign w:val="center"/>
          </w:tcPr>
          <w:p w14:paraId="0AD785BC">
            <w:pPr>
              <w:widowControl/>
              <w:snapToGrid w:val="0"/>
              <w:jc w:val="center"/>
              <w:rPr>
                <w:sz w:val="21"/>
                <w:szCs w:val="21"/>
                <w:highlight w:val="none"/>
              </w:rPr>
            </w:pPr>
            <w:r>
              <w:rPr>
                <w:sz w:val="21"/>
                <w:szCs w:val="21"/>
                <w:highlight w:val="none"/>
              </w:rPr>
              <w:t>水煤浆气化</w:t>
            </w:r>
          </w:p>
        </w:tc>
        <w:tc>
          <w:tcPr>
            <w:tcW w:w="301" w:type="pct"/>
            <w:noWrap w:val="0"/>
            <w:vAlign w:val="center"/>
          </w:tcPr>
          <w:p w14:paraId="4A1EF1E7">
            <w:pPr>
              <w:jc w:val="center"/>
              <w:rPr>
                <w:sz w:val="21"/>
                <w:szCs w:val="21"/>
                <w:highlight w:val="none"/>
              </w:rPr>
            </w:pPr>
            <w:r>
              <w:rPr>
                <w:sz w:val="21"/>
                <w:szCs w:val="21"/>
                <w:highlight w:val="none"/>
              </w:rPr>
              <w:t>水煤浆制备单元</w:t>
            </w:r>
          </w:p>
        </w:tc>
        <w:tc>
          <w:tcPr>
            <w:tcW w:w="590" w:type="pct"/>
            <w:noWrap w:val="0"/>
            <w:vAlign w:val="center"/>
          </w:tcPr>
          <w:p w14:paraId="34DD70A9">
            <w:pPr>
              <w:jc w:val="center"/>
              <w:rPr>
                <w:sz w:val="21"/>
                <w:szCs w:val="21"/>
                <w:highlight w:val="none"/>
              </w:rPr>
            </w:pPr>
            <w:r>
              <w:rPr>
                <w:sz w:val="21"/>
                <w:szCs w:val="21"/>
                <w:highlight w:val="none"/>
              </w:rPr>
              <w:t>碎煤仓含尘废气</w:t>
            </w:r>
          </w:p>
        </w:tc>
        <w:tc>
          <w:tcPr>
            <w:tcW w:w="748" w:type="pct"/>
            <w:noWrap w:val="0"/>
            <w:tcMar>
              <w:left w:w="28" w:type="dxa"/>
              <w:right w:w="28" w:type="dxa"/>
            </w:tcMar>
            <w:vAlign w:val="center"/>
          </w:tcPr>
          <w:p w14:paraId="2EF5D250">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66696697">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3E4F00C7">
            <w:pPr>
              <w:jc w:val="center"/>
              <w:rPr>
                <w:sz w:val="21"/>
                <w:szCs w:val="21"/>
                <w:highlight w:val="none"/>
              </w:rPr>
            </w:pPr>
            <w:r>
              <w:rPr>
                <w:sz w:val="21"/>
                <w:szCs w:val="21"/>
                <w:highlight w:val="none"/>
              </w:rPr>
              <w:t>7995</w:t>
            </w:r>
          </w:p>
        </w:tc>
        <w:tc>
          <w:tcPr>
            <w:tcW w:w="316" w:type="pct"/>
            <w:noWrap w:val="0"/>
            <w:tcMar>
              <w:left w:w="28" w:type="dxa"/>
              <w:right w:w="28" w:type="dxa"/>
            </w:tcMar>
            <w:vAlign w:val="center"/>
          </w:tcPr>
          <w:p w14:paraId="6AE10985">
            <w:pPr>
              <w:jc w:val="center"/>
              <w:rPr>
                <w:sz w:val="21"/>
                <w:szCs w:val="21"/>
                <w:highlight w:val="none"/>
              </w:rPr>
            </w:pPr>
            <w:r>
              <w:rPr>
                <w:sz w:val="21"/>
                <w:szCs w:val="21"/>
                <w:highlight w:val="none"/>
              </w:rPr>
              <w:t>14.1</w:t>
            </w:r>
          </w:p>
        </w:tc>
        <w:tc>
          <w:tcPr>
            <w:tcW w:w="252" w:type="pct"/>
            <w:noWrap w:val="0"/>
            <w:tcMar>
              <w:left w:w="28" w:type="dxa"/>
              <w:right w:w="28" w:type="dxa"/>
            </w:tcMar>
            <w:vAlign w:val="center"/>
          </w:tcPr>
          <w:p w14:paraId="2F7D02D4">
            <w:pPr>
              <w:jc w:val="center"/>
              <w:rPr>
                <w:sz w:val="21"/>
                <w:szCs w:val="21"/>
                <w:highlight w:val="none"/>
              </w:rPr>
            </w:pPr>
            <w:r>
              <w:rPr>
                <w:sz w:val="21"/>
                <w:szCs w:val="21"/>
                <w:highlight w:val="none"/>
              </w:rPr>
              <w:t>1</w:t>
            </w:r>
          </w:p>
        </w:tc>
        <w:tc>
          <w:tcPr>
            <w:tcW w:w="226" w:type="pct"/>
            <w:noWrap w:val="0"/>
            <w:vAlign w:val="center"/>
          </w:tcPr>
          <w:p w14:paraId="1AEDC3DC">
            <w:pPr>
              <w:jc w:val="center"/>
              <w:rPr>
                <w:sz w:val="21"/>
                <w:szCs w:val="21"/>
                <w:highlight w:val="none"/>
              </w:rPr>
            </w:pPr>
            <w:r>
              <w:rPr>
                <w:sz w:val="21"/>
                <w:szCs w:val="21"/>
                <w:highlight w:val="none"/>
              </w:rPr>
              <w:t>40</w:t>
            </w:r>
          </w:p>
        </w:tc>
        <w:tc>
          <w:tcPr>
            <w:tcW w:w="244" w:type="pct"/>
            <w:noWrap w:val="0"/>
            <w:tcMar>
              <w:left w:w="28" w:type="dxa"/>
              <w:right w:w="28" w:type="dxa"/>
            </w:tcMar>
            <w:vAlign w:val="center"/>
          </w:tcPr>
          <w:p w14:paraId="35896520">
            <w:pPr>
              <w:jc w:val="center"/>
              <w:rPr>
                <w:sz w:val="21"/>
                <w:szCs w:val="21"/>
                <w:highlight w:val="none"/>
              </w:rPr>
            </w:pPr>
            <w:r>
              <w:rPr>
                <w:sz w:val="21"/>
                <w:szCs w:val="21"/>
                <w:highlight w:val="none"/>
              </w:rPr>
              <w:t>0.5</w:t>
            </w:r>
          </w:p>
        </w:tc>
        <w:tc>
          <w:tcPr>
            <w:tcW w:w="212" w:type="pct"/>
            <w:noWrap w:val="0"/>
            <w:vAlign w:val="center"/>
          </w:tcPr>
          <w:p w14:paraId="180B2222">
            <w:pPr>
              <w:jc w:val="center"/>
              <w:rPr>
                <w:sz w:val="21"/>
                <w:szCs w:val="21"/>
                <w:highlight w:val="none"/>
              </w:rPr>
            </w:pPr>
            <w:r>
              <w:rPr>
                <w:sz w:val="21"/>
                <w:szCs w:val="21"/>
                <w:highlight w:val="none"/>
              </w:rPr>
              <w:t>间断</w:t>
            </w:r>
          </w:p>
        </w:tc>
        <w:tc>
          <w:tcPr>
            <w:tcW w:w="416" w:type="pct"/>
            <w:noWrap w:val="0"/>
            <w:vAlign w:val="center"/>
          </w:tcPr>
          <w:p w14:paraId="114E428A">
            <w:pPr>
              <w:jc w:val="center"/>
              <w:rPr>
                <w:sz w:val="21"/>
                <w:szCs w:val="21"/>
                <w:highlight w:val="none"/>
              </w:rPr>
            </w:pPr>
            <w:r>
              <w:rPr>
                <w:sz w:val="21"/>
                <w:szCs w:val="21"/>
                <w:highlight w:val="none"/>
              </w:rPr>
              <w:t>排入大气</w:t>
            </w:r>
          </w:p>
        </w:tc>
      </w:tr>
      <w:tr w14:paraId="59F4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1BD19422">
            <w:pPr>
              <w:widowControl/>
              <w:snapToGrid w:val="0"/>
              <w:jc w:val="center"/>
              <w:rPr>
                <w:sz w:val="21"/>
                <w:szCs w:val="21"/>
                <w:highlight w:val="none"/>
              </w:rPr>
            </w:pPr>
          </w:p>
        </w:tc>
        <w:tc>
          <w:tcPr>
            <w:tcW w:w="228" w:type="pct"/>
            <w:vMerge w:val="continue"/>
            <w:noWrap w:val="0"/>
            <w:vAlign w:val="center"/>
          </w:tcPr>
          <w:p w14:paraId="5909C6A7">
            <w:pPr>
              <w:widowControl/>
              <w:snapToGrid w:val="0"/>
              <w:jc w:val="center"/>
              <w:rPr>
                <w:sz w:val="21"/>
                <w:szCs w:val="21"/>
                <w:highlight w:val="none"/>
              </w:rPr>
            </w:pPr>
          </w:p>
        </w:tc>
        <w:tc>
          <w:tcPr>
            <w:tcW w:w="301" w:type="pct"/>
            <w:vMerge w:val="restart"/>
            <w:noWrap w:val="0"/>
            <w:vAlign w:val="center"/>
          </w:tcPr>
          <w:p w14:paraId="575F335A">
            <w:pPr>
              <w:jc w:val="center"/>
              <w:rPr>
                <w:sz w:val="21"/>
                <w:szCs w:val="21"/>
                <w:highlight w:val="none"/>
              </w:rPr>
            </w:pPr>
            <w:r>
              <w:rPr>
                <w:sz w:val="21"/>
                <w:szCs w:val="21"/>
                <w:highlight w:val="none"/>
              </w:rPr>
              <w:t>水煤浆渣水处理单元</w:t>
            </w:r>
          </w:p>
        </w:tc>
        <w:tc>
          <w:tcPr>
            <w:tcW w:w="590" w:type="pct"/>
            <w:noWrap w:val="0"/>
            <w:vAlign w:val="center"/>
          </w:tcPr>
          <w:p w14:paraId="64D11D4B">
            <w:pPr>
              <w:jc w:val="center"/>
              <w:rPr>
                <w:sz w:val="21"/>
                <w:szCs w:val="21"/>
                <w:highlight w:val="none"/>
              </w:rPr>
            </w:pPr>
            <w:r>
              <w:rPr>
                <w:sz w:val="21"/>
                <w:szCs w:val="21"/>
                <w:highlight w:val="none"/>
              </w:rPr>
              <w:t>低压闪蒸不凝气</w:t>
            </w:r>
          </w:p>
        </w:tc>
        <w:tc>
          <w:tcPr>
            <w:tcW w:w="748" w:type="pct"/>
            <w:noWrap w:val="0"/>
            <w:tcMar>
              <w:left w:w="28" w:type="dxa"/>
              <w:right w:w="28" w:type="dxa"/>
            </w:tcMar>
            <w:vAlign w:val="center"/>
          </w:tcPr>
          <w:p w14:paraId="606BC55F">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、CO、CO</w:t>
            </w:r>
            <w:r>
              <w:rPr>
                <w:sz w:val="21"/>
                <w:szCs w:val="21"/>
                <w:highlight w:val="none"/>
                <w:vertAlign w:val="subscript"/>
                <w:lang w:val="pt-BR"/>
              </w:rPr>
              <w:t>2</w:t>
            </w:r>
            <w:r>
              <w:rPr>
                <w:sz w:val="21"/>
                <w:szCs w:val="21"/>
                <w:highlight w:val="none"/>
                <w:lang w:val="pt-BR"/>
              </w:rPr>
              <w:t>、H</w:t>
            </w:r>
            <w:r>
              <w:rPr>
                <w:sz w:val="21"/>
                <w:szCs w:val="21"/>
                <w:highlight w:val="none"/>
                <w:vertAlign w:val="subscript"/>
                <w:lang w:val="pt-BR"/>
              </w:rPr>
              <w:t>2</w:t>
            </w:r>
            <w:r>
              <w:rPr>
                <w:sz w:val="21"/>
                <w:szCs w:val="21"/>
                <w:highlight w:val="none"/>
                <w:lang w:val="pt-BR"/>
              </w:rPr>
              <w:t>S、COS、CH</w:t>
            </w:r>
            <w:r>
              <w:rPr>
                <w:sz w:val="21"/>
                <w:szCs w:val="21"/>
                <w:highlight w:val="none"/>
                <w:vertAlign w:val="subscript"/>
                <w:lang w:val="pt-BR"/>
              </w:rPr>
              <w:t>4</w:t>
            </w:r>
            <w:r>
              <w:rPr>
                <w:sz w:val="21"/>
                <w:szCs w:val="21"/>
                <w:highlight w:val="none"/>
                <w:lang w:val="pt-BR"/>
              </w:rPr>
              <w:t>、N</w:t>
            </w:r>
            <w:r>
              <w:rPr>
                <w:sz w:val="21"/>
                <w:szCs w:val="21"/>
                <w:highlight w:val="none"/>
                <w:vertAlign w:val="subscript"/>
                <w:lang w:val="pt-BR"/>
              </w:rPr>
              <w:t>2</w:t>
            </w:r>
            <w:r>
              <w:rPr>
                <w:sz w:val="21"/>
                <w:szCs w:val="21"/>
                <w:highlight w:val="none"/>
                <w:lang w:val="pt-BR"/>
              </w:rPr>
              <w:t>、Ar、NH</w:t>
            </w:r>
            <w:r>
              <w:rPr>
                <w:sz w:val="21"/>
                <w:szCs w:val="21"/>
                <w:highlight w:val="none"/>
                <w:vertAlign w:val="subscript"/>
                <w:lang w:val="pt-BR"/>
              </w:rPr>
              <w:t>3</w:t>
            </w:r>
            <w:r>
              <w:rPr>
                <w:sz w:val="21"/>
                <w:szCs w:val="21"/>
                <w:highlight w:val="none"/>
                <w:lang w:val="pt-BR"/>
              </w:rPr>
              <w:t>、HCN</w:t>
            </w:r>
          </w:p>
        </w:tc>
        <w:tc>
          <w:tcPr>
            <w:tcW w:w="888" w:type="pct"/>
            <w:noWrap w:val="0"/>
            <w:tcMar>
              <w:left w:w="28" w:type="dxa"/>
              <w:right w:w="28" w:type="dxa"/>
            </w:tcMar>
            <w:vAlign w:val="center"/>
          </w:tcPr>
          <w:p w14:paraId="3F05A5F5">
            <w:pPr>
              <w:jc w:val="center"/>
              <w:rPr>
                <w:sz w:val="21"/>
                <w:szCs w:val="21"/>
                <w:highlight w:val="none"/>
              </w:rPr>
            </w:pPr>
            <w:r>
              <w:rPr>
                <w:sz w:val="21"/>
                <w:szCs w:val="21"/>
                <w:highlight w:val="none"/>
              </w:rPr>
              <w:t>送净化装置硫回收单元</w:t>
            </w:r>
          </w:p>
        </w:tc>
        <w:tc>
          <w:tcPr>
            <w:tcW w:w="374" w:type="pct"/>
            <w:noWrap w:val="0"/>
            <w:tcMar>
              <w:left w:w="28" w:type="dxa"/>
              <w:right w:w="28" w:type="dxa"/>
            </w:tcMar>
            <w:vAlign w:val="center"/>
          </w:tcPr>
          <w:p w14:paraId="75403BCC">
            <w:pPr>
              <w:jc w:val="center"/>
              <w:rPr>
                <w:sz w:val="21"/>
                <w:szCs w:val="21"/>
                <w:highlight w:val="none"/>
                <w:lang w:val="pt-BR"/>
              </w:rPr>
            </w:pPr>
            <w:r>
              <w:rPr>
                <w:sz w:val="21"/>
                <w:szCs w:val="21"/>
                <w:highlight w:val="none"/>
                <w:lang w:val="pt-BR"/>
              </w:rPr>
              <w:t>/</w:t>
            </w:r>
          </w:p>
        </w:tc>
        <w:tc>
          <w:tcPr>
            <w:tcW w:w="316" w:type="pct"/>
            <w:noWrap w:val="0"/>
            <w:tcMar>
              <w:left w:w="28" w:type="dxa"/>
              <w:right w:w="28" w:type="dxa"/>
            </w:tcMar>
            <w:vAlign w:val="center"/>
          </w:tcPr>
          <w:p w14:paraId="46E10FDA">
            <w:pPr>
              <w:jc w:val="center"/>
              <w:rPr>
                <w:sz w:val="21"/>
                <w:szCs w:val="21"/>
                <w:highlight w:val="none"/>
              </w:rPr>
            </w:pPr>
            <w:r>
              <w:rPr>
                <w:sz w:val="21"/>
                <w:szCs w:val="21"/>
                <w:highlight w:val="none"/>
              </w:rPr>
              <w:t>/</w:t>
            </w:r>
          </w:p>
        </w:tc>
        <w:tc>
          <w:tcPr>
            <w:tcW w:w="252" w:type="pct"/>
            <w:noWrap w:val="0"/>
            <w:tcMar>
              <w:left w:w="28" w:type="dxa"/>
              <w:right w:w="28" w:type="dxa"/>
            </w:tcMar>
            <w:vAlign w:val="center"/>
          </w:tcPr>
          <w:p w14:paraId="331FDD4D">
            <w:pPr>
              <w:jc w:val="center"/>
              <w:rPr>
                <w:sz w:val="21"/>
                <w:szCs w:val="21"/>
                <w:highlight w:val="none"/>
              </w:rPr>
            </w:pPr>
            <w:r>
              <w:rPr>
                <w:sz w:val="21"/>
                <w:szCs w:val="21"/>
                <w:highlight w:val="none"/>
              </w:rPr>
              <w:t>/</w:t>
            </w:r>
          </w:p>
        </w:tc>
        <w:tc>
          <w:tcPr>
            <w:tcW w:w="226" w:type="pct"/>
            <w:noWrap w:val="0"/>
            <w:vAlign w:val="center"/>
          </w:tcPr>
          <w:p w14:paraId="01AA2C19">
            <w:pPr>
              <w:jc w:val="center"/>
              <w:rPr>
                <w:sz w:val="21"/>
                <w:szCs w:val="21"/>
                <w:highlight w:val="none"/>
              </w:rPr>
            </w:pPr>
            <w:r>
              <w:rPr>
                <w:sz w:val="21"/>
                <w:szCs w:val="21"/>
                <w:highlight w:val="none"/>
              </w:rPr>
              <w:t>/</w:t>
            </w:r>
          </w:p>
        </w:tc>
        <w:tc>
          <w:tcPr>
            <w:tcW w:w="244" w:type="pct"/>
            <w:noWrap w:val="0"/>
            <w:tcMar>
              <w:left w:w="28" w:type="dxa"/>
              <w:right w:w="28" w:type="dxa"/>
            </w:tcMar>
            <w:vAlign w:val="center"/>
          </w:tcPr>
          <w:p w14:paraId="51ACDB82">
            <w:pPr>
              <w:jc w:val="center"/>
              <w:rPr>
                <w:sz w:val="21"/>
                <w:szCs w:val="21"/>
                <w:highlight w:val="none"/>
              </w:rPr>
            </w:pPr>
            <w:r>
              <w:rPr>
                <w:sz w:val="21"/>
                <w:szCs w:val="21"/>
                <w:highlight w:val="none"/>
              </w:rPr>
              <w:t>/</w:t>
            </w:r>
          </w:p>
        </w:tc>
        <w:tc>
          <w:tcPr>
            <w:tcW w:w="212" w:type="pct"/>
            <w:noWrap w:val="0"/>
            <w:vAlign w:val="center"/>
          </w:tcPr>
          <w:p w14:paraId="5D315F05">
            <w:pPr>
              <w:jc w:val="center"/>
              <w:rPr>
                <w:sz w:val="21"/>
                <w:szCs w:val="21"/>
                <w:highlight w:val="none"/>
              </w:rPr>
            </w:pPr>
            <w:r>
              <w:rPr>
                <w:sz w:val="21"/>
                <w:szCs w:val="21"/>
                <w:highlight w:val="none"/>
              </w:rPr>
              <w:t>间断</w:t>
            </w:r>
          </w:p>
        </w:tc>
        <w:tc>
          <w:tcPr>
            <w:tcW w:w="416" w:type="pct"/>
            <w:noWrap w:val="0"/>
            <w:vAlign w:val="center"/>
          </w:tcPr>
          <w:p w14:paraId="22B30082">
            <w:pPr>
              <w:jc w:val="center"/>
              <w:rPr>
                <w:sz w:val="21"/>
                <w:szCs w:val="21"/>
                <w:highlight w:val="none"/>
              </w:rPr>
            </w:pPr>
            <w:r>
              <w:rPr>
                <w:sz w:val="21"/>
                <w:szCs w:val="21"/>
                <w:highlight w:val="none"/>
              </w:rPr>
              <w:t>送净化装置硫回收单元尾气焚烧工序</w:t>
            </w:r>
          </w:p>
        </w:tc>
      </w:tr>
      <w:tr w14:paraId="1D6F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3610C2AC">
            <w:pPr>
              <w:widowControl/>
              <w:snapToGrid w:val="0"/>
              <w:jc w:val="center"/>
              <w:rPr>
                <w:sz w:val="21"/>
                <w:szCs w:val="21"/>
                <w:highlight w:val="none"/>
              </w:rPr>
            </w:pPr>
          </w:p>
        </w:tc>
        <w:tc>
          <w:tcPr>
            <w:tcW w:w="228" w:type="pct"/>
            <w:vMerge w:val="continue"/>
            <w:noWrap w:val="0"/>
            <w:vAlign w:val="center"/>
          </w:tcPr>
          <w:p w14:paraId="6F03BCE5">
            <w:pPr>
              <w:widowControl/>
              <w:snapToGrid w:val="0"/>
              <w:jc w:val="center"/>
              <w:rPr>
                <w:sz w:val="21"/>
                <w:szCs w:val="21"/>
                <w:highlight w:val="none"/>
              </w:rPr>
            </w:pPr>
          </w:p>
        </w:tc>
        <w:tc>
          <w:tcPr>
            <w:tcW w:w="301" w:type="pct"/>
            <w:vMerge w:val="continue"/>
            <w:noWrap w:val="0"/>
            <w:vAlign w:val="center"/>
          </w:tcPr>
          <w:p w14:paraId="7C0A8954">
            <w:pPr>
              <w:jc w:val="center"/>
              <w:rPr>
                <w:sz w:val="21"/>
                <w:szCs w:val="21"/>
                <w:highlight w:val="none"/>
              </w:rPr>
            </w:pPr>
          </w:p>
        </w:tc>
        <w:tc>
          <w:tcPr>
            <w:tcW w:w="590" w:type="pct"/>
            <w:noWrap w:val="0"/>
            <w:vAlign w:val="center"/>
          </w:tcPr>
          <w:p w14:paraId="60CFEFFA">
            <w:pPr>
              <w:jc w:val="center"/>
              <w:rPr>
                <w:sz w:val="21"/>
                <w:szCs w:val="21"/>
                <w:highlight w:val="none"/>
              </w:rPr>
            </w:pPr>
            <w:r>
              <w:rPr>
                <w:sz w:val="21"/>
                <w:szCs w:val="21"/>
                <w:highlight w:val="none"/>
              </w:rPr>
              <w:t>真空泵出口排放气（真空闪蒸）</w:t>
            </w:r>
          </w:p>
        </w:tc>
        <w:tc>
          <w:tcPr>
            <w:tcW w:w="748" w:type="pct"/>
            <w:noWrap w:val="0"/>
            <w:tcMar>
              <w:left w:w="28" w:type="dxa"/>
              <w:right w:w="28" w:type="dxa"/>
            </w:tcMar>
            <w:vAlign w:val="center"/>
          </w:tcPr>
          <w:p w14:paraId="2CA0E9E4">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18C04D7C">
            <w:pPr>
              <w:jc w:val="center"/>
              <w:rPr>
                <w:sz w:val="21"/>
                <w:szCs w:val="21"/>
                <w:highlight w:val="none"/>
                <w:lang w:val="pt-BR"/>
              </w:rPr>
            </w:pPr>
            <w:r>
              <w:rPr>
                <w:sz w:val="21"/>
                <w:szCs w:val="21"/>
                <w:highlight w:val="none"/>
                <w:lang w:val="pt-BR"/>
              </w:rPr>
              <w:t>NH</w:t>
            </w:r>
            <w:r>
              <w:rPr>
                <w:sz w:val="21"/>
                <w:szCs w:val="21"/>
                <w:highlight w:val="none"/>
                <w:vertAlign w:val="subscript"/>
                <w:lang w:val="pt-BR"/>
              </w:rPr>
              <w:t>3</w:t>
            </w:r>
          </w:p>
        </w:tc>
        <w:tc>
          <w:tcPr>
            <w:tcW w:w="888" w:type="pct"/>
            <w:noWrap w:val="0"/>
            <w:tcMar>
              <w:left w:w="28" w:type="dxa"/>
              <w:right w:w="28" w:type="dxa"/>
            </w:tcMar>
            <w:vAlign w:val="center"/>
          </w:tcPr>
          <w:p w14:paraId="41B6E739">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012E160E">
            <w:pPr>
              <w:jc w:val="center"/>
              <w:rPr>
                <w:sz w:val="21"/>
                <w:szCs w:val="21"/>
                <w:highlight w:val="none"/>
              </w:rPr>
            </w:pPr>
            <w:r>
              <w:rPr>
                <w:sz w:val="21"/>
                <w:szCs w:val="21"/>
                <w:highlight w:val="none"/>
              </w:rPr>
              <w:t>2×8.42</w:t>
            </w:r>
          </w:p>
        </w:tc>
        <w:tc>
          <w:tcPr>
            <w:tcW w:w="316" w:type="pct"/>
            <w:noWrap w:val="0"/>
            <w:tcMar>
              <w:left w:w="28" w:type="dxa"/>
              <w:right w:w="28" w:type="dxa"/>
            </w:tcMar>
            <w:vAlign w:val="center"/>
          </w:tcPr>
          <w:p w14:paraId="75283942">
            <w:pPr>
              <w:jc w:val="center"/>
              <w:rPr>
                <w:sz w:val="21"/>
                <w:szCs w:val="21"/>
                <w:highlight w:val="none"/>
                <w:lang w:val="pt-BR"/>
              </w:rPr>
            </w:pPr>
            <w:r>
              <w:rPr>
                <w:sz w:val="21"/>
                <w:szCs w:val="21"/>
                <w:highlight w:val="none"/>
                <w:lang w:val="pt-BR"/>
              </w:rPr>
              <w:t>1.54E-05</w:t>
            </w:r>
          </w:p>
          <w:p w14:paraId="730DED48">
            <w:pPr>
              <w:jc w:val="center"/>
              <w:rPr>
                <w:sz w:val="21"/>
                <w:szCs w:val="21"/>
                <w:highlight w:val="none"/>
                <w:lang w:val="pt-BR"/>
              </w:rPr>
            </w:pPr>
            <w:r>
              <w:rPr>
                <w:sz w:val="21"/>
                <w:szCs w:val="21"/>
                <w:highlight w:val="none"/>
                <w:lang w:val="pt-BR"/>
              </w:rPr>
              <w:t>2.49E-08</w:t>
            </w:r>
          </w:p>
        </w:tc>
        <w:tc>
          <w:tcPr>
            <w:tcW w:w="252" w:type="pct"/>
            <w:noWrap w:val="0"/>
            <w:tcMar>
              <w:left w:w="28" w:type="dxa"/>
              <w:right w:w="28" w:type="dxa"/>
            </w:tcMar>
            <w:vAlign w:val="center"/>
          </w:tcPr>
          <w:p w14:paraId="1CE7440F">
            <w:pPr>
              <w:jc w:val="center"/>
              <w:rPr>
                <w:sz w:val="21"/>
                <w:szCs w:val="21"/>
                <w:highlight w:val="none"/>
              </w:rPr>
            </w:pPr>
            <w:r>
              <w:rPr>
                <w:sz w:val="21"/>
                <w:szCs w:val="21"/>
                <w:highlight w:val="none"/>
              </w:rPr>
              <w:t>2</w:t>
            </w:r>
          </w:p>
        </w:tc>
        <w:tc>
          <w:tcPr>
            <w:tcW w:w="226" w:type="pct"/>
            <w:noWrap w:val="0"/>
            <w:vAlign w:val="center"/>
          </w:tcPr>
          <w:p w14:paraId="7229BF75">
            <w:pPr>
              <w:jc w:val="center"/>
              <w:rPr>
                <w:sz w:val="21"/>
                <w:szCs w:val="21"/>
                <w:highlight w:val="none"/>
              </w:rPr>
            </w:pPr>
            <w:r>
              <w:rPr>
                <w:sz w:val="21"/>
                <w:szCs w:val="21"/>
                <w:highlight w:val="none"/>
              </w:rPr>
              <w:t>35</w:t>
            </w:r>
          </w:p>
        </w:tc>
        <w:tc>
          <w:tcPr>
            <w:tcW w:w="244" w:type="pct"/>
            <w:noWrap w:val="0"/>
            <w:tcMar>
              <w:left w:w="28" w:type="dxa"/>
              <w:right w:w="28" w:type="dxa"/>
            </w:tcMar>
            <w:vAlign w:val="center"/>
          </w:tcPr>
          <w:p w14:paraId="0C2B6EE9">
            <w:pPr>
              <w:jc w:val="center"/>
              <w:rPr>
                <w:sz w:val="21"/>
                <w:szCs w:val="21"/>
                <w:highlight w:val="none"/>
              </w:rPr>
            </w:pPr>
            <w:r>
              <w:rPr>
                <w:sz w:val="21"/>
                <w:szCs w:val="21"/>
                <w:highlight w:val="none"/>
              </w:rPr>
              <w:t>0.1</w:t>
            </w:r>
          </w:p>
        </w:tc>
        <w:tc>
          <w:tcPr>
            <w:tcW w:w="212" w:type="pct"/>
            <w:noWrap w:val="0"/>
            <w:vAlign w:val="center"/>
          </w:tcPr>
          <w:p w14:paraId="3D89BB4D">
            <w:pPr>
              <w:jc w:val="center"/>
              <w:rPr>
                <w:sz w:val="21"/>
                <w:szCs w:val="21"/>
                <w:highlight w:val="none"/>
              </w:rPr>
            </w:pPr>
            <w:r>
              <w:rPr>
                <w:sz w:val="21"/>
                <w:szCs w:val="21"/>
                <w:highlight w:val="none"/>
              </w:rPr>
              <w:t>连续</w:t>
            </w:r>
          </w:p>
        </w:tc>
        <w:tc>
          <w:tcPr>
            <w:tcW w:w="416" w:type="pct"/>
            <w:noWrap w:val="0"/>
            <w:vAlign w:val="center"/>
          </w:tcPr>
          <w:p w14:paraId="29D24587">
            <w:pPr>
              <w:jc w:val="center"/>
              <w:rPr>
                <w:sz w:val="21"/>
                <w:szCs w:val="21"/>
                <w:highlight w:val="none"/>
              </w:rPr>
            </w:pPr>
            <w:r>
              <w:rPr>
                <w:sz w:val="21"/>
                <w:szCs w:val="21"/>
                <w:highlight w:val="none"/>
              </w:rPr>
              <w:t>排入大气</w:t>
            </w:r>
          </w:p>
        </w:tc>
      </w:tr>
      <w:tr w14:paraId="2034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5F1B071E">
            <w:pPr>
              <w:widowControl/>
              <w:snapToGrid w:val="0"/>
              <w:jc w:val="center"/>
              <w:rPr>
                <w:sz w:val="21"/>
                <w:szCs w:val="21"/>
                <w:highlight w:val="none"/>
              </w:rPr>
            </w:pPr>
          </w:p>
        </w:tc>
        <w:tc>
          <w:tcPr>
            <w:tcW w:w="228" w:type="pct"/>
            <w:vMerge w:val="continue"/>
            <w:noWrap w:val="0"/>
            <w:vAlign w:val="center"/>
          </w:tcPr>
          <w:p w14:paraId="4FBF0328">
            <w:pPr>
              <w:widowControl/>
              <w:snapToGrid w:val="0"/>
              <w:jc w:val="center"/>
              <w:rPr>
                <w:sz w:val="21"/>
                <w:szCs w:val="21"/>
                <w:highlight w:val="none"/>
              </w:rPr>
            </w:pPr>
          </w:p>
        </w:tc>
        <w:tc>
          <w:tcPr>
            <w:tcW w:w="301" w:type="pct"/>
            <w:vMerge w:val="continue"/>
            <w:noWrap w:val="0"/>
            <w:vAlign w:val="center"/>
          </w:tcPr>
          <w:p w14:paraId="38D17A90">
            <w:pPr>
              <w:jc w:val="center"/>
              <w:rPr>
                <w:sz w:val="21"/>
                <w:szCs w:val="21"/>
                <w:highlight w:val="none"/>
              </w:rPr>
            </w:pPr>
          </w:p>
        </w:tc>
        <w:tc>
          <w:tcPr>
            <w:tcW w:w="590" w:type="pct"/>
            <w:noWrap w:val="0"/>
            <w:vAlign w:val="center"/>
          </w:tcPr>
          <w:p w14:paraId="38990085">
            <w:pPr>
              <w:jc w:val="center"/>
              <w:rPr>
                <w:sz w:val="21"/>
                <w:szCs w:val="21"/>
                <w:highlight w:val="none"/>
              </w:rPr>
            </w:pPr>
            <w:r>
              <w:rPr>
                <w:sz w:val="21"/>
                <w:szCs w:val="21"/>
                <w:highlight w:val="none"/>
              </w:rPr>
              <w:t>脱气水槽放空气</w:t>
            </w:r>
          </w:p>
        </w:tc>
        <w:tc>
          <w:tcPr>
            <w:tcW w:w="748" w:type="pct"/>
            <w:noWrap w:val="0"/>
            <w:tcMar>
              <w:left w:w="28" w:type="dxa"/>
              <w:right w:w="28" w:type="dxa"/>
            </w:tcMar>
            <w:vAlign w:val="center"/>
          </w:tcPr>
          <w:p w14:paraId="554C0B84">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3B728863">
            <w:pPr>
              <w:jc w:val="center"/>
              <w:rPr>
                <w:sz w:val="21"/>
                <w:szCs w:val="21"/>
                <w:highlight w:val="none"/>
                <w:lang w:val="pt-BR"/>
              </w:rPr>
            </w:pPr>
            <w:r>
              <w:rPr>
                <w:sz w:val="21"/>
                <w:szCs w:val="21"/>
                <w:highlight w:val="none"/>
                <w:lang w:val="pt-BR"/>
              </w:rPr>
              <w:t>NH</w:t>
            </w:r>
            <w:r>
              <w:rPr>
                <w:sz w:val="21"/>
                <w:szCs w:val="21"/>
                <w:highlight w:val="none"/>
                <w:vertAlign w:val="subscript"/>
                <w:lang w:val="pt-BR"/>
              </w:rPr>
              <w:t>3</w:t>
            </w:r>
          </w:p>
        </w:tc>
        <w:tc>
          <w:tcPr>
            <w:tcW w:w="888" w:type="pct"/>
            <w:noWrap w:val="0"/>
            <w:tcMar>
              <w:left w:w="28" w:type="dxa"/>
              <w:right w:w="28" w:type="dxa"/>
            </w:tcMar>
            <w:vAlign w:val="center"/>
          </w:tcPr>
          <w:p w14:paraId="7A2631D7">
            <w:pPr>
              <w:jc w:val="center"/>
              <w:rPr>
                <w:sz w:val="21"/>
                <w:szCs w:val="21"/>
                <w:highlight w:val="none"/>
                <w:lang w:val="pt-BR"/>
              </w:rPr>
            </w:pPr>
            <w:r>
              <w:rPr>
                <w:sz w:val="21"/>
                <w:szCs w:val="21"/>
                <w:highlight w:val="none"/>
                <w:lang w:val="pt-BR"/>
              </w:rPr>
              <w:t>/</w:t>
            </w:r>
          </w:p>
        </w:tc>
        <w:tc>
          <w:tcPr>
            <w:tcW w:w="374" w:type="pct"/>
            <w:noWrap w:val="0"/>
            <w:tcMar>
              <w:left w:w="28" w:type="dxa"/>
              <w:right w:w="28" w:type="dxa"/>
            </w:tcMar>
            <w:vAlign w:val="center"/>
          </w:tcPr>
          <w:p w14:paraId="3503BE72">
            <w:pPr>
              <w:jc w:val="center"/>
              <w:rPr>
                <w:sz w:val="21"/>
                <w:szCs w:val="21"/>
                <w:highlight w:val="none"/>
              </w:rPr>
            </w:pPr>
            <w:r>
              <w:rPr>
                <w:sz w:val="21"/>
                <w:szCs w:val="21"/>
                <w:highlight w:val="none"/>
              </w:rPr>
              <w:t>3556</w:t>
            </w:r>
          </w:p>
        </w:tc>
        <w:tc>
          <w:tcPr>
            <w:tcW w:w="316" w:type="pct"/>
            <w:noWrap w:val="0"/>
            <w:tcMar>
              <w:left w:w="28" w:type="dxa"/>
              <w:right w:w="28" w:type="dxa"/>
            </w:tcMar>
            <w:vAlign w:val="center"/>
          </w:tcPr>
          <w:p w14:paraId="200F34CB">
            <w:pPr>
              <w:jc w:val="center"/>
              <w:rPr>
                <w:sz w:val="21"/>
                <w:szCs w:val="21"/>
                <w:highlight w:val="none"/>
                <w:lang w:val="pt-BR"/>
              </w:rPr>
            </w:pPr>
            <w:r>
              <w:rPr>
                <w:sz w:val="21"/>
                <w:szCs w:val="21"/>
                <w:highlight w:val="none"/>
                <w:lang w:val="pt-BR"/>
              </w:rPr>
              <w:t>4.92E-03</w:t>
            </w:r>
          </w:p>
          <w:p w14:paraId="4B431576">
            <w:pPr>
              <w:jc w:val="center"/>
              <w:rPr>
                <w:sz w:val="21"/>
                <w:szCs w:val="21"/>
                <w:highlight w:val="none"/>
                <w:lang w:val="pt-BR"/>
              </w:rPr>
            </w:pPr>
            <w:r>
              <w:rPr>
                <w:sz w:val="21"/>
                <w:szCs w:val="21"/>
                <w:highlight w:val="none"/>
                <w:lang w:val="pt-BR"/>
              </w:rPr>
              <w:t>1.96E-03</w:t>
            </w:r>
          </w:p>
        </w:tc>
        <w:tc>
          <w:tcPr>
            <w:tcW w:w="252" w:type="pct"/>
            <w:noWrap w:val="0"/>
            <w:tcMar>
              <w:left w:w="28" w:type="dxa"/>
              <w:right w:w="28" w:type="dxa"/>
            </w:tcMar>
            <w:vAlign w:val="center"/>
          </w:tcPr>
          <w:p w14:paraId="2336C95C">
            <w:pPr>
              <w:jc w:val="center"/>
              <w:rPr>
                <w:sz w:val="21"/>
                <w:szCs w:val="21"/>
                <w:highlight w:val="none"/>
              </w:rPr>
            </w:pPr>
            <w:r>
              <w:rPr>
                <w:sz w:val="21"/>
                <w:szCs w:val="21"/>
                <w:highlight w:val="none"/>
              </w:rPr>
              <w:t>1</w:t>
            </w:r>
          </w:p>
        </w:tc>
        <w:tc>
          <w:tcPr>
            <w:tcW w:w="226" w:type="pct"/>
            <w:noWrap w:val="0"/>
            <w:vAlign w:val="center"/>
          </w:tcPr>
          <w:p w14:paraId="1D7DE6DC">
            <w:pPr>
              <w:jc w:val="center"/>
              <w:rPr>
                <w:sz w:val="21"/>
                <w:szCs w:val="21"/>
                <w:highlight w:val="none"/>
              </w:rPr>
            </w:pPr>
            <w:r>
              <w:rPr>
                <w:sz w:val="21"/>
                <w:szCs w:val="21"/>
                <w:highlight w:val="none"/>
              </w:rPr>
              <w:t>40</w:t>
            </w:r>
          </w:p>
        </w:tc>
        <w:tc>
          <w:tcPr>
            <w:tcW w:w="244" w:type="pct"/>
            <w:noWrap w:val="0"/>
            <w:tcMar>
              <w:left w:w="28" w:type="dxa"/>
              <w:right w:w="28" w:type="dxa"/>
            </w:tcMar>
            <w:vAlign w:val="center"/>
          </w:tcPr>
          <w:p w14:paraId="4796CE91">
            <w:pPr>
              <w:jc w:val="center"/>
              <w:rPr>
                <w:sz w:val="21"/>
                <w:szCs w:val="21"/>
                <w:highlight w:val="none"/>
              </w:rPr>
            </w:pPr>
            <w:r>
              <w:rPr>
                <w:sz w:val="21"/>
                <w:szCs w:val="21"/>
                <w:highlight w:val="none"/>
              </w:rPr>
              <w:t>0.15</w:t>
            </w:r>
          </w:p>
        </w:tc>
        <w:tc>
          <w:tcPr>
            <w:tcW w:w="212" w:type="pct"/>
            <w:noWrap w:val="0"/>
            <w:vAlign w:val="center"/>
          </w:tcPr>
          <w:p w14:paraId="1DAA10F1">
            <w:pPr>
              <w:jc w:val="center"/>
              <w:rPr>
                <w:sz w:val="21"/>
                <w:szCs w:val="21"/>
                <w:highlight w:val="none"/>
              </w:rPr>
            </w:pPr>
            <w:r>
              <w:rPr>
                <w:sz w:val="21"/>
                <w:szCs w:val="21"/>
                <w:highlight w:val="none"/>
              </w:rPr>
              <w:t>连续</w:t>
            </w:r>
          </w:p>
        </w:tc>
        <w:tc>
          <w:tcPr>
            <w:tcW w:w="416" w:type="pct"/>
            <w:noWrap w:val="0"/>
            <w:vAlign w:val="center"/>
          </w:tcPr>
          <w:p w14:paraId="4FF526E1">
            <w:pPr>
              <w:jc w:val="center"/>
              <w:rPr>
                <w:sz w:val="21"/>
                <w:szCs w:val="21"/>
                <w:highlight w:val="none"/>
              </w:rPr>
            </w:pPr>
            <w:r>
              <w:rPr>
                <w:sz w:val="21"/>
                <w:szCs w:val="21"/>
                <w:highlight w:val="none"/>
              </w:rPr>
              <w:t>排入大气</w:t>
            </w:r>
          </w:p>
        </w:tc>
      </w:tr>
      <w:tr w14:paraId="0A15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blHeader/>
          <w:jc w:val="center"/>
        </w:trPr>
        <w:tc>
          <w:tcPr>
            <w:tcW w:w="200" w:type="pct"/>
            <w:vMerge w:val="restart"/>
            <w:noWrap w:val="0"/>
            <w:tcMar>
              <w:left w:w="28" w:type="dxa"/>
              <w:right w:w="28" w:type="dxa"/>
            </w:tcMar>
            <w:vAlign w:val="center"/>
          </w:tcPr>
          <w:p w14:paraId="7C24610A">
            <w:pPr>
              <w:widowControl/>
              <w:snapToGrid w:val="0"/>
              <w:jc w:val="center"/>
              <w:rPr>
                <w:sz w:val="21"/>
                <w:szCs w:val="21"/>
                <w:highlight w:val="none"/>
              </w:rPr>
            </w:pPr>
            <w:r>
              <w:rPr>
                <w:sz w:val="21"/>
                <w:szCs w:val="21"/>
                <w:highlight w:val="none"/>
              </w:rPr>
              <w:t>净化装置</w:t>
            </w:r>
          </w:p>
        </w:tc>
        <w:tc>
          <w:tcPr>
            <w:tcW w:w="529" w:type="pct"/>
            <w:gridSpan w:val="2"/>
            <w:vMerge w:val="restart"/>
            <w:noWrap w:val="0"/>
            <w:vAlign w:val="center"/>
          </w:tcPr>
          <w:p w14:paraId="1036012C">
            <w:pPr>
              <w:jc w:val="center"/>
              <w:rPr>
                <w:sz w:val="21"/>
                <w:szCs w:val="21"/>
                <w:highlight w:val="none"/>
              </w:rPr>
            </w:pPr>
            <w:r>
              <w:rPr>
                <w:sz w:val="21"/>
                <w:szCs w:val="21"/>
                <w:highlight w:val="none"/>
              </w:rPr>
              <w:t>低温甲醇洗单元</w:t>
            </w:r>
          </w:p>
        </w:tc>
        <w:tc>
          <w:tcPr>
            <w:tcW w:w="590" w:type="pct"/>
            <w:noWrap w:val="0"/>
            <w:vAlign w:val="center"/>
          </w:tcPr>
          <w:p w14:paraId="3CFDD456">
            <w:pPr>
              <w:jc w:val="center"/>
              <w:rPr>
                <w:sz w:val="21"/>
                <w:szCs w:val="21"/>
                <w:highlight w:val="none"/>
              </w:rPr>
            </w:pPr>
            <w:r>
              <w:rPr>
                <w:sz w:val="21"/>
                <w:szCs w:val="21"/>
                <w:highlight w:val="none"/>
              </w:rPr>
              <w:t>低温甲醇洗尾气</w:t>
            </w:r>
          </w:p>
        </w:tc>
        <w:tc>
          <w:tcPr>
            <w:tcW w:w="748" w:type="pct"/>
            <w:noWrap w:val="0"/>
            <w:tcMar>
              <w:left w:w="28" w:type="dxa"/>
              <w:right w:w="28" w:type="dxa"/>
            </w:tcMar>
            <w:vAlign w:val="center"/>
          </w:tcPr>
          <w:p w14:paraId="71ECBD96">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41B82A92">
            <w:pPr>
              <w:jc w:val="center"/>
              <w:rPr>
                <w:sz w:val="21"/>
                <w:szCs w:val="21"/>
                <w:highlight w:val="none"/>
                <w:lang w:val="pt-BR"/>
              </w:rPr>
            </w:pPr>
            <w:r>
              <w:rPr>
                <w:sz w:val="21"/>
                <w:szCs w:val="21"/>
                <w:highlight w:val="none"/>
                <w:lang w:val="pt-BR"/>
              </w:rPr>
              <w:t>CH</w:t>
            </w:r>
            <w:r>
              <w:rPr>
                <w:sz w:val="21"/>
                <w:szCs w:val="21"/>
                <w:highlight w:val="none"/>
                <w:vertAlign w:val="subscript"/>
                <w:lang w:val="pt-BR"/>
              </w:rPr>
              <w:t>3</w:t>
            </w:r>
            <w:r>
              <w:rPr>
                <w:sz w:val="21"/>
                <w:szCs w:val="21"/>
                <w:highlight w:val="none"/>
                <w:lang w:val="pt-BR"/>
              </w:rPr>
              <w:t>OH</w:t>
            </w:r>
          </w:p>
        </w:tc>
        <w:tc>
          <w:tcPr>
            <w:tcW w:w="888" w:type="pct"/>
            <w:noWrap w:val="0"/>
            <w:tcMar>
              <w:left w:w="28" w:type="dxa"/>
              <w:right w:w="28" w:type="dxa"/>
            </w:tcMar>
            <w:vAlign w:val="center"/>
          </w:tcPr>
          <w:p w14:paraId="22FC7627">
            <w:pPr>
              <w:jc w:val="center"/>
              <w:rPr>
                <w:sz w:val="21"/>
                <w:szCs w:val="21"/>
                <w:highlight w:val="none"/>
                <w:lang w:val="es-ES"/>
              </w:rPr>
            </w:pPr>
            <w:r>
              <w:rPr>
                <w:sz w:val="21"/>
                <w:szCs w:val="21"/>
                <w:highlight w:val="none"/>
                <w:lang w:val="es-ES"/>
              </w:rPr>
              <w:t>/</w:t>
            </w:r>
          </w:p>
        </w:tc>
        <w:tc>
          <w:tcPr>
            <w:tcW w:w="374" w:type="pct"/>
            <w:noWrap w:val="0"/>
            <w:tcMar>
              <w:left w:w="28" w:type="dxa"/>
              <w:right w:w="28" w:type="dxa"/>
            </w:tcMar>
            <w:vAlign w:val="center"/>
          </w:tcPr>
          <w:p w14:paraId="11E177F7">
            <w:pPr>
              <w:jc w:val="center"/>
              <w:rPr>
                <w:sz w:val="21"/>
                <w:szCs w:val="21"/>
                <w:highlight w:val="none"/>
                <w:lang w:val="pt-BR"/>
              </w:rPr>
            </w:pPr>
            <w:r>
              <w:rPr>
                <w:sz w:val="21"/>
                <w:szCs w:val="21"/>
                <w:highlight w:val="none"/>
                <w:lang w:val="pt-BR"/>
              </w:rPr>
              <w:t>/</w:t>
            </w:r>
          </w:p>
        </w:tc>
        <w:tc>
          <w:tcPr>
            <w:tcW w:w="316" w:type="pct"/>
            <w:noWrap w:val="0"/>
            <w:tcMar>
              <w:left w:w="28" w:type="dxa"/>
              <w:right w:w="28" w:type="dxa"/>
            </w:tcMar>
            <w:vAlign w:val="center"/>
          </w:tcPr>
          <w:p w14:paraId="1953AAFF">
            <w:pPr>
              <w:jc w:val="center"/>
              <w:rPr>
                <w:sz w:val="21"/>
                <w:szCs w:val="21"/>
                <w:highlight w:val="none"/>
              </w:rPr>
            </w:pPr>
            <w:r>
              <w:rPr>
                <w:sz w:val="21"/>
                <w:szCs w:val="21"/>
                <w:highlight w:val="none"/>
              </w:rPr>
              <w:t>/</w:t>
            </w:r>
          </w:p>
        </w:tc>
        <w:tc>
          <w:tcPr>
            <w:tcW w:w="252" w:type="pct"/>
            <w:noWrap w:val="0"/>
            <w:tcMar>
              <w:left w:w="28" w:type="dxa"/>
              <w:right w:w="28" w:type="dxa"/>
            </w:tcMar>
            <w:vAlign w:val="center"/>
          </w:tcPr>
          <w:p w14:paraId="3C153391">
            <w:pPr>
              <w:jc w:val="center"/>
              <w:rPr>
                <w:sz w:val="21"/>
                <w:szCs w:val="21"/>
                <w:highlight w:val="none"/>
              </w:rPr>
            </w:pPr>
            <w:r>
              <w:rPr>
                <w:sz w:val="21"/>
                <w:szCs w:val="21"/>
                <w:highlight w:val="none"/>
              </w:rPr>
              <w:t>/</w:t>
            </w:r>
          </w:p>
        </w:tc>
        <w:tc>
          <w:tcPr>
            <w:tcW w:w="226" w:type="pct"/>
            <w:noWrap w:val="0"/>
            <w:vAlign w:val="center"/>
          </w:tcPr>
          <w:p w14:paraId="3921B64A">
            <w:pPr>
              <w:jc w:val="center"/>
              <w:rPr>
                <w:sz w:val="21"/>
                <w:szCs w:val="21"/>
                <w:highlight w:val="none"/>
              </w:rPr>
            </w:pPr>
            <w:r>
              <w:rPr>
                <w:sz w:val="21"/>
                <w:szCs w:val="21"/>
                <w:highlight w:val="none"/>
              </w:rPr>
              <w:t>/</w:t>
            </w:r>
          </w:p>
        </w:tc>
        <w:tc>
          <w:tcPr>
            <w:tcW w:w="244" w:type="pct"/>
            <w:noWrap w:val="0"/>
            <w:tcMar>
              <w:left w:w="28" w:type="dxa"/>
              <w:right w:w="28" w:type="dxa"/>
            </w:tcMar>
            <w:vAlign w:val="center"/>
          </w:tcPr>
          <w:p w14:paraId="4053DF49">
            <w:pPr>
              <w:jc w:val="center"/>
              <w:rPr>
                <w:sz w:val="21"/>
                <w:szCs w:val="21"/>
                <w:highlight w:val="none"/>
              </w:rPr>
            </w:pPr>
            <w:r>
              <w:rPr>
                <w:sz w:val="21"/>
                <w:szCs w:val="21"/>
                <w:highlight w:val="none"/>
              </w:rPr>
              <w:t>/</w:t>
            </w:r>
          </w:p>
        </w:tc>
        <w:tc>
          <w:tcPr>
            <w:tcW w:w="212" w:type="pct"/>
            <w:noWrap w:val="0"/>
            <w:vAlign w:val="center"/>
          </w:tcPr>
          <w:p w14:paraId="2CA9E14A">
            <w:pPr>
              <w:jc w:val="center"/>
              <w:rPr>
                <w:sz w:val="21"/>
                <w:szCs w:val="21"/>
                <w:highlight w:val="none"/>
              </w:rPr>
            </w:pPr>
            <w:r>
              <w:rPr>
                <w:sz w:val="21"/>
                <w:szCs w:val="21"/>
                <w:highlight w:val="none"/>
              </w:rPr>
              <w:t>连续</w:t>
            </w:r>
          </w:p>
        </w:tc>
        <w:tc>
          <w:tcPr>
            <w:tcW w:w="416" w:type="pct"/>
            <w:noWrap w:val="0"/>
            <w:vAlign w:val="center"/>
          </w:tcPr>
          <w:p w14:paraId="3E18F001">
            <w:pPr>
              <w:jc w:val="center"/>
              <w:rPr>
                <w:sz w:val="21"/>
                <w:szCs w:val="21"/>
                <w:highlight w:val="none"/>
              </w:rPr>
            </w:pPr>
            <w:r>
              <w:rPr>
                <w:sz w:val="21"/>
                <w:szCs w:val="21"/>
                <w:highlight w:val="none"/>
              </w:rPr>
              <w:t>经锅炉烟囱排入大气</w:t>
            </w:r>
          </w:p>
        </w:tc>
      </w:tr>
      <w:tr w14:paraId="5612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blHeader/>
          <w:jc w:val="center"/>
        </w:trPr>
        <w:tc>
          <w:tcPr>
            <w:tcW w:w="200" w:type="pct"/>
            <w:vMerge w:val="continue"/>
            <w:noWrap w:val="0"/>
            <w:tcMar>
              <w:left w:w="28" w:type="dxa"/>
              <w:right w:w="28" w:type="dxa"/>
            </w:tcMar>
            <w:vAlign w:val="center"/>
          </w:tcPr>
          <w:p w14:paraId="2328590A">
            <w:pPr>
              <w:widowControl/>
              <w:snapToGrid w:val="0"/>
              <w:jc w:val="center"/>
              <w:rPr>
                <w:sz w:val="21"/>
                <w:szCs w:val="21"/>
                <w:highlight w:val="none"/>
              </w:rPr>
            </w:pPr>
          </w:p>
        </w:tc>
        <w:tc>
          <w:tcPr>
            <w:tcW w:w="529" w:type="pct"/>
            <w:gridSpan w:val="2"/>
            <w:vMerge w:val="continue"/>
            <w:noWrap w:val="0"/>
            <w:vAlign w:val="center"/>
          </w:tcPr>
          <w:p w14:paraId="2DF69AE5">
            <w:pPr>
              <w:jc w:val="center"/>
              <w:rPr>
                <w:sz w:val="21"/>
                <w:szCs w:val="21"/>
                <w:highlight w:val="none"/>
              </w:rPr>
            </w:pPr>
          </w:p>
        </w:tc>
        <w:tc>
          <w:tcPr>
            <w:tcW w:w="590" w:type="pct"/>
            <w:noWrap w:val="0"/>
            <w:vAlign w:val="center"/>
          </w:tcPr>
          <w:p w14:paraId="16E0CE64">
            <w:pPr>
              <w:jc w:val="center"/>
              <w:rPr>
                <w:sz w:val="21"/>
                <w:szCs w:val="21"/>
                <w:highlight w:val="none"/>
              </w:rPr>
            </w:pPr>
            <w:r>
              <w:rPr>
                <w:sz w:val="21"/>
                <w:szCs w:val="21"/>
                <w:highlight w:val="none"/>
              </w:rPr>
              <w:t>低温甲醇洗酸性气</w:t>
            </w:r>
          </w:p>
        </w:tc>
        <w:tc>
          <w:tcPr>
            <w:tcW w:w="748" w:type="pct"/>
            <w:noWrap w:val="0"/>
            <w:tcMar>
              <w:left w:w="28" w:type="dxa"/>
              <w:right w:w="28" w:type="dxa"/>
            </w:tcMar>
            <w:vAlign w:val="center"/>
          </w:tcPr>
          <w:p w14:paraId="6620D473">
            <w:pPr>
              <w:jc w:val="center"/>
              <w:rPr>
                <w:sz w:val="21"/>
                <w:szCs w:val="21"/>
                <w:highlight w:val="none"/>
              </w:rPr>
            </w:pPr>
            <w:r>
              <w:rPr>
                <w:sz w:val="21"/>
                <w:szCs w:val="21"/>
                <w:highlight w:val="none"/>
                <w:lang w:val="pt-BR"/>
              </w:rPr>
              <w:t>H</w:t>
            </w:r>
            <w:r>
              <w:rPr>
                <w:sz w:val="21"/>
                <w:szCs w:val="21"/>
                <w:highlight w:val="none"/>
                <w:vertAlign w:val="subscript"/>
                <w:lang w:val="pt-BR"/>
              </w:rPr>
              <w:t>2</w:t>
            </w:r>
            <w:r>
              <w:rPr>
                <w:sz w:val="21"/>
                <w:szCs w:val="21"/>
                <w:highlight w:val="none"/>
                <w:lang w:val="pt-BR"/>
              </w:rPr>
              <w:t>、N</w:t>
            </w:r>
            <w:r>
              <w:rPr>
                <w:sz w:val="21"/>
                <w:szCs w:val="21"/>
                <w:highlight w:val="none"/>
                <w:vertAlign w:val="subscript"/>
                <w:lang w:val="pt-BR"/>
              </w:rPr>
              <w:t>2</w:t>
            </w:r>
            <w:r>
              <w:rPr>
                <w:sz w:val="21"/>
                <w:szCs w:val="21"/>
                <w:highlight w:val="none"/>
                <w:lang w:val="pt-BR"/>
              </w:rPr>
              <w:t>、</w:t>
            </w:r>
            <w:r>
              <w:rPr>
                <w:sz w:val="21"/>
                <w:szCs w:val="21"/>
                <w:highlight w:val="none"/>
              </w:rPr>
              <w:t>CO</w:t>
            </w:r>
            <w:r>
              <w:rPr>
                <w:sz w:val="21"/>
                <w:szCs w:val="21"/>
                <w:highlight w:val="none"/>
                <w:lang w:val="pt-BR"/>
              </w:rPr>
              <w:t>、</w:t>
            </w:r>
            <w:r>
              <w:rPr>
                <w:sz w:val="21"/>
                <w:szCs w:val="21"/>
                <w:highlight w:val="none"/>
              </w:rPr>
              <w:t>CO</w:t>
            </w:r>
            <w:r>
              <w:rPr>
                <w:sz w:val="21"/>
                <w:szCs w:val="21"/>
                <w:highlight w:val="none"/>
                <w:vertAlign w:val="subscript"/>
              </w:rPr>
              <w:t>2</w:t>
            </w:r>
            <w:r>
              <w:rPr>
                <w:sz w:val="21"/>
                <w:szCs w:val="21"/>
                <w:highlight w:val="none"/>
                <w:lang w:val="pt-BR"/>
              </w:rPr>
              <w:t>、</w:t>
            </w:r>
            <w:r>
              <w:rPr>
                <w:sz w:val="21"/>
                <w:szCs w:val="21"/>
                <w:highlight w:val="none"/>
              </w:rPr>
              <w:t>H</w:t>
            </w:r>
            <w:r>
              <w:rPr>
                <w:sz w:val="21"/>
                <w:szCs w:val="21"/>
                <w:highlight w:val="none"/>
                <w:vertAlign w:val="subscript"/>
              </w:rPr>
              <w:t>2</w:t>
            </w:r>
            <w:r>
              <w:rPr>
                <w:sz w:val="21"/>
                <w:szCs w:val="21"/>
                <w:highlight w:val="none"/>
              </w:rPr>
              <w:t>S</w:t>
            </w:r>
            <w:r>
              <w:rPr>
                <w:sz w:val="21"/>
                <w:szCs w:val="21"/>
                <w:highlight w:val="none"/>
                <w:lang w:val="pt-BR"/>
              </w:rPr>
              <w:t>、</w:t>
            </w:r>
            <w:r>
              <w:rPr>
                <w:sz w:val="21"/>
                <w:szCs w:val="21"/>
                <w:highlight w:val="none"/>
              </w:rPr>
              <w:t>CH</w:t>
            </w:r>
            <w:r>
              <w:rPr>
                <w:sz w:val="21"/>
                <w:szCs w:val="21"/>
                <w:highlight w:val="none"/>
                <w:vertAlign w:val="subscript"/>
              </w:rPr>
              <w:t>3</w:t>
            </w:r>
            <w:r>
              <w:rPr>
                <w:sz w:val="21"/>
                <w:szCs w:val="21"/>
                <w:highlight w:val="none"/>
              </w:rPr>
              <w:t>OH</w:t>
            </w:r>
            <w:r>
              <w:rPr>
                <w:sz w:val="21"/>
                <w:szCs w:val="21"/>
                <w:highlight w:val="none"/>
                <w:lang w:val="pt-BR"/>
              </w:rPr>
              <w:t>、</w:t>
            </w:r>
            <w:r>
              <w:rPr>
                <w:sz w:val="21"/>
                <w:szCs w:val="21"/>
                <w:highlight w:val="none"/>
              </w:rPr>
              <w:t>HCN</w:t>
            </w:r>
          </w:p>
        </w:tc>
        <w:tc>
          <w:tcPr>
            <w:tcW w:w="888" w:type="pct"/>
            <w:noWrap w:val="0"/>
            <w:tcMar>
              <w:left w:w="28" w:type="dxa"/>
              <w:right w:w="28" w:type="dxa"/>
            </w:tcMar>
            <w:vAlign w:val="center"/>
          </w:tcPr>
          <w:p w14:paraId="69E40471">
            <w:pPr>
              <w:jc w:val="center"/>
              <w:rPr>
                <w:sz w:val="21"/>
                <w:szCs w:val="21"/>
                <w:highlight w:val="none"/>
              </w:rPr>
            </w:pPr>
            <w:r>
              <w:rPr>
                <w:sz w:val="21"/>
                <w:szCs w:val="21"/>
                <w:highlight w:val="none"/>
              </w:rPr>
              <w:t>送净化装置硫回收单元</w:t>
            </w:r>
          </w:p>
        </w:tc>
        <w:tc>
          <w:tcPr>
            <w:tcW w:w="374" w:type="pct"/>
            <w:noWrap w:val="0"/>
            <w:tcMar>
              <w:left w:w="28" w:type="dxa"/>
              <w:right w:w="28" w:type="dxa"/>
            </w:tcMar>
            <w:vAlign w:val="center"/>
          </w:tcPr>
          <w:p w14:paraId="1FEA0450">
            <w:pPr>
              <w:jc w:val="center"/>
              <w:rPr>
                <w:sz w:val="21"/>
                <w:szCs w:val="21"/>
                <w:highlight w:val="none"/>
                <w:lang w:val="pt-BR"/>
              </w:rPr>
            </w:pPr>
            <w:r>
              <w:rPr>
                <w:sz w:val="21"/>
                <w:szCs w:val="21"/>
                <w:highlight w:val="none"/>
                <w:lang w:val="pt-BR"/>
              </w:rPr>
              <w:t>/</w:t>
            </w:r>
          </w:p>
        </w:tc>
        <w:tc>
          <w:tcPr>
            <w:tcW w:w="316" w:type="pct"/>
            <w:noWrap w:val="0"/>
            <w:tcMar>
              <w:left w:w="28" w:type="dxa"/>
              <w:right w:w="28" w:type="dxa"/>
            </w:tcMar>
            <w:vAlign w:val="center"/>
          </w:tcPr>
          <w:p w14:paraId="6FD21F74">
            <w:pPr>
              <w:jc w:val="center"/>
              <w:rPr>
                <w:sz w:val="21"/>
                <w:szCs w:val="21"/>
                <w:highlight w:val="none"/>
              </w:rPr>
            </w:pPr>
            <w:r>
              <w:rPr>
                <w:sz w:val="21"/>
                <w:szCs w:val="21"/>
                <w:highlight w:val="none"/>
              </w:rPr>
              <w:t>/</w:t>
            </w:r>
          </w:p>
        </w:tc>
        <w:tc>
          <w:tcPr>
            <w:tcW w:w="252" w:type="pct"/>
            <w:noWrap w:val="0"/>
            <w:tcMar>
              <w:left w:w="28" w:type="dxa"/>
              <w:right w:w="28" w:type="dxa"/>
            </w:tcMar>
            <w:vAlign w:val="center"/>
          </w:tcPr>
          <w:p w14:paraId="1DB2B42B">
            <w:pPr>
              <w:jc w:val="center"/>
              <w:rPr>
                <w:sz w:val="21"/>
                <w:szCs w:val="21"/>
                <w:highlight w:val="none"/>
              </w:rPr>
            </w:pPr>
            <w:r>
              <w:rPr>
                <w:sz w:val="21"/>
                <w:szCs w:val="21"/>
                <w:highlight w:val="none"/>
              </w:rPr>
              <w:t>/</w:t>
            </w:r>
          </w:p>
        </w:tc>
        <w:tc>
          <w:tcPr>
            <w:tcW w:w="226" w:type="pct"/>
            <w:noWrap w:val="0"/>
            <w:vAlign w:val="center"/>
          </w:tcPr>
          <w:p w14:paraId="371A5F01">
            <w:pPr>
              <w:jc w:val="center"/>
              <w:rPr>
                <w:sz w:val="21"/>
                <w:szCs w:val="21"/>
                <w:highlight w:val="none"/>
              </w:rPr>
            </w:pPr>
            <w:r>
              <w:rPr>
                <w:sz w:val="21"/>
                <w:szCs w:val="21"/>
                <w:highlight w:val="none"/>
              </w:rPr>
              <w:t>/</w:t>
            </w:r>
          </w:p>
        </w:tc>
        <w:tc>
          <w:tcPr>
            <w:tcW w:w="244" w:type="pct"/>
            <w:noWrap w:val="0"/>
            <w:tcMar>
              <w:left w:w="28" w:type="dxa"/>
              <w:right w:w="28" w:type="dxa"/>
            </w:tcMar>
            <w:vAlign w:val="center"/>
          </w:tcPr>
          <w:p w14:paraId="07AB03E5">
            <w:pPr>
              <w:jc w:val="center"/>
              <w:rPr>
                <w:sz w:val="21"/>
                <w:szCs w:val="21"/>
                <w:highlight w:val="none"/>
              </w:rPr>
            </w:pPr>
            <w:r>
              <w:rPr>
                <w:sz w:val="21"/>
                <w:szCs w:val="21"/>
                <w:highlight w:val="none"/>
              </w:rPr>
              <w:t>/</w:t>
            </w:r>
          </w:p>
        </w:tc>
        <w:tc>
          <w:tcPr>
            <w:tcW w:w="212" w:type="pct"/>
            <w:noWrap w:val="0"/>
            <w:vAlign w:val="center"/>
          </w:tcPr>
          <w:p w14:paraId="314CA1F2">
            <w:pPr>
              <w:jc w:val="center"/>
              <w:rPr>
                <w:sz w:val="21"/>
                <w:szCs w:val="21"/>
                <w:highlight w:val="none"/>
              </w:rPr>
            </w:pPr>
            <w:r>
              <w:rPr>
                <w:sz w:val="21"/>
                <w:szCs w:val="21"/>
                <w:highlight w:val="none"/>
              </w:rPr>
              <w:t>连续</w:t>
            </w:r>
          </w:p>
        </w:tc>
        <w:tc>
          <w:tcPr>
            <w:tcW w:w="416" w:type="pct"/>
            <w:noWrap w:val="0"/>
            <w:vAlign w:val="center"/>
          </w:tcPr>
          <w:p w14:paraId="54F65AE7">
            <w:pPr>
              <w:jc w:val="center"/>
              <w:rPr>
                <w:sz w:val="21"/>
                <w:szCs w:val="21"/>
                <w:highlight w:val="none"/>
              </w:rPr>
            </w:pPr>
            <w:r>
              <w:rPr>
                <w:sz w:val="21"/>
                <w:szCs w:val="21"/>
                <w:highlight w:val="none"/>
              </w:rPr>
              <w:t>送净化装置硫回收单元</w:t>
            </w:r>
          </w:p>
        </w:tc>
      </w:tr>
      <w:tr w14:paraId="0D12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2FEF8F09">
            <w:pPr>
              <w:widowControl/>
              <w:snapToGrid w:val="0"/>
              <w:jc w:val="center"/>
              <w:rPr>
                <w:sz w:val="21"/>
                <w:szCs w:val="21"/>
                <w:highlight w:val="none"/>
              </w:rPr>
            </w:pPr>
          </w:p>
        </w:tc>
        <w:tc>
          <w:tcPr>
            <w:tcW w:w="529" w:type="pct"/>
            <w:gridSpan w:val="2"/>
            <w:noWrap w:val="0"/>
            <w:vAlign w:val="center"/>
          </w:tcPr>
          <w:p w14:paraId="752D2143">
            <w:pPr>
              <w:jc w:val="center"/>
              <w:rPr>
                <w:sz w:val="21"/>
                <w:szCs w:val="21"/>
                <w:highlight w:val="none"/>
              </w:rPr>
            </w:pPr>
            <w:r>
              <w:rPr>
                <w:sz w:val="21"/>
                <w:szCs w:val="21"/>
                <w:highlight w:val="none"/>
              </w:rPr>
              <w:t>硫回收单元</w:t>
            </w:r>
          </w:p>
        </w:tc>
        <w:tc>
          <w:tcPr>
            <w:tcW w:w="590" w:type="pct"/>
            <w:noWrap w:val="0"/>
            <w:vAlign w:val="center"/>
          </w:tcPr>
          <w:p w14:paraId="142A93C3">
            <w:pPr>
              <w:jc w:val="center"/>
              <w:rPr>
                <w:sz w:val="21"/>
                <w:szCs w:val="21"/>
                <w:highlight w:val="none"/>
              </w:rPr>
            </w:pPr>
            <w:r>
              <w:rPr>
                <w:sz w:val="21"/>
                <w:szCs w:val="21"/>
                <w:highlight w:val="none"/>
              </w:rPr>
              <w:t>硫回收尾气</w:t>
            </w:r>
          </w:p>
        </w:tc>
        <w:tc>
          <w:tcPr>
            <w:tcW w:w="748" w:type="pct"/>
            <w:noWrap w:val="0"/>
            <w:tcMar>
              <w:left w:w="28" w:type="dxa"/>
              <w:right w:w="28" w:type="dxa"/>
            </w:tcMar>
            <w:vAlign w:val="center"/>
          </w:tcPr>
          <w:p w14:paraId="71482F03">
            <w:pPr>
              <w:jc w:val="center"/>
              <w:rPr>
                <w:sz w:val="21"/>
                <w:szCs w:val="21"/>
                <w:highlight w:val="none"/>
              </w:rPr>
            </w:pPr>
            <w:r>
              <w:rPr>
                <w:sz w:val="21"/>
                <w:szCs w:val="21"/>
                <w:highlight w:val="none"/>
              </w:rPr>
              <w:t>SO</w:t>
            </w:r>
            <w:r>
              <w:rPr>
                <w:sz w:val="21"/>
                <w:szCs w:val="21"/>
                <w:highlight w:val="none"/>
                <w:vertAlign w:val="subscript"/>
              </w:rPr>
              <w:t>2</w:t>
            </w:r>
          </w:p>
          <w:p w14:paraId="037DD9A0">
            <w:pPr>
              <w:jc w:val="center"/>
              <w:rPr>
                <w:sz w:val="21"/>
                <w:szCs w:val="21"/>
                <w:highlight w:val="none"/>
              </w:rPr>
            </w:pPr>
            <w:r>
              <w:rPr>
                <w:sz w:val="21"/>
                <w:szCs w:val="21"/>
                <w:highlight w:val="none"/>
              </w:rPr>
              <w:t>NOx</w:t>
            </w:r>
          </w:p>
        </w:tc>
        <w:tc>
          <w:tcPr>
            <w:tcW w:w="888" w:type="pct"/>
            <w:noWrap w:val="0"/>
            <w:tcMar>
              <w:left w:w="28" w:type="dxa"/>
              <w:right w:w="28" w:type="dxa"/>
            </w:tcMar>
            <w:vAlign w:val="center"/>
          </w:tcPr>
          <w:p w14:paraId="44B9EBB3">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00F35AA0">
            <w:pPr>
              <w:jc w:val="center"/>
              <w:rPr>
                <w:sz w:val="21"/>
                <w:szCs w:val="21"/>
                <w:highlight w:val="none"/>
              </w:rPr>
            </w:pPr>
            <w:r>
              <w:rPr>
                <w:sz w:val="21"/>
                <w:szCs w:val="21"/>
                <w:highlight w:val="none"/>
              </w:rPr>
              <w:t>22981</w:t>
            </w:r>
          </w:p>
        </w:tc>
        <w:tc>
          <w:tcPr>
            <w:tcW w:w="316" w:type="pct"/>
            <w:noWrap w:val="0"/>
            <w:tcMar>
              <w:left w:w="28" w:type="dxa"/>
              <w:right w:w="28" w:type="dxa"/>
            </w:tcMar>
            <w:vAlign w:val="center"/>
          </w:tcPr>
          <w:p w14:paraId="5B08E5FD">
            <w:pPr>
              <w:jc w:val="center"/>
              <w:rPr>
                <w:sz w:val="21"/>
                <w:szCs w:val="21"/>
                <w:highlight w:val="none"/>
              </w:rPr>
            </w:pPr>
            <w:r>
              <w:rPr>
                <w:sz w:val="21"/>
                <w:szCs w:val="21"/>
                <w:highlight w:val="none"/>
              </w:rPr>
              <w:t>8.1</w:t>
            </w:r>
          </w:p>
          <w:p w14:paraId="75A4B850">
            <w:pPr>
              <w:jc w:val="center"/>
              <w:rPr>
                <w:sz w:val="21"/>
                <w:szCs w:val="21"/>
                <w:highlight w:val="none"/>
              </w:rPr>
            </w:pPr>
            <w:r>
              <w:rPr>
                <w:sz w:val="21"/>
                <w:szCs w:val="21"/>
                <w:highlight w:val="none"/>
              </w:rPr>
              <w:t>44.2</w:t>
            </w:r>
          </w:p>
        </w:tc>
        <w:tc>
          <w:tcPr>
            <w:tcW w:w="252" w:type="pct"/>
            <w:noWrap w:val="0"/>
            <w:tcMar>
              <w:left w:w="28" w:type="dxa"/>
              <w:right w:w="28" w:type="dxa"/>
            </w:tcMar>
            <w:vAlign w:val="center"/>
          </w:tcPr>
          <w:p w14:paraId="2CD677CF">
            <w:pPr>
              <w:jc w:val="center"/>
              <w:rPr>
                <w:sz w:val="21"/>
                <w:szCs w:val="21"/>
                <w:highlight w:val="none"/>
              </w:rPr>
            </w:pPr>
            <w:r>
              <w:rPr>
                <w:sz w:val="21"/>
                <w:szCs w:val="21"/>
                <w:highlight w:val="none"/>
              </w:rPr>
              <w:t>1</w:t>
            </w:r>
          </w:p>
        </w:tc>
        <w:tc>
          <w:tcPr>
            <w:tcW w:w="226" w:type="pct"/>
            <w:noWrap w:val="0"/>
            <w:vAlign w:val="center"/>
          </w:tcPr>
          <w:p w14:paraId="3DA74D6A">
            <w:pPr>
              <w:jc w:val="center"/>
              <w:rPr>
                <w:sz w:val="21"/>
                <w:szCs w:val="21"/>
                <w:highlight w:val="none"/>
              </w:rPr>
            </w:pPr>
            <w:r>
              <w:rPr>
                <w:sz w:val="21"/>
                <w:szCs w:val="21"/>
                <w:highlight w:val="none"/>
              </w:rPr>
              <w:t>70</w:t>
            </w:r>
          </w:p>
        </w:tc>
        <w:tc>
          <w:tcPr>
            <w:tcW w:w="244" w:type="pct"/>
            <w:noWrap w:val="0"/>
            <w:tcMar>
              <w:left w:w="28" w:type="dxa"/>
              <w:right w:w="28" w:type="dxa"/>
            </w:tcMar>
            <w:vAlign w:val="center"/>
          </w:tcPr>
          <w:p w14:paraId="4B182175">
            <w:pPr>
              <w:jc w:val="center"/>
              <w:rPr>
                <w:sz w:val="21"/>
                <w:szCs w:val="21"/>
                <w:highlight w:val="none"/>
              </w:rPr>
            </w:pPr>
            <w:r>
              <w:rPr>
                <w:sz w:val="21"/>
                <w:szCs w:val="21"/>
                <w:highlight w:val="none"/>
              </w:rPr>
              <w:t>1.2</w:t>
            </w:r>
          </w:p>
        </w:tc>
        <w:tc>
          <w:tcPr>
            <w:tcW w:w="212" w:type="pct"/>
            <w:noWrap w:val="0"/>
            <w:vAlign w:val="center"/>
          </w:tcPr>
          <w:p w14:paraId="10B9B737">
            <w:pPr>
              <w:jc w:val="center"/>
              <w:rPr>
                <w:sz w:val="21"/>
                <w:szCs w:val="21"/>
                <w:highlight w:val="none"/>
              </w:rPr>
            </w:pPr>
            <w:r>
              <w:rPr>
                <w:sz w:val="21"/>
                <w:szCs w:val="21"/>
                <w:highlight w:val="none"/>
              </w:rPr>
              <w:t>连续</w:t>
            </w:r>
          </w:p>
        </w:tc>
        <w:tc>
          <w:tcPr>
            <w:tcW w:w="416" w:type="pct"/>
            <w:noWrap w:val="0"/>
            <w:vAlign w:val="center"/>
          </w:tcPr>
          <w:p w14:paraId="2FA9F4FC">
            <w:pPr>
              <w:jc w:val="center"/>
              <w:rPr>
                <w:sz w:val="21"/>
                <w:szCs w:val="21"/>
                <w:highlight w:val="none"/>
              </w:rPr>
            </w:pPr>
            <w:r>
              <w:rPr>
                <w:sz w:val="21"/>
                <w:szCs w:val="21"/>
                <w:highlight w:val="none"/>
              </w:rPr>
              <w:t>排入大气</w:t>
            </w:r>
          </w:p>
        </w:tc>
      </w:tr>
      <w:tr w14:paraId="2A7E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369EE89B">
            <w:pPr>
              <w:widowControl/>
              <w:snapToGrid w:val="0"/>
              <w:jc w:val="center"/>
              <w:rPr>
                <w:sz w:val="21"/>
                <w:szCs w:val="21"/>
                <w:highlight w:val="none"/>
              </w:rPr>
            </w:pPr>
          </w:p>
        </w:tc>
        <w:tc>
          <w:tcPr>
            <w:tcW w:w="529" w:type="pct"/>
            <w:gridSpan w:val="2"/>
            <w:noWrap w:val="0"/>
            <w:vAlign w:val="center"/>
          </w:tcPr>
          <w:p w14:paraId="3D43F05A">
            <w:pPr>
              <w:jc w:val="center"/>
              <w:rPr>
                <w:sz w:val="21"/>
                <w:szCs w:val="21"/>
                <w:highlight w:val="none"/>
              </w:rPr>
            </w:pPr>
            <w:r>
              <w:rPr>
                <w:sz w:val="21"/>
                <w:szCs w:val="21"/>
                <w:highlight w:val="none"/>
              </w:rPr>
              <w:t>酸性水汽提单元</w:t>
            </w:r>
          </w:p>
        </w:tc>
        <w:tc>
          <w:tcPr>
            <w:tcW w:w="590" w:type="pct"/>
            <w:noWrap w:val="0"/>
            <w:vAlign w:val="center"/>
          </w:tcPr>
          <w:p w14:paraId="3C1D55C9">
            <w:pPr>
              <w:jc w:val="center"/>
              <w:rPr>
                <w:sz w:val="21"/>
                <w:szCs w:val="21"/>
                <w:highlight w:val="none"/>
              </w:rPr>
            </w:pPr>
            <w:r>
              <w:rPr>
                <w:sz w:val="21"/>
                <w:szCs w:val="21"/>
                <w:highlight w:val="none"/>
              </w:rPr>
              <w:t>汽提塔酸性气</w:t>
            </w:r>
          </w:p>
        </w:tc>
        <w:tc>
          <w:tcPr>
            <w:tcW w:w="748" w:type="pct"/>
            <w:noWrap w:val="0"/>
            <w:tcMar>
              <w:left w:w="28" w:type="dxa"/>
              <w:right w:w="28" w:type="dxa"/>
            </w:tcMar>
            <w:vAlign w:val="center"/>
          </w:tcPr>
          <w:p w14:paraId="10CFB31C">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、CO、CO</w:t>
            </w:r>
            <w:r>
              <w:rPr>
                <w:sz w:val="21"/>
                <w:szCs w:val="21"/>
                <w:highlight w:val="none"/>
                <w:vertAlign w:val="subscript"/>
                <w:lang w:val="pt-BR"/>
              </w:rPr>
              <w:t>2</w:t>
            </w:r>
            <w:r>
              <w:rPr>
                <w:sz w:val="21"/>
                <w:szCs w:val="21"/>
                <w:highlight w:val="none"/>
                <w:lang w:val="pt-BR"/>
              </w:rPr>
              <w:t>、N</w:t>
            </w:r>
            <w:r>
              <w:rPr>
                <w:sz w:val="21"/>
                <w:szCs w:val="21"/>
                <w:highlight w:val="none"/>
                <w:vertAlign w:val="subscript"/>
                <w:lang w:val="pt-BR"/>
              </w:rPr>
              <w:t>2</w:t>
            </w:r>
            <w:r>
              <w:rPr>
                <w:sz w:val="21"/>
                <w:szCs w:val="21"/>
                <w:highlight w:val="none"/>
                <w:lang w:val="pt-BR"/>
              </w:rPr>
              <w:t>、CH</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2</w:t>
            </w:r>
            <w:r>
              <w:rPr>
                <w:sz w:val="21"/>
                <w:szCs w:val="21"/>
                <w:highlight w:val="none"/>
                <w:lang w:val="pt-BR"/>
              </w:rPr>
              <w:t>S+COS、Ar、NH</w:t>
            </w:r>
            <w:r>
              <w:rPr>
                <w:sz w:val="21"/>
                <w:szCs w:val="21"/>
                <w:highlight w:val="none"/>
                <w:vertAlign w:val="subscript"/>
                <w:lang w:val="pt-BR"/>
              </w:rPr>
              <w:t>3</w:t>
            </w:r>
            <w:r>
              <w:rPr>
                <w:sz w:val="21"/>
                <w:szCs w:val="21"/>
                <w:highlight w:val="none"/>
                <w:lang w:val="pt-BR"/>
              </w:rPr>
              <w:t>、HCN</w:t>
            </w:r>
          </w:p>
        </w:tc>
        <w:tc>
          <w:tcPr>
            <w:tcW w:w="888" w:type="pct"/>
            <w:noWrap w:val="0"/>
            <w:tcMar>
              <w:left w:w="28" w:type="dxa"/>
              <w:right w:w="28" w:type="dxa"/>
            </w:tcMar>
            <w:vAlign w:val="center"/>
          </w:tcPr>
          <w:p w14:paraId="6C2C6D54">
            <w:pPr>
              <w:jc w:val="center"/>
              <w:rPr>
                <w:sz w:val="21"/>
                <w:szCs w:val="21"/>
                <w:highlight w:val="none"/>
              </w:rPr>
            </w:pPr>
            <w:r>
              <w:rPr>
                <w:sz w:val="21"/>
                <w:szCs w:val="21"/>
                <w:highlight w:val="none"/>
              </w:rPr>
              <w:t>送净化装置硫回收单元</w:t>
            </w:r>
          </w:p>
        </w:tc>
        <w:tc>
          <w:tcPr>
            <w:tcW w:w="374" w:type="pct"/>
            <w:noWrap w:val="0"/>
            <w:tcMar>
              <w:left w:w="28" w:type="dxa"/>
              <w:right w:w="28" w:type="dxa"/>
            </w:tcMar>
            <w:vAlign w:val="center"/>
          </w:tcPr>
          <w:p w14:paraId="0B598C5B">
            <w:pPr>
              <w:jc w:val="center"/>
              <w:rPr>
                <w:sz w:val="21"/>
                <w:szCs w:val="21"/>
                <w:highlight w:val="none"/>
                <w:lang w:val="pt-BR"/>
              </w:rPr>
            </w:pPr>
            <w:r>
              <w:rPr>
                <w:sz w:val="21"/>
                <w:szCs w:val="21"/>
                <w:highlight w:val="none"/>
                <w:lang w:val="pt-BR"/>
              </w:rPr>
              <w:t>/</w:t>
            </w:r>
          </w:p>
        </w:tc>
        <w:tc>
          <w:tcPr>
            <w:tcW w:w="316" w:type="pct"/>
            <w:noWrap w:val="0"/>
            <w:tcMar>
              <w:left w:w="28" w:type="dxa"/>
              <w:right w:w="28" w:type="dxa"/>
            </w:tcMar>
            <w:vAlign w:val="center"/>
          </w:tcPr>
          <w:p w14:paraId="1EF49A08">
            <w:pPr>
              <w:jc w:val="center"/>
              <w:rPr>
                <w:sz w:val="21"/>
                <w:szCs w:val="21"/>
                <w:highlight w:val="none"/>
              </w:rPr>
            </w:pPr>
            <w:r>
              <w:rPr>
                <w:sz w:val="21"/>
                <w:szCs w:val="21"/>
                <w:highlight w:val="none"/>
              </w:rPr>
              <w:t>/</w:t>
            </w:r>
          </w:p>
        </w:tc>
        <w:tc>
          <w:tcPr>
            <w:tcW w:w="252" w:type="pct"/>
            <w:noWrap w:val="0"/>
            <w:tcMar>
              <w:left w:w="28" w:type="dxa"/>
              <w:right w:w="28" w:type="dxa"/>
            </w:tcMar>
            <w:vAlign w:val="center"/>
          </w:tcPr>
          <w:p w14:paraId="24A4CCA7">
            <w:pPr>
              <w:jc w:val="center"/>
              <w:rPr>
                <w:sz w:val="21"/>
                <w:szCs w:val="21"/>
                <w:highlight w:val="none"/>
              </w:rPr>
            </w:pPr>
            <w:r>
              <w:rPr>
                <w:sz w:val="21"/>
                <w:szCs w:val="21"/>
                <w:highlight w:val="none"/>
              </w:rPr>
              <w:t>/</w:t>
            </w:r>
          </w:p>
        </w:tc>
        <w:tc>
          <w:tcPr>
            <w:tcW w:w="226" w:type="pct"/>
            <w:noWrap w:val="0"/>
            <w:vAlign w:val="center"/>
          </w:tcPr>
          <w:p w14:paraId="1741A3FB">
            <w:pPr>
              <w:jc w:val="center"/>
              <w:rPr>
                <w:sz w:val="21"/>
                <w:szCs w:val="21"/>
                <w:highlight w:val="none"/>
              </w:rPr>
            </w:pPr>
            <w:r>
              <w:rPr>
                <w:sz w:val="21"/>
                <w:szCs w:val="21"/>
                <w:highlight w:val="none"/>
              </w:rPr>
              <w:t>/</w:t>
            </w:r>
          </w:p>
        </w:tc>
        <w:tc>
          <w:tcPr>
            <w:tcW w:w="244" w:type="pct"/>
            <w:noWrap w:val="0"/>
            <w:tcMar>
              <w:left w:w="28" w:type="dxa"/>
              <w:right w:w="28" w:type="dxa"/>
            </w:tcMar>
            <w:vAlign w:val="center"/>
          </w:tcPr>
          <w:p w14:paraId="59583D6E">
            <w:pPr>
              <w:jc w:val="center"/>
              <w:rPr>
                <w:sz w:val="21"/>
                <w:szCs w:val="21"/>
                <w:highlight w:val="none"/>
              </w:rPr>
            </w:pPr>
            <w:r>
              <w:rPr>
                <w:sz w:val="21"/>
                <w:szCs w:val="21"/>
                <w:highlight w:val="none"/>
              </w:rPr>
              <w:t>/</w:t>
            </w:r>
          </w:p>
        </w:tc>
        <w:tc>
          <w:tcPr>
            <w:tcW w:w="212" w:type="pct"/>
            <w:noWrap w:val="0"/>
            <w:vAlign w:val="center"/>
          </w:tcPr>
          <w:p w14:paraId="6E395E63">
            <w:pPr>
              <w:jc w:val="center"/>
              <w:rPr>
                <w:sz w:val="21"/>
                <w:szCs w:val="21"/>
                <w:highlight w:val="none"/>
              </w:rPr>
            </w:pPr>
            <w:r>
              <w:rPr>
                <w:sz w:val="21"/>
                <w:szCs w:val="21"/>
                <w:highlight w:val="none"/>
              </w:rPr>
              <w:t>连续</w:t>
            </w:r>
          </w:p>
        </w:tc>
        <w:tc>
          <w:tcPr>
            <w:tcW w:w="416" w:type="pct"/>
            <w:noWrap w:val="0"/>
            <w:vAlign w:val="center"/>
          </w:tcPr>
          <w:p w14:paraId="3695AE33">
            <w:pPr>
              <w:jc w:val="center"/>
              <w:rPr>
                <w:sz w:val="21"/>
                <w:szCs w:val="21"/>
                <w:highlight w:val="none"/>
              </w:rPr>
            </w:pPr>
            <w:r>
              <w:rPr>
                <w:sz w:val="21"/>
                <w:szCs w:val="21"/>
                <w:highlight w:val="none"/>
              </w:rPr>
              <w:t>送净化装置硫回收单元</w:t>
            </w:r>
          </w:p>
        </w:tc>
      </w:tr>
      <w:tr w14:paraId="2884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exact"/>
          <w:tblHeader/>
          <w:jc w:val="center"/>
        </w:trPr>
        <w:tc>
          <w:tcPr>
            <w:tcW w:w="200" w:type="pct"/>
            <w:vMerge w:val="restart"/>
            <w:noWrap w:val="0"/>
            <w:tcMar>
              <w:left w:w="28" w:type="dxa"/>
              <w:right w:w="28" w:type="dxa"/>
            </w:tcMar>
            <w:vAlign w:val="center"/>
          </w:tcPr>
          <w:p w14:paraId="3A349CC7">
            <w:pPr>
              <w:widowControl/>
              <w:snapToGrid w:val="0"/>
              <w:jc w:val="center"/>
              <w:rPr>
                <w:sz w:val="21"/>
                <w:szCs w:val="21"/>
                <w:highlight w:val="none"/>
              </w:rPr>
            </w:pPr>
            <w:r>
              <w:rPr>
                <w:sz w:val="21"/>
                <w:szCs w:val="21"/>
                <w:highlight w:val="none"/>
              </w:rPr>
              <w:t>化学品合成装置</w:t>
            </w:r>
          </w:p>
        </w:tc>
        <w:tc>
          <w:tcPr>
            <w:tcW w:w="529" w:type="pct"/>
            <w:gridSpan w:val="2"/>
            <w:vMerge w:val="restart"/>
            <w:noWrap w:val="0"/>
            <w:vAlign w:val="center"/>
          </w:tcPr>
          <w:p w14:paraId="02B7F730">
            <w:pPr>
              <w:jc w:val="center"/>
              <w:rPr>
                <w:sz w:val="21"/>
                <w:szCs w:val="21"/>
                <w:highlight w:val="none"/>
              </w:rPr>
            </w:pPr>
            <w:r>
              <w:rPr>
                <w:sz w:val="21"/>
                <w:szCs w:val="21"/>
                <w:highlight w:val="none"/>
              </w:rPr>
              <w:t>催化剂还原单元</w:t>
            </w:r>
          </w:p>
        </w:tc>
        <w:tc>
          <w:tcPr>
            <w:tcW w:w="590" w:type="pct"/>
            <w:noWrap w:val="0"/>
            <w:vAlign w:val="center"/>
          </w:tcPr>
          <w:p w14:paraId="296840E6">
            <w:pPr>
              <w:jc w:val="center"/>
              <w:rPr>
                <w:sz w:val="21"/>
                <w:szCs w:val="21"/>
                <w:highlight w:val="none"/>
              </w:rPr>
            </w:pPr>
            <w:r>
              <w:rPr>
                <w:sz w:val="21"/>
                <w:szCs w:val="21"/>
                <w:highlight w:val="none"/>
              </w:rPr>
              <w:t>催化剂输送罐废气</w:t>
            </w:r>
          </w:p>
        </w:tc>
        <w:tc>
          <w:tcPr>
            <w:tcW w:w="748" w:type="pct"/>
            <w:noWrap w:val="0"/>
            <w:tcMar>
              <w:left w:w="28" w:type="dxa"/>
              <w:right w:w="28" w:type="dxa"/>
            </w:tcMar>
            <w:vAlign w:val="center"/>
          </w:tcPr>
          <w:p w14:paraId="37172D5B">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6FEB8911">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7F1BEF4D">
            <w:pPr>
              <w:jc w:val="center"/>
              <w:rPr>
                <w:sz w:val="21"/>
                <w:szCs w:val="21"/>
                <w:highlight w:val="none"/>
              </w:rPr>
            </w:pPr>
            <w:r>
              <w:rPr>
                <w:sz w:val="21"/>
                <w:szCs w:val="21"/>
                <w:highlight w:val="none"/>
              </w:rPr>
              <w:t>465</w:t>
            </w:r>
          </w:p>
        </w:tc>
        <w:tc>
          <w:tcPr>
            <w:tcW w:w="316" w:type="pct"/>
            <w:noWrap w:val="0"/>
            <w:tcMar>
              <w:left w:w="28" w:type="dxa"/>
              <w:right w:w="28" w:type="dxa"/>
            </w:tcMar>
            <w:vAlign w:val="center"/>
          </w:tcPr>
          <w:p w14:paraId="4CAA8E57">
            <w:pPr>
              <w:jc w:val="center"/>
              <w:rPr>
                <w:sz w:val="21"/>
                <w:szCs w:val="21"/>
                <w:highlight w:val="none"/>
              </w:rPr>
            </w:pPr>
            <w:r>
              <w:rPr>
                <w:sz w:val="21"/>
                <w:szCs w:val="21"/>
                <w:highlight w:val="none"/>
              </w:rPr>
              <w:t>57.0</w:t>
            </w:r>
          </w:p>
        </w:tc>
        <w:tc>
          <w:tcPr>
            <w:tcW w:w="252" w:type="pct"/>
            <w:noWrap w:val="0"/>
            <w:tcMar>
              <w:left w:w="28" w:type="dxa"/>
              <w:right w:w="28" w:type="dxa"/>
            </w:tcMar>
            <w:vAlign w:val="center"/>
          </w:tcPr>
          <w:p w14:paraId="5C00D86E">
            <w:pPr>
              <w:jc w:val="center"/>
              <w:rPr>
                <w:sz w:val="21"/>
                <w:szCs w:val="21"/>
                <w:highlight w:val="none"/>
              </w:rPr>
            </w:pPr>
            <w:r>
              <w:rPr>
                <w:sz w:val="21"/>
                <w:szCs w:val="21"/>
                <w:highlight w:val="none"/>
              </w:rPr>
              <w:t>1</w:t>
            </w:r>
          </w:p>
        </w:tc>
        <w:tc>
          <w:tcPr>
            <w:tcW w:w="226" w:type="pct"/>
            <w:noWrap w:val="0"/>
            <w:vAlign w:val="center"/>
          </w:tcPr>
          <w:p w14:paraId="489174B4">
            <w:pPr>
              <w:jc w:val="center"/>
              <w:rPr>
                <w:sz w:val="21"/>
                <w:szCs w:val="21"/>
                <w:highlight w:val="none"/>
              </w:rPr>
            </w:pPr>
            <w:r>
              <w:rPr>
                <w:sz w:val="21"/>
                <w:szCs w:val="21"/>
                <w:highlight w:val="none"/>
              </w:rPr>
              <w:t>25</w:t>
            </w:r>
          </w:p>
        </w:tc>
        <w:tc>
          <w:tcPr>
            <w:tcW w:w="244" w:type="pct"/>
            <w:noWrap w:val="0"/>
            <w:tcMar>
              <w:left w:w="28" w:type="dxa"/>
              <w:right w:w="28" w:type="dxa"/>
            </w:tcMar>
            <w:vAlign w:val="center"/>
          </w:tcPr>
          <w:p w14:paraId="08F65428">
            <w:pPr>
              <w:jc w:val="center"/>
              <w:rPr>
                <w:sz w:val="21"/>
                <w:szCs w:val="21"/>
                <w:highlight w:val="none"/>
              </w:rPr>
            </w:pPr>
            <w:r>
              <w:rPr>
                <w:sz w:val="21"/>
                <w:szCs w:val="21"/>
                <w:highlight w:val="none"/>
              </w:rPr>
              <w:t>0.4</w:t>
            </w:r>
          </w:p>
        </w:tc>
        <w:tc>
          <w:tcPr>
            <w:tcW w:w="212" w:type="pct"/>
            <w:noWrap w:val="0"/>
            <w:vAlign w:val="center"/>
          </w:tcPr>
          <w:p w14:paraId="07EADF69">
            <w:pPr>
              <w:jc w:val="center"/>
              <w:rPr>
                <w:sz w:val="21"/>
                <w:szCs w:val="21"/>
                <w:highlight w:val="none"/>
              </w:rPr>
            </w:pPr>
            <w:r>
              <w:rPr>
                <w:sz w:val="21"/>
                <w:szCs w:val="21"/>
                <w:highlight w:val="none"/>
              </w:rPr>
              <w:t>间断</w:t>
            </w:r>
          </w:p>
        </w:tc>
        <w:tc>
          <w:tcPr>
            <w:tcW w:w="416" w:type="pct"/>
            <w:noWrap w:val="0"/>
            <w:vAlign w:val="center"/>
          </w:tcPr>
          <w:p w14:paraId="6CF453B7">
            <w:pPr>
              <w:jc w:val="center"/>
              <w:rPr>
                <w:sz w:val="21"/>
                <w:szCs w:val="21"/>
                <w:highlight w:val="none"/>
              </w:rPr>
            </w:pPr>
            <w:r>
              <w:rPr>
                <w:sz w:val="21"/>
                <w:szCs w:val="21"/>
                <w:highlight w:val="none"/>
              </w:rPr>
              <w:t>排入大气</w:t>
            </w:r>
          </w:p>
        </w:tc>
      </w:tr>
      <w:tr w14:paraId="336D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blHeader/>
          <w:jc w:val="center"/>
        </w:trPr>
        <w:tc>
          <w:tcPr>
            <w:tcW w:w="200" w:type="pct"/>
            <w:vMerge w:val="continue"/>
            <w:noWrap w:val="0"/>
            <w:tcMar>
              <w:left w:w="28" w:type="dxa"/>
              <w:right w:w="28" w:type="dxa"/>
            </w:tcMar>
            <w:vAlign w:val="center"/>
          </w:tcPr>
          <w:p w14:paraId="4E7FBB68">
            <w:pPr>
              <w:widowControl/>
              <w:snapToGrid w:val="0"/>
              <w:jc w:val="center"/>
              <w:rPr>
                <w:sz w:val="21"/>
                <w:szCs w:val="21"/>
                <w:highlight w:val="none"/>
              </w:rPr>
            </w:pPr>
          </w:p>
        </w:tc>
        <w:tc>
          <w:tcPr>
            <w:tcW w:w="529" w:type="pct"/>
            <w:gridSpan w:val="2"/>
            <w:vMerge w:val="continue"/>
            <w:noWrap w:val="0"/>
            <w:vAlign w:val="center"/>
          </w:tcPr>
          <w:p w14:paraId="44581B16">
            <w:pPr>
              <w:jc w:val="center"/>
              <w:rPr>
                <w:sz w:val="21"/>
                <w:szCs w:val="21"/>
                <w:highlight w:val="none"/>
              </w:rPr>
            </w:pPr>
          </w:p>
        </w:tc>
        <w:tc>
          <w:tcPr>
            <w:tcW w:w="590" w:type="pct"/>
            <w:noWrap w:val="0"/>
            <w:vAlign w:val="center"/>
          </w:tcPr>
          <w:p w14:paraId="3236C0A8">
            <w:pPr>
              <w:jc w:val="center"/>
              <w:rPr>
                <w:sz w:val="21"/>
                <w:szCs w:val="21"/>
                <w:highlight w:val="none"/>
              </w:rPr>
            </w:pPr>
            <w:r>
              <w:rPr>
                <w:sz w:val="21"/>
                <w:szCs w:val="21"/>
                <w:highlight w:val="none"/>
              </w:rPr>
              <w:t>催化剂储仓废气</w:t>
            </w:r>
          </w:p>
        </w:tc>
        <w:tc>
          <w:tcPr>
            <w:tcW w:w="748" w:type="pct"/>
            <w:noWrap w:val="0"/>
            <w:tcMar>
              <w:left w:w="28" w:type="dxa"/>
              <w:right w:w="28" w:type="dxa"/>
            </w:tcMar>
            <w:vAlign w:val="center"/>
          </w:tcPr>
          <w:p w14:paraId="06B8E82E">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0EFCD71B">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07FB0C2F">
            <w:pPr>
              <w:jc w:val="center"/>
              <w:rPr>
                <w:sz w:val="21"/>
                <w:szCs w:val="21"/>
                <w:highlight w:val="none"/>
              </w:rPr>
            </w:pPr>
            <w:r>
              <w:rPr>
                <w:sz w:val="21"/>
                <w:szCs w:val="21"/>
                <w:highlight w:val="none"/>
              </w:rPr>
              <w:t>1182</w:t>
            </w:r>
          </w:p>
        </w:tc>
        <w:tc>
          <w:tcPr>
            <w:tcW w:w="316" w:type="pct"/>
            <w:noWrap w:val="0"/>
            <w:tcMar>
              <w:left w:w="28" w:type="dxa"/>
              <w:right w:w="28" w:type="dxa"/>
            </w:tcMar>
            <w:vAlign w:val="center"/>
          </w:tcPr>
          <w:p w14:paraId="582D8269">
            <w:pPr>
              <w:jc w:val="center"/>
              <w:rPr>
                <w:sz w:val="21"/>
                <w:szCs w:val="21"/>
                <w:highlight w:val="none"/>
              </w:rPr>
            </w:pPr>
            <w:r>
              <w:rPr>
                <w:sz w:val="21"/>
                <w:szCs w:val="21"/>
                <w:highlight w:val="none"/>
              </w:rPr>
              <w:t>39.9</w:t>
            </w:r>
          </w:p>
        </w:tc>
        <w:tc>
          <w:tcPr>
            <w:tcW w:w="252" w:type="pct"/>
            <w:noWrap w:val="0"/>
            <w:tcMar>
              <w:left w:w="28" w:type="dxa"/>
              <w:right w:w="28" w:type="dxa"/>
            </w:tcMar>
            <w:vAlign w:val="center"/>
          </w:tcPr>
          <w:p w14:paraId="253F1389">
            <w:pPr>
              <w:jc w:val="center"/>
              <w:rPr>
                <w:sz w:val="21"/>
                <w:szCs w:val="21"/>
                <w:highlight w:val="none"/>
              </w:rPr>
            </w:pPr>
            <w:r>
              <w:rPr>
                <w:sz w:val="21"/>
                <w:szCs w:val="21"/>
                <w:highlight w:val="none"/>
              </w:rPr>
              <w:t>1</w:t>
            </w:r>
          </w:p>
        </w:tc>
        <w:tc>
          <w:tcPr>
            <w:tcW w:w="226" w:type="pct"/>
            <w:noWrap w:val="0"/>
            <w:vAlign w:val="center"/>
          </w:tcPr>
          <w:p w14:paraId="5718549C">
            <w:pPr>
              <w:jc w:val="center"/>
              <w:rPr>
                <w:sz w:val="21"/>
                <w:szCs w:val="21"/>
                <w:highlight w:val="none"/>
              </w:rPr>
            </w:pPr>
            <w:r>
              <w:rPr>
                <w:sz w:val="21"/>
                <w:szCs w:val="21"/>
                <w:highlight w:val="none"/>
              </w:rPr>
              <w:t>25</w:t>
            </w:r>
          </w:p>
        </w:tc>
        <w:tc>
          <w:tcPr>
            <w:tcW w:w="244" w:type="pct"/>
            <w:noWrap w:val="0"/>
            <w:tcMar>
              <w:left w:w="28" w:type="dxa"/>
              <w:right w:w="28" w:type="dxa"/>
            </w:tcMar>
            <w:vAlign w:val="center"/>
          </w:tcPr>
          <w:p w14:paraId="23703631">
            <w:pPr>
              <w:jc w:val="center"/>
              <w:rPr>
                <w:sz w:val="21"/>
                <w:szCs w:val="21"/>
                <w:highlight w:val="none"/>
              </w:rPr>
            </w:pPr>
            <w:r>
              <w:rPr>
                <w:sz w:val="21"/>
                <w:szCs w:val="21"/>
                <w:highlight w:val="none"/>
              </w:rPr>
              <w:t>0.4</w:t>
            </w:r>
          </w:p>
        </w:tc>
        <w:tc>
          <w:tcPr>
            <w:tcW w:w="212" w:type="pct"/>
            <w:noWrap w:val="0"/>
            <w:vAlign w:val="center"/>
          </w:tcPr>
          <w:p w14:paraId="06A8D9CE">
            <w:pPr>
              <w:jc w:val="center"/>
              <w:rPr>
                <w:sz w:val="21"/>
                <w:szCs w:val="21"/>
                <w:highlight w:val="none"/>
              </w:rPr>
            </w:pPr>
            <w:r>
              <w:rPr>
                <w:sz w:val="21"/>
                <w:szCs w:val="21"/>
                <w:highlight w:val="none"/>
              </w:rPr>
              <w:t>间断</w:t>
            </w:r>
          </w:p>
        </w:tc>
        <w:tc>
          <w:tcPr>
            <w:tcW w:w="416" w:type="pct"/>
            <w:noWrap w:val="0"/>
            <w:vAlign w:val="center"/>
          </w:tcPr>
          <w:p w14:paraId="2DACD343">
            <w:pPr>
              <w:jc w:val="center"/>
              <w:rPr>
                <w:sz w:val="21"/>
                <w:szCs w:val="21"/>
                <w:highlight w:val="none"/>
              </w:rPr>
            </w:pPr>
            <w:r>
              <w:rPr>
                <w:sz w:val="21"/>
                <w:szCs w:val="21"/>
                <w:highlight w:val="none"/>
              </w:rPr>
              <w:t>排入大气</w:t>
            </w:r>
          </w:p>
        </w:tc>
      </w:tr>
      <w:tr w14:paraId="69E6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5536E69D">
            <w:pPr>
              <w:widowControl/>
              <w:snapToGrid w:val="0"/>
              <w:jc w:val="center"/>
              <w:rPr>
                <w:sz w:val="21"/>
                <w:szCs w:val="21"/>
                <w:highlight w:val="none"/>
              </w:rPr>
            </w:pPr>
          </w:p>
        </w:tc>
        <w:tc>
          <w:tcPr>
            <w:tcW w:w="529" w:type="pct"/>
            <w:gridSpan w:val="2"/>
            <w:vMerge w:val="continue"/>
            <w:noWrap w:val="0"/>
            <w:vAlign w:val="center"/>
          </w:tcPr>
          <w:p w14:paraId="6487E7DF">
            <w:pPr>
              <w:jc w:val="center"/>
              <w:rPr>
                <w:sz w:val="21"/>
                <w:szCs w:val="21"/>
                <w:highlight w:val="none"/>
              </w:rPr>
            </w:pPr>
          </w:p>
        </w:tc>
        <w:tc>
          <w:tcPr>
            <w:tcW w:w="590" w:type="pct"/>
            <w:noWrap w:val="0"/>
            <w:vAlign w:val="center"/>
          </w:tcPr>
          <w:p w14:paraId="380D29FC">
            <w:pPr>
              <w:jc w:val="center"/>
              <w:rPr>
                <w:sz w:val="21"/>
                <w:szCs w:val="21"/>
                <w:highlight w:val="none"/>
              </w:rPr>
            </w:pPr>
            <w:r>
              <w:rPr>
                <w:sz w:val="21"/>
                <w:szCs w:val="21"/>
                <w:highlight w:val="none"/>
              </w:rPr>
              <w:t>催化剂给料罐废气</w:t>
            </w:r>
          </w:p>
        </w:tc>
        <w:tc>
          <w:tcPr>
            <w:tcW w:w="748" w:type="pct"/>
            <w:noWrap w:val="0"/>
            <w:tcMar>
              <w:left w:w="28" w:type="dxa"/>
              <w:right w:w="28" w:type="dxa"/>
            </w:tcMar>
            <w:vAlign w:val="center"/>
          </w:tcPr>
          <w:p w14:paraId="1520E8C7">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750C880D">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18ABBC26">
            <w:pPr>
              <w:jc w:val="center"/>
              <w:rPr>
                <w:sz w:val="21"/>
                <w:szCs w:val="21"/>
                <w:highlight w:val="none"/>
              </w:rPr>
            </w:pPr>
            <w:r>
              <w:rPr>
                <w:sz w:val="21"/>
                <w:szCs w:val="21"/>
                <w:highlight w:val="none"/>
              </w:rPr>
              <w:t>1044</w:t>
            </w:r>
          </w:p>
        </w:tc>
        <w:tc>
          <w:tcPr>
            <w:tcW w:w="316" w:type="pct"/>
            <w:noWrap w:val="0"/>
            <w:tcMar>
              <w:left w:w="28" w:type="dxa"/>
              <w:right w:w="28" w:type="dxa"/>
            </w:tcMar>
            <w:vAlign w:val="center"/>
          </w:tcPr>
          <w:p w14:paraId="408FDD1D">
            <w:pPr>
              <w:jc w:val="center"/>
              <w:rPr>
                <w:sz w:val="21"/>
                <w:szCs w:val="21"/>
                <w:highlight w:val="none"/>
              </w:rPr>
            </w:pPr>
            <w:r>
              <w:rPr>
                <w:sz w:val="21"/>
                <w:szCs w:val="21"/>
                <w:highlight w:val="none"/>
              </w:rPr>
              <w:t>33.9</w:t>
            </w:r>
          </w:p>
        </w:tc>
        <w:tc>
          <w:tcPr>
            <w:tcW w:w="252" w:type="pct"/>
            <w:noWrap w:val="0"/>
            <w:tcMar>
              <w:left w:w="28" w:type="dxa"/>
              <w:right w:w="28" w:type="dxa"/>
            </w:tcMar>
            <w:vAlign w:val="center"/>
          </w:tcPr>
          <w:p w14:paraId="6DF81E47">
            <w:pPr>
              <w:jc w:val="center"/>
              <w:rPr>
                <w:sz w:val="21"/>
                <w:szCs w:val="21"/>
                <w:highlight w:val="none"/>
              </w:rPr>
            </w:pPr>
            <w:r>
              <w:rPr>
                <w:sz w:val="21"/>
                <w:szCs w:val="21"/>
                <w:highlight w:val="none"/>
              </w:rPr>
              <w:t>1</w:t>
            </w:r>
          </w:p>
        </w:tc>
        <w:tc>
          <w:tcPr>
            <w:tcW w:w="226" w:type="pct"/>
            <w:noWrap w:val="0"/>
            <w:vAlign w:val="center"/>
          </w:tcPr>
          <w:p w14:paraId="48C7E5FE">
            <w:pPr>
              <w:jc w:val="center"/>
              <w:rPr>
                <w:sz w:val="21"/>
                <w:szCs w:val="21"/>
                <w:highlight w:val="none"/>
              </w:rPr>
            </w:pPr>
            <w:r>
              <w:rPr>
                <w:sz w:val="21"/>
                <w:szCs w:val="21"/>
                <w:highlight w:val="none"/>
              </w:rPr>
              <w:t>25</w:t>
            </w:r>
          </w:p>
        </w:tc>
        <w:tc>
          <w:tcPr>
            <w:tcW w:w="244" w:type="pct"/>
            <w:noWrap w:val="0"/>
            <w:tcMar>
              <w:left w:w="28" w:type="dxa"/>
              <w:right w:w="28" w:type="dxa"/>
            </w:tcMar>
            <w:vAlign w:val="center"/>
          </w:tcPr>
          <w:p w14:paraId="1A0E7439">
            <w:pPr>
              <w:jc w:val="center"/>
              <w:rPr>
                <w:sz w:val="21"/>
                <w:szCs w:val="21"/>
                <w:highlight w:val="none"/>
              </w:rPr>
            </w:pPr>
            <w:r>
              <w:rPr>
                <w:sz w:val="21"/>
                <w:szCs w:val="21"/>
                <w:highlight w:val="none"/>
              </w:rPr>
              <w:t>0.4</w:t>
            </w:r>
          </w:p>
        </w:tc>
        <w:tc>
          <w:tcPr>
            <w:tcW w:w="212" w:type="pct"/>
            <w:noWrap w:val="0"/>
            <w:vAlign w:val="center"/>
          </w:tcPr>
          <w:p w14:paraId="3F9E9516">
            <w:pPr>
              <w:jc w:val="center"/>
              <w:rPr>
                <w:sz w:val="21"/>
                <w:szCs w:val="21"/>
                <w:highlight w:val="none"/>
              </w:rPr>
            </w:pPr>
            <w:r>
              <w:rPr>
                <w:sz w:val="21"/>
                <w:szCs w:val="21"/>
                <w:highlight w:val="none"/>
              </w:rPr>
              <w:t>间断</w:t>
            </w:r>
          </w:p>
        </w:tc>
        <w:tc>
          <w:tcPr>
            <w:tcW w:w="416" w:type="pct"/>
            <w:noWrap w:val="0"/>
            <w:vAlign w:val="center"/>
          </w:tcPr>
          <w:p w14:paraId="08EEA6EE">
            <w:pPr>
              <w:jc w:val="center"/>
              <w:rPr>
                <w:sz w:val="21"/>
                <w:szCs w:val="21"/>
                <w:highlight w:val="none"/>
              </w:rPr>
            </w:pPr>
            <w:r>
              <w:rPr>
                <w:sz w:val="21"/>
                <w:szCs w:val="21"/>
                <w:highlight w:val="none"/>
              </w:rPr>
              <w:t>排入大气</w:t>
            </w:r>
          </w:p>
        </w:tc>
      </w:tr>
      <w:tr w14:paraId="75C6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04B659CB">
            <w:pPr>
              <w:widowControl/>
              <w:snapToGrid w:val="0"/>
              <w:jc w:val="center"/>
              <w:rPr>
                <w:sz w:val="21"/>
                <w:szCs w:val="21"/>
                <w:highlight w:val="none"/>
              </w:rPr>
            </w:pPr>
          </w:p>
        </w:tc>
        <w:tc>
          <w:tcPr>
            <w:tcW w:w="529" w:type="pct"/>
            <w:gridSpan w:val="2"/>
            <w:vMerge w:val="restart"/>
            <w:noWrap w:val="0"/>
            <w:vAlign w:val="center"/>
          </w:tcPr>
          <w:p w14:paraId="1BEB250C">
            <w:pPr>
              <w:jc w:val="center"/>
              <w:rPr>
                <w:sz w:val="21"/>
                <w:szCs w:val="21"/>
                <w:highlight w:val="none"/>
              </w:rPr>
            </w:pPr>
            <w:r>
              <w:rPr>
                <w:sz w:val="21"/>
                <w:szCs w:val="21"/>
                <w:highlight w:val="none"/>
              </w:rPr>
              <w:t>蜡过滤单元</w:t>
            </w:r>
          </w:p>
        </w:tc>
        <w:tc>
          <w:tcPr>
            <w:tcW w:w="590" w:type="pct"/>
            <w:noWrap w:val="0"/>
            <w:vAlign w:val="center"/>
          </w:tcPr>
          <w:p w14:paraId="43B3DA25">
            <w:pPr>
              <w:jc w:val="center"/>
              <w:rPr>
                <w:sz w:val="21"/>
                <w:szCs w:val="21"/>
                <w:highlight w:val="none"/>
              </w:rPr>
            </w:pPr>
            <w:r>
              <w:rPr>
                <w:sz w:val="21"/>
                <w:szCs w:val="21"/>
                <w:highlight w:val="none"/>
              </w:rPr>
              <w:t>助剂拆袋系统废气</w:t>
            </w:r>
          </w:p>
        </w:tc>
        <w:tc>
          <w:tcPr>
            <w:tcW w:w="748" w:type="pct"/>
            <w:noWrap w:val="0"/>
            <w:tcMar>
              <w:left w:w="28" w:type="dxa"/>
              <w:right w:w="28" w:type="dxa"/>
            </w:tcMar>
            <w:vAlign w:val="center"/>
          </w:tcPr>
          <w:p w14:paraId="252106AB">
            <w:pPr>
              <w:jc w:val="center"/>
              <w:rPr>
                <w:sz w:val="21"/>
                <w:szCs w:val="21"/>
                <w:highlight w:val="none"/>
                <w:lang w:val="pt-BR"/>
              </w:rPr>
            </w:pPr>
            <w:r>
              <w:rPr>
                <w:sz w:val="21"/>
                <w:szCs w:val="21"/>
                <w:highlight w:val="none"/>
              </w:rPr>
              <w:t>颗粒物</w:t>
            </w:r>
          </w:p>
        </w:tc>
        <w:tc>
          <w:tcPr>
            <w:tcW w:w="888" w:type="pct"/>
            <w:noWrap w:val="0"/>
            <w:tcMar>
              <w:left w:w="28" w:type="dxa"/>
              <w:right w:w="28" w:type="dxa"/>
            </w:tcMar>
            <w:vAlign w:val="center"/>
          </w:tcPr>
          <w:p w14:paraId="7A8E67BD">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61A022D0">
            <w:pPr>
              <w:jc w:val="center"/>
              <w:rPr>
                <w:sz w:val="21"/>
                <w:szCs w:val="21"/>
                <w:highlight w:val="none"/>
              </w:rPr>
            </w:pPr>
            <w:r>
              <w:rPr>
                <w:sz w:val="21"/>
                <w:szCs w:val="21"/>
                <w:highlight w:val="none"/>
              </w:rPr>
              <w:t>242</w:t>
            </w:r>
          </w:p>
        </w:tc>
        <w:tc>
          <w:tcPr>
            <w:tcW w:w="316" w:type="pct"/>
            <w:noWrap w:val="0"/>
            <w:tcMar>
              <w:left w:w="28" w:type="dxa"/>
              <w:right w:w="28" w:type="dxa"/>
            </w:tcMar>
            <w:vAlign w:val="center"/>
          </w:tcPr>
          <w:p w14:paraId="06973D79">
            <w:pPr>
              <w:jc w:val="center"/>
              <w:rPr>
                <w:sz w:val="21"/>
                <w:szCs w:val="21"/>
                <w:highlight w:val="none"/>
              </w:rPr>
            </w:pPr>
            <w:r>
              <w:rPr>
                <w:sz w:val="21"/>
                <w:szCs w:val="21"/>
                <w:highlight w:val="none"/>
              </w:rPr>
              <w:t>48.2</w:t>
            </w:r>
          </w:p>
        </w:tc>
        <w:tc>
          <w:tcPr>
            <w:tcW w:w="252" w:type="pct"/>
            <w:noWrap w:val="0"/>
            <w:tcMar>
              <w:left w:w="28" w:type="dxa"/>
              <w:right w:w="28" w:type="dxa"/>
            </w:tcMar>
            <w:vAlign w:val="center"/>
          </w:tcPr>
          <w:p w14:paraId="57BE5836">
            <w:pPr>
              <w:jc w:val="center"/>
              <w:rPr>
                <w:sz w:val="21"/>
                <w:szCs w:val="21"/>
                <w:highlight w:val="none"/>
              </w:rPr>
            </w:pPr>
            <w:r>
              <w:rPr>
                <w:sz w:val="21"/>
                <w:szCs w:val="21"/>
                <w:highlight w:val="none"/>
              </w:rPr>
              <w:t>1</w:t>
            </w:r>
          </w:p>
        </w:tc>
        <w:tc>
          <w:tcPr>
            <w:tcW w:w="226" w:type="pct"/>
            <w:noWrap w:val="0"/>
            <w:vAlign w:val="center"/>
          </w:tcPr>
          <w:p w14:paraId="32E7586A">
            <w:pPr>
              <w:jc w:val="center"/>
              <w:rPr>
                <w:sz w:val="21"/>
                <w:szCs w:val="21"/>
                <w:highlight w:val="none"/>
              </w:rPr>
            </w:pPr>
            <w:r>
              <w:rPr>
                <w:sz w:val="21"/>
                <w:szCs w:val="21"/>
                <w:highlight w:val="none"/>
              </w:rPr>
              <w:t>15</w:t>
            </w:r>
          </w:p>
        </w:tc>
        <w:tc>
          <w:tcPr>
            <w:tcW w:w="244" w:type="pct"/>
            <w:noWrap w:val="0"/>
            <w:tcMar>
              <w:left w:w="28" w:type="dxa"/>
              <w:right w:w="28" w:type="dxa"/>
            </w:tcMar>
            <w:vAlign w:val="center"/>
          </w:tcPr>
          <w:p w14:paraId="595DB28D">
            <w:pPr>
              <w:jc w:val="center"/>
              <w:rPr>
                <w:sz w:val="21"/>
                <w:szCs w:val="21"/>
                <w:highlight w:val="none"/>
              </w:rPr>
            </w:pPr>
            <w:r>
              <w:rPr>
                <w:sz w:val="21"/>
                <w:szCs w:val="21"/>
                <w:highlight w:val="none"/>
              </w:rPr>
              <w:t>0.35</w:t>
            </w:r>
          </w:p>
        </w:tc>
        <w:tc>
          <w:tcPr>
            <w:tcW w:w="212" w:type="pct"/>
            <w:noWrap w:val="0"/>
            <w:vAlign w:val="center"/>
          </w:tcPr>
          <w:p w14:paraId="37480514">
            <w:pPr>
              <w:jc w:val="center"/>
              <w:rPr>
                <w:sz w:val="21"/>
                <w:szCs w:val="21"/>
                <w:highlight w:val="none"/>
              </w:rPr>
            </w:pPr>
            <w:r>
              <w:rPr>
                <w:sz w:val="21"/>
                <w:szCs w:val="21"/>
                <w:highlight w:val="none"/>
              </w:rPr>
              <w:t>间断</w:t>
            </w:r>
          </w:p>
        </w:tc>
        <w:tc>
          <w:tcPr>
            <w:tcW w:w="416" w:type="pct"/>
            <w:noWrap w:val="0"/>
            <w:vAlign w:val="center"/>
          </w:tcPr>
          <w:p w14:paraId="3038B621">
            <w:pPr>
              <w:jc w:val="center"/>
              <w:rPr>
                <w:sz w:val="21"/>
                <w:szCs w:val="21"/>
                <w:highlight w:val="none"/>
              </w:rPr>
            </w:pPr>
            <w:r>
              <w:rPr>
                <w:sz w:val="21"/>
                <w:szCs w:val="21"/>
                <w:highlight w:val="none"/>
              </w:rPr>
              <w:t>排入大气</w:t>
            </w:r>
          </w:p>
        </w:tc>
      </w:tr>
      <w:tr w14:paraId="73AE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54215A57">
            <w:pPr>
              <w:widowControl/>
              <w:snapToGrid w:val="0"/>
              <w:jc w:val="center"/>
              <w:rPr>
                <w:sz w:val="21"/>
                <w:szCs w:val="21"/>
                <w:highlight w:val="none"/>
              </w:rPr>
            </w:pPr>
          </w:p>
        </w:tc>
        <w:tc>
          <w:tcPr>
            <w:tcW w:w="529" w:type="pct"/>
            <w:gridSpan w:val="2"/>
            <w:vMerge w:val="continue"/>
            <w:noWrap w:val="0"/>
            <w:vAlign w:val="center"/>
          </w:tcPr>
          <w:p w14:paraId="4755B992">
            <w:pPr>
              <w:jc w:val="center"/>
              <w:rPr>
                <w:sz w:val="21"/>
                <w:szCs w:val="21"/>
                <w:highlight w:val="none"/>
              </w:rPr>
            </w:pPr>
          </w:p>
        </w:tc>
        <w:tc>
          <w:tcPr>
            <w:tcW w:w="590" w:type="pct"/>
            <w:noWrap w:val="0"/>
            <w:vAlign w:val="center"/>
          </w:tcPr>
          <w:p w14:paraId="602CB067">
            <w:pPr>
              <w:jc w:val="center"/>
              <w:rPr>
                <w:sz w:val="21"/>
                <w:szCs w:val="21"/>
                <w:highlight w:val="none"/>
              </w:rPr>
            </w:pPr>
            <w:r>
              <w:rPr>
                <w:sz w:val="21"/>
                <w:szCs w:val="21"/>
                <w:highlight w:val="none"/>
              </w:rPr>
              <w:t>硅藻土储仓</w:t>
            </w:r>
          </w:p>
        </w:tc>
        <w:tc>
          <w:tcPr>
            <w:tcW w:w="748" w:type="pct"/>
            <w:noWrap w:val="0"/>
            <w:tcMar>
              <w:left w:w="28" w:type="dxa"/>
              <w:right w:w="28" w:type="dxa"/>
            </w:tcMar>
            <w:vAlign w:val="center"/>
          </w:tcPr>
          <w:p w14:paraId="1DBD38ED">
            <w:pPr>
              <w:jc w:val="center"/>
              <w:rPr>
                <w:sz w:val="21"/>
                <w:szCs w:val="21"/>
                <w:highlight w:val="none"/>
                <w:lang w:val="pt-BR"/>
              </w:rPr>
            </w:pPr>
            <w:r>
              <w:rPr>
                <w:sz w:val="21"/>
                <w:szCs w:val="21"/>
                <w:highlight w:val="none"/>
              </w:rPr>
              <w:t>颗粒物</w:t>
            </w:r>
          </w:p>
        </w:tc>
        <w:tc>
          <w:tcPr>
            <w:tcW w:w="888" w:type="pct"/>
            <w:noWrap w:val="0"/>
            <w:tcMar>
              <w:left w:w="28" w:type="dxa"/>
              <w:right w:w="28" w:type="dxa"/>
            </w:tcMar>
            <w:vAlign w:val="center"/>
          </w:tcPr>
          <w:p w14:paraId="346B802B">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0EB3AA89">
            <w:pPr>
              <w:jc w:val="center"/>
              <w:rPr>
                <w:sz w:val="21"/>
                <w:szCs w:val="21"/>
                <w:highlight w:val="none"/>
              </w:rPr>
            </w:pPr>
            <w:r>
              <w:rPr>
                <w:sz w:val="21"/>
                <w:szCs w:val="21"/>
                <w:highlight w:val="none"/>
              </w:rPr>
              <w:t>372</w:t>
            </w:r>
          </w:p>
        </w:tc>
        <w:tc>
          <w:tcPr>
            <w:tcW w:w="316" w:type="pct"/>
            <w:noWrap w:val="0"/>
            <w:tcMar>
              <w:left w:w="28" w:type="dxa"/>
              <w:right w:w="28" w:type="dxa"/>
            </w:tcMar>
            <w:vAlign w:val="center"/>
          </w:tcPr>
          <w:p w14:paraId="0C528CE1">
            <w:pPr>
              <w:jc w:val="center"/>
              <w:rPr>
                <w:sz w:val="21"/>
                <w:szCs w:val="21"/>
                <w:highlight w:val="none"/>
              </w:rPr>
            </w:pPr>
            <w:r>
              <w:rPr>
                <w:sz w:val="21"/>
                <w:szCs w:val="21"/>
                <w:highlight w:val="none"/>
              </w:rPr>
              <w:t>36.2</w:t>
            </w:r>
          </w:p>
        </w:tc>
        <w:tc>
          <w:tcPr>
            <w:tcW w:w="252" w:type="pct"/>
            <w:noWrap w:val="0"/>
            <w:tcMar>
              <w:left w:w="28" w:type="dxa"/>
              <w:right w:w="28" w:type="dxa"/>
            </w:tcMar>
            <w:vAlign w:val="center"/>
          </w:tcPr>
          <w:p w14:paraId="0B91D744">
            <w:pPr>
              <w:jc w:val="center"/>
              <w:rPr>
                <w:sz w:val="21"/>
                <w:szCs w:val="21"/>
                <w:highlight w:val="none"/>
              </w:rPr>
            </w:pPr>
            <w:r>
              <w:rPr>
                <w:sz w:val="21"/>
                <w:szCs w:val="21"/>
                <w:highlight w:val="none"/>
              </w:rPr>
              <w:t>1</w:t>
            </w:r>
          </w:p>
        </w:tc>
        <w:tc>
          <w:tcPr>
            <w:tcW w:w="226" w:type="pct"/>
            <w:noWrap w:val="0"/>
            <w:vAlign w:val="center"/>
          </w:tcPr>
          <w:p w14:paraId="4600C5E0">
            <w:pPr>
              <w:jc w:val="center"/>
              <w:rPr>
                <w:sz w:val="21"/>
                <w:szCs w:val="21"/>
                <w:highlight w:val="none"/>
              </w:rPr>
            </w:pPr>
            <w:r>
              <w:rPr>
                <w:sz w:val="21"/>
                <w:szCs w:val="21"/>
                <w:highlight w:val="none"/>
              </w:rPr>
              <w:t>23</w:t>
            </w:r>
          </w:p>
        </w:tc>
        <w:tc>
          <w:tcPr>
            <w:tcW w:w="244" w:type="pct"/>
            <w:noWrap w:val="0"/>
            <w:tcMar>
              <w:left w:w="28" w:type="dxa"/>
              <w:right w:w="28" w:type="dxa"/>
            </w:tcMar>
            <w:vAlign w:val="center"/>
          </w:tcPr>
          <w:p w14:paraId="0D9ACF15">
            <w:pPr>
              <w:jc w:val="center"/>
              <w:rPr>
                <w:sz w:val="21"/>
                <w:szCs w:val="21"/>
                <w:highlight w:val="none"/>
              </w:rPr>
            </w:pPr>
            <w:r>
              <w:rPr>
                <w:sz w:val="21"/>
                <w:szCs w:val="21"/>
                <w:highlight w:val="none"/>
              </w:rPr>
              <w:t>0.2</w:t>
            </w:r>
          </w:p>
        </w:tc>
        <w:tc>
          <w:tcPr>
            <w:tcW w:w="212" w:type="pct"/>
            <w:noWrap w:val="0"/>
            <w:vAlign w:val="center"/>
          </w:tcPr>
          <w:p w14:paraId="7C32EDDE">
            <w:pPr>
              <w:jc w:val="center"/>
              <w:rPr>
                <w:sz w:val="21"/>
                <w:szCs w:val="21"/>
                <w:highlight w:val="none"/>
              </w:rPr>
            </w:pPr>
            <w:r>
              <w:rPr>
                <w:sz w:val="21"/>
                <w:szCs w:val="21"/>
                <w:highlight w:val="none"/>
              </w:rPr>
              <w:t>间断</w:t>
            </w:r>
          </w:p>
        </w:tc>
        <w:tc>
          <w:tcPr>
            <w:tcW w:w="416" w:type="pct"/>
            <w:noWrap w:val="0"/>
            <w:vAlign w:val="center"/>
          </w:tcPr>
          <w:p w14:paraId="32561DD1">
            <w:pPr>
              <w:jc w:val="center"/>
              <w:rPr>
                <w:sz w:val="21"/>
                <w:szCs w:val="21"/>
                <w:highlight w:val="none"/>
              </w:rPr>
            </w:pPr>
            <w:r>
              <w:rPr>
                <w:sz w:val="21"/>
                <w:szCs w:val="21"/>
                <w:highlight w:val="none"/>
              </w:rPr>
              <w:t>排入大气</w:t>
            </w:r>
          </w:p>
        </w:tc>
      </w:tr>
      <w:tr w14:paraId="3D62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18AAD46F">
            <w:pPr>
              <w:widowControl/>
              <w:snapToGrid w:val="0"/>
              <w:jc w:val="center"/>
              <w:rPr>
                <w:sz w:val="21"/>
                <w:szCs w:val="21"/>
                <w:highlight w:val="none"/>
              </w:rPr>
            </w:pPr>
          </w:p>
        </w:tc>
        <w:tc>
          <w:tcPr>
            <w:tcW w:w="529" w:type="pct"/>
            <w:gridSpan w:val="2"/>
            <w:vMerge w:val="continue"/>
            <w:noWrap w:val="0"/>
            <w:vAlign w:val="center"/>
          </w:tcPr>
          <w:p w14:paraId="2EE30549">
            <w:pPr>
              <w:jc w:val="center"/>
              <w:rPr>
                <w:sz w:val="21"/>
                <w:szCs w:val="21"/>
                <w:highlight w:val="none"/>
              </w:rPr>
            </w:pPr>
          </w:p>
        </w:tc>
        <w:tc>
          <w:tcPr>
            <w:tcW w:w="590" w:type="pct"/>
            <w:noWrap w:val="0"/>
            <w:vAlign w:val="center"/>
          </w:tcPr>
          <w:p w14:paraId="0B861625">
            <w:pPr>
              <w:jc w:val="center"/>
              <w:rPr>
                <w:sz w:val="21"/>
                <w:szCs w:val="21"/>
                <w:highlight w:val="none"/>
              </w:rPr>
            </w:pPr>
            <w:r>
              <w:rPr>
                <w:sz w:val="21"/>
                <w:szCs w:val="21"/>
                <w:highlight w:val="none"/>
              </w:rPr>
              <w:t>白土储仓</w:t>
            </w:r>
          </w:p>
        </w:tc>
        <w:tc>
          <w:tcPr>
            <w:tcW w:w="748" w:type="pct"/>
            <w:noWrap w:val="0"/>
            <w:tcMar>
              <w:left w:w="28" w:type="dxa"/>
              <w:right w:w="28" w:type="dxa"/>
            </w:tcMar>
            <w:vAlign w:val="center"/>
          </w:tcPr>
          <w:p w14:paraId="75145485">
            <w:pPr>
              <w:jc w:val="center"/>
              <w:rPr>
                <w:sz w:val="21"/>
                <w:szCs w:val="21"/>
                <w:highlight w:val="none"/>
                <w:lang w:val="pt-BR"/>
              </w:rPr>
            </w:pPr>
            <w:r>
              <w:rPr>
                <w:sz w:val="21"/>
                <w:szCs w:val="21"/>
                <w:highlight w:val="none"/>
              </w:rPr>
              <w:t>颗粒物</w:t>
            </w:r>
          </w:p>
        </w:tc>
        <w:tc>
          <w:tcPr>
            <w:tcW w:w="888" w:type="pct"/>
            <w:noWrap w:val="0"/>
            <w:tcMar>
              <w:left w:w="28" w:type="dxa"/>
              <w:right w:w="28" w:type="dxa"/>
            </w:tcMar>
            <w:vAlign w:val="center"/>
          </w:tcPr>
          <w:p w14:paraId="15B7AD34">
            <w:pPr>
              <w:jc w:val="center"/>
              <w:rPr>
                <w:sz w:val="21"/>
                <w:szCs w:val="21"/>
                <w:highlight w:val="none"/>
              </w:rPr>
            </w:pPr>
            <w:r>
              <w:rPr>
                <w:sz w:val="21"/>
                <w:szCs w:val="21"/>
                <w:highlight w:val="none"/>
              </w:rPr>
              <w:t>布袋除尘器除尘</w:t>
            </w:r>
          </w:p>
        </w:tc>
        <w:tc>
          <w:tcPr>
            <w:tcW w:w="374" w:type="pct"/>
            <w:noWrap w:val="0"/>
            <w:tcMar>
              <w:left w:w="28" w:type="dxa"/>
              <w:right w:w="28" w:type="dxa"/>
            </w:tcMar>
            <w:vAlign w:val="center"/>
          </w:tcPr>
          <w:p w14:paraId="5A5A1866">
            <w:pPr>
              <w:jc w:val="center"/>
              <w:rPr>
                <w:sz w:val="21"/>
                <w:szCs w:val="21"/>
                <w:highlight w:val="none"/>
              </w:rPr>
            </w:pPr>
            <w:r>
              <w:rPr>
                <w:sz w:val="21"/>
                <w:szCs w:val="21"/>
                <w:highlight w:val="none"/>
              </w:rPr>
              <w:t>235</w:t>
            </w:r>
          </w:p>
        </w:tc>
        <w:tc>
          <w:tcPr>
            <w:tcW w:w="316" w:type="pct"/>
            <w:noWrap w:val="0"/>
            <w:tcMar>
              <w:left w:w="28" w:type="dxa"/>
              <w:right w:w="28" w:type="dxa"/>
            </w:tcMar>
            <w:vAlign w:val="center"/>
          </w:tcPr>
          <w:p w14:paraId="2C969261">
            <w:pPr>
              <w:jc w:val="center"/>
              <w:rPr>
                <w:sz w:val="21"/>
                <w:szCs w:val="21"/>
                <w:highlight w:val="none"/>
              </w:rPr>
            </w:pPr>
            <w:r>
              <w:rPr>
                <w:sz w:val="21"/>
                <w:szCs w:val="21"/>
                <w:highlight w:val="none"/>
              </w:rPr>
              <w:t>48.1</w:t>
            </w:r>
          </w:p>
        </w:tc>
        <w:tc>
          <w:tcPr>
            <w:tcW w:w="252" w:type="pct"/>
            <w:noWrap w:val="0"/>
            <w:tcMar>
              <w:left w:w="28" w:type="dxa"/>
              <w:right w:w="28" w:type="dxa"/>
            </w:tcMar>
            <w:vAlign w:val="center"/>
          </w:tcPr>
          <w:p w14:paraId="7E059D5E">
            <w:pPr>
              <w:jc w:val="center"/>
              <w:rPr>
                <w:sz w:val="21"/>
                <w:szCs w:val="21"/>
                <w:highlight w:val="none"/>
              </w:rPr>
            </w:pPr>
            <w:r>
              <w:rPr>
                <w:sz w:val="21"/>
                <w:szCs w:val="21"/>
                <w:highlight w:val="none"/>
              </w:rPr>
              <w:t>1</w:t>
            </w:r>
          </w:p>
        </w:tc>
        <w:tc>
          <w:tcPr>
            <w:tcW w:w="226" w:type="pct"/>
            <w:noWrap w:val="0"/>
            <w:vAlign w:val="center"/>
          </w:tcPr>
          <w:p w14:paraId="16D931EB">
            <w:pPr>
              <w:jc w:val="center"/>
              <w:rPr>
                <w:sz w:val="21"/>
                <w:szCs w:val="21"/>
                <w:highlight w:val="none"/>
              </w:rPr>
            </w:pPr>
            <w:r>
              <w:rPr>
                <w:sz w:val="21"/>
                <w:szCs w:val="21"/>
                <w:highlight w:val="none"/>
              </w:rPr>
              <w:t>23</w:t>
            </w:r>
          </w:p>
        </w:tc>
        <w:tc>
          <w:tcPr>
            <w:tcW w:w="244" w:type="pct"/>
            <w:noWrap w:val="0"/>
            <w:tcMar>
              <w:left w:w="28" w:type="dxa"/>
              <w:right w:w="28" w:type="dxa"/>
            </w:tcMar>
            <w:vAlign w:val="center"/>
          </w:tcPr>
          <w:p w14:paraId="746C825D">
            <w:pPr>
              <w:jc w:val="center"/>
              <w:rPr>
                <w:sz w:val="21"/>
                <w:szCs w:val="21"/>
                <w:highlight w:val="none"/>
              </w:rPr>
            </w:pPr>
            <w:r>
              <w:rPr>
                <w:sz w:val="21"/>
                <w:szCs w:val="21"/>
                <w:highlight w:val="none"/>
              </w:rPr>
              <w:t>0.2</w:t>
            </w:r>
          </w:p>
        </w:tc>
        <w:tc>
          <w:tcPr>
            <w:tcW w:w="212" w:type="pct"/>
            <w:noWrap w:val="0"/>
            <w:vAlign w:val="center"/>
          </w:tcPr>
          <w:p w14:paraId="706ABEF1">
            <w:pPr>
              <w:jc w:val="center"/>
              <w:rPr>
                <w:sz w:val="21"/>
                <w:szCs w:val="21"/>
                <w:highlight w:val="none"/>
              </w:rPr>
            </w:pPr>
            <w:r>
              <w:rPr>
                <w:sz w:val="21"/>
                <w:szCs w:val="21"/>
                <w:highlight w:val="none"/>
              </w:rPr>
              <w:t>间断</w:t>
            </w:r>
          </w:p>
        </w:tc>
        <w:tc>
          <w:tcPr>
            <w:tcW w:w="416" w:type="pct"/>
            <w:noWrap w:val="0"/>
            <w:vAlign w:val="center"/>
          </w:tcPr>
          <w:p w14:paraId="10FC36CF">
            <w:pPr>
              <w:jc w:val="center"/>
              <w:rPr>
                <w:sz w:val="21"/>
                <w:szCs w:val="21"/>
                <w:highlight w:val="none"/>
              </w:rPr>
            </w:pPr>
            <w:r>
              <w:rPr>
                <w:sz w:val="21"/>
                <w:szCs w:val="21"/>
                <w:highlight w:val="none"/>
              </w:rPr>
              <w:t>排入大气</w:t>
            </w:r>
          </w:p>
        </w:tc>
      </w:tr>
      <w:tr w14:paraId="74DC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0F0B6FBB">
            <w:pPr>
              <w:widowControl/>
              <w:snapToGrid w:val="0"/>
              <w:jc w:val="center"/>
              <w:rPr>
                <w:sz w:val="21"/>
                <w:szCs w:val="21"/>
                <w:highlight w:val="none"/>
              </w:rPr>
            </w:pPr>
          </w:p>
        </w:tc>
        <w:tc>
          <w:tcPr>
            <w:tcW w:w="529" w:type="pct"/>
            <w:gridSpan w:val="2"/>
            <w:vMerge w:val="restart"/>
            <w:noWrap w:val="0"/>
            <w:vAlign w:val="center"/>
          </w:tcPr>
          <w:p w14:paraId="3583D58F">
            <w:pPr>
              <w:jc w:val="center"/>
              <w:rPr>
                <w:sz w:val="21"/>
                <w:szCs w:val="21"/>
                <w:highlight w:val="none"/>
              </w:rPr>
            </w:pPr>
            <w:r>
              <w:rPr>
                <w:sz w:val="21"/>
                <w:szCs w:val="21"/>
                <w:highlight w:val="none"/>
              </w:rPr>
              <w:t>尾气脱碳单元</w:t>
            </w:r>
          </w:p>
        </w:tc>
        <w:tc>
          <w:tcPr>
            <w:tcW w:w="590" w:type="pct"/>
            <w:noWrap w:val="0"/>
            <w:vAlign w:val="center"/>
          </w:tcPr>
          <w:p w14:paraId="34C10946">
            <w:pPr>
              <w:jc w:val="center"/>
              <w:rPr>
                <w:sz w:val="21"/>
                <w:szCs w:val="21"/>
                <w:highlight w:val="none"/>
              </w:rPr>
            </w:pPr>
            <w:r>
              <w:rPr>
                <w:sz w:val="21"/>
                <w:szCs w:val="21"/>
                <w:highlight w:val="none"/>
              </w:rPr>
              <w:t>闪蒸气</w:t>
            </w:r>
          </w:p>
        </w:tc>
        <w:tc>
          <w:tcPr>
            <w:tcW w:w="748" w:type="pct"/>
            <w:noWrap w:val="0"/>
            <w:tcMar>
              <w:left w:w="28" w:type="dxa"/>
              <w:right w:w="28" w:type="dxa"/>
            </w:tcMar>
            <w:vAlign w:val="center"/>
          </w:tcPr>
          <w:p w14:paraId="18C1071E">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、CO、CO</w:t>
            </w:r>
            <w:r>
              <w:rPr>
                <w:sz w:val="21"/>
                <w:szCs w:val="21"/>
                <w:highlight w:val="none"/>
                <w:vertAlign w:val="subscript"/>
                <w:lang w:val="pt-BR"/>
              </w:rPr>
              <w:t>2</w:t>
            </w:r>
            <w:r>
              <w:rPr>
                <w:sz w:val="21"/>
                <w:szCs w:val="21"/>
                <w:highlight w:val="none"/>
                <w:lang w:val="pt-BR"/>
              </w:rPr>
              <w:t>、CH</w:t>
            </w:r>
            <w:r>
              <w:rPr>
                <w:sz w:val="21"/>
                <w:szCs w:val="21"/>
                <w:highlight w:val="none"/>
                <w:vertAlign w:val="subscript"/>
                <w:lang w:val="pt-BR"/>
              </w:rPr>
              <w:t>4</w:t>
            </w:r>
            <w:r>
              <w:rPr>
                <w:sz w:val="21"/>
                <w:szCs w:val="21"/>
                <w:highlight w:val="none"/>
                <w:lang w:val="pt-BR"/>
              </w:rPr>
              <w:t>、N</w:t>
            </w:r>
            <w:r>
              <w:rPr>
                <w:sz w:val="21"/>
                <w:szCs w:val="21"/>
                <w:highlight w:val="none"/>
                <w:vertAlign w:val="subscript"/>
                <w:lang w:val="pt-BR"/>
              </w:rPr>
              <w:t>2</w:t>
            </w:r>
            <w:r>
              <w:rPr>
                <w:sz w:val="21"/>
                <w:szCs w:val="21"/>
                <w:highlight w:val="none"/>
                <w:lang w:val="pt-BR"/>
              </w:rPr>
              <w:t>、C</w:t>
            </w:r>
            <w:r>
              <w:rPr>
                <w:sz w:val="21"/>
                <w:szCs w:val="21"/>
                <w:highlight w:val="none"/>
                <w:vertAlign w:val="subscript"/>
                <w:lang w:val="pt-BR"/>
              </w:rPr>
              <w:t>2</w:t>
            </w:r>
            <w:r>
              <w:rPr>
                <w:sz w:val="21"/>
                <w:szCs w:val="21"/>
                <w:highlight w:val="none"/>
                <w:lang w:val="pt-BR"/>
              </w:rPr>
              <w:t>H</w:t>
            </w:r>
            <w:r>
              <w:rPr>
                <w:sz w:val="21"/>
                <w:szCs w:val="21"/>
                <w:highlight w:val="none"/>
                <w:vertAlign w:val="subscript"/>
                <w:lang w:val="pt-BR"/>
              </w:rPr>
              <w:t>4</w:t>
            </w:r>
            <w:r>
              <w:rPr>
                <w:sz w:val="21"/>
                <w:szCs w:val="21"/>
                <w:highlight w:val="none"/>
                <w:lang w:val="pt-BR"/>
              </w:rPr>
              <w:t>、C</w:t>
            </w:r>
            <w:r>
              <w:rPr>
                <w:sz w:val="21"/>
                <w:szCs w:val="21"/>
                <w:highlight w:val="none"/>
                <w:vertAlign w:val="subscript"/>
                <w:lang w:val="pt-BR"/>
              </w:rPr>
              <w:t>2</w:t>
            </w:r>
            <w:r>
              <w:rPr>
                <w:sz w:val="21"/>
                <w:szCs w:val="21"/>
                <w:highlight w:val="none"/>
                <w:lang w:val="pt-BR"/>
              </w:rPr>
              <w:t>H</w:t>
            </w:r>
            <w:r>
              <w:rPr>
                <w:sz w:val="21"/>
                <w:szCs w:val="21"/>
                <w:highlight w:val="none"/>
                <w:vertAlign w:val="subscript"/>
                <w:lang w:val="pt-BR"/>
              </w:rPr>
              <w:t>6</w:t>
            </w:r>
            <w:r>
              <w:rPr>
                <w:sz w:val="21"/>
                <w:szCs w:val="21"/>
                <w:highlight w:val="none"/>
                <w:lang w:val="pt-BR"/>
              </w:rPr>
              <w:t>、C</w:t>
            </w:r>
            <w:r>
              <w:rPr>
                <w:sz w:val="21"/>
                <w:szCs w:val="21"/>
                <w:highlight w:val="none"/>
                <w:vertAlign w:val="subscript"/>
                <w:lang w:val="pt-BR"/>
              </w:rPr>
              <w:t>3</w:t>
            </w:r>
            <w:r>
              <w:rPr>
                <w:sz w:val="21"/>
                <w:szCs w:val="21"/>
                <w:highlight w:val="none"/>
                <w:lang w:val="pt-BR"/>
              </w:rPr>
              <w:t>H</w:t>
            </w:r>
            <w:r>
              <w:rPr>
                <w:sz w:val="21"/>
                <w:szCs w:val="21"/>
                <w:highlight w:val="none"/>
                <w:vertAlign w:val="subscript"/>
                <w:lang w:val="pt-BR"/>
              </w:rPr>
              <w:t>6</w:t>
            </w:r>
            <w:r>
              <w:rPr>
                <w:sz w:val="21"/>
                <w:szCs w:val="21"/>
                <w:highlight w:val="none"/>
                <w:lang w:val="pt-BR"/>
              </w:rPr>
              <w:t>、C</w:t>
            </w:r>
            <w:r>
              <w:rPr>
                <w:sz w:val="21"/>
                <w:szCs w:val="21"/>
                <w:highlight w:val="none"/>
                <w:vertAlign w:val="subscript"/>
                <w:lang w:val="pt-BR"/>
              </w:rPr>
              <w:t>3</w:t>
            </w:r>
            <w:r>
              <w:rPr>
                <w:sz w:val="21"/>
                <w:szCs w:val="21"/>
                <w:highlight w:val="none"/>
                <w:lang w:val="pt-BR"/>
              </w:rPr>
              <w:t>H</w:t>
            </w:r>
            <w:r>
              <w:rPr>
                <w:sz w:val="21"/>
                <w:szCs w:val="21"/>
                <w:highlight w:val="none"/>
                <w:vertAlign w:val="subscript"/>
                <w:lang w:val="pt-BR"/>
              </w:rPr>
              <w:t>8</w:t>
            </w:r>
            <w:r>
              <w:rPr>
                <w:sz w:val="21"/>
                <w:szCs w:val="21"/>
                <w:highlight w:val="none"/>
                <w:lang w:val="pt-BR"/>
              </w:rPr>
              <w:t>、C</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8</w:t>
            </w:r>
            <w:r>
              <w:rPr>
                <w:sz w:val="21"/>
                <w:szCs w:val="21"/>
                <w:highlight w:val="none"/>
                <w:lang w:val="pt-BR"/>
              </w:rPr>
              <w:t>、C</w:t>
            </w:r>
            <w:r>
              <w:rPr>
                <w:sz w:val="21"/>
                <w:szCs w:val="21"/>
                <w:highlight w:val="none"/>
                <w:vertAlign w:val="subscript"/>
                <w:lang w:val="pt-BR"/>
              </w:rPr>
              <w:t>4</w:t>
            </w:r>
            <w:r>
              <w:rPr>
                <w:sz w:val="21"/>
                <w:szCs w:val="21"/>
                <w:highlight w:val="none"/>
                <w:lang w:val="pt-BR"/>
              </w:rPr>
              <w:t>H</w:t>
            </w:r>
            <w:r>
              <w:rPr>
                <w:sz w:val="21"/>
                <w:szCs w:val="21"/>
                <w:highlight w:val="none"/>
                <w:vertAlign w:val="subscript"/>
                <w:lang w:val="pt-BR"/>
              </w:rPr>
              <w:t>10</w:t>
            </w:r>
            <w:r>
              <w:rPr>
                <w:sz w:val="21"/>
                <w:szCs w:val="21"/>
                <w:highlight w:val="none"/>
                <w:lang w:val="pt-BR"/>
              </w:rPr>
              <w:t>、C</w:t>
            </w:r>
            <w:r>
              <w:rPr>
                <w:sz w:val="21"/>
                <w:szCs w:val="21"/>
                <w:highlight w:val="none"/>
                <w:vertAlign w:val="subscript"/>
                <w:lang w:val="pt-BR"/>
              </w:rPr>
              <w:t>5</w:t>
            </w:r>
            <w:r>
              <w:rPr>
                <w:sz w:val="21"/>
                <w:szCs w:val="21"/>
                <w:highlight w:val="none"/>
                <w:vertAlign w:val="superscript"/>
                <w:lang w:val="pt-BR"/>
              </w:rPr>
              <w:t>+</w:t>
            </w:r>
          </w:p>
        </w:tc>
        <w:tc>
          <w:tcPr>
            <w:tcW w:w="888" w:type="pct"/>
            <w:noWrap w:val="0"/>
            <w:tcMar>
              <w:left w:w="28" w:type="dxa"/>
              <w:right w:w="28" w:type="dxa"/>
            </w:tcMar>
            <w:vAlign w:val="center"/>
          </w:tcPr>
          <w:p w14:paraId="76C5A8DC">
            <w:pPr>
              <w:jc w:val="center"/>
              <w:rPr>
                <w:sz w:val="21"/>
                <w:szCs w:val="21"/>
                <w:highlight w:val="none"/>
              </w:rPr>
            </w:pPr>
            <w:r>
              <w:rPr>
                <w:sz w:val="21"/>
                <w:szCs w:val="21"/>
                <w:highlight w:val="none"/>
              </w:rPr>
              <w:t>去全厂燃料气管网</w:t>
            </w:r>
          </w:p>
        </w:tc>
        <w:tc>
          <w:tcPr>
            <w:tcW w:w="374" w:type="pct"/>
            <w:noWrap w:val="0"/>
            <w:tcMar>
              <w:left w:w="28" w:type="dxa"/>
              <w:right w:w="28" w:type="dxa"/>
            </w:tcMar>
            <w:vAlign w:val="center"/>
          </w:tcPr>
          <w:p w14:paraId="409C5C1E">
            <w:pPr>
              <w:jc w:val="center"/>
              <w:rPr>
                <w:sz w:val="21"/>
                <w:szCs w:val="21"/>
                <w:highlight w:val="none"/>
                <w:lang w:val="pt-BR"/>
              </w:rPr>
            </w:pPr>
            <w:r>
              <w:rPr>
                <w:sz w:val="21"/>
                <w:szCs w:val="21"/>
                <w:highlight w:val="none"/>
                <w:lang w:val="pt-BR"/>
              </w:rPr>
              <w:t>/</w:t>
            </w:r>
          </w:p>
        </w:tc>
        <w:tc>
          <w:tcPr>
            <w:tcW w:w="316" w:type="pct"/>
            <w:noWrap w:val="0"/>
            <w:tcMar>
              <w:left w:w="28" w:type="dxa"/>
              <w:right w:w="28" w:type="dxa"/>
            </w:tcMar>
            <w:vAlign w:val="center"/>
          </w:tcPr>
          <w:p w14:paraId="3AFB1DE3">
            <w:pPr>
              <w:jc w:val="center"/>
              <w:rPr>
                <w:sz w:val="21"/>
                <w:szCs w:val="21"/>
                <w:highlight w:val="none"/>
              </w:rPr>
            </w:pPr>
            <w:r>
              <w:rPr>
                <w:sz w:val="21"/>
                <w:szCs w:val="21"/>
                <w:highlight w:val="none"/>
              </w:rPr>
              <w:t>/</w:t>
            </w:r>
          </w:p>
        </w:tc>
        <w:tc>
          <w:tcPr>
            <w:tcW w:w="252" w:type="pct"/>
            <w:noWrap w:val="0"/>
            <w:tcMar>
              <w:left w:w="28" w:type="dxa"/>
              <w:right w:w="28" w:type="dxa"/>
            </w:tcMar>
            <w:vAlign w:val="center"/>
          </w:tcPr>
          <w:p w14:paraId="34112289">
            <w:pPr>
              <w:jc w:val="center"/>
              <w:rPr>
                <w:sz w:val="21"/>
                <w:szCs w:val="21"/>
                <w:highlight w:val="none"/>
              </w:rPr>
            </w:pPr>
            <w:r>
              <w:rPr>
                <w:sz w:val="21"/>
                <w:szCs w:val="21"/>
                <w:highlight w:val="none"/>
              </w:rPr>
              <w:t>/</w:t>
            </w:r>
          </w:p>
        </w:tc>
        <w:tc>
          <w:tcPr>
            <w:tcW w:w="226" w:type="pct"/>
            <w:noWrap w:val="0"/>
            <w:vAlign w:val="center"/>
          </w:tcPr>
          <w:p w14:paraId="07893E14">
            <w:pPr>
              <w:jc w:val="center"/>
              <w:rPr>
                <w:sz w:val="21"/>
                <w:szCs w:val="21"/>
                <w:highlight w:val="none"/>
              </w:rPr>
            </w:pPr>
            <w:r>
              <w:rPr>
                <w:sz w:val="21"/>
                <w:szCs w:val="21"/>
                <w:highlight w:val="none"/>
              </w:rPr>
              <w:t>/</w:t>
            </w:r>
          </w:p>
        </w:tc>
        <w:tc>
          <w:tcPr>
            <w:tcW w:w="244" w:type="pct"/>
            <w:noWrap w:val="0"/>
            <w:tcMar>
              <w:left w:w="28" w:type="dxa"/>
              <w:right w:w="28" w:type="dxa"/>
            </w:tcMar>
            <w:vAlign w:val="center"/>
          </w:tcPr>
          <w:p w14:paraId="24BD2FC2">
            <w:pPr>
              <w:jc w:val="center"/>
              <w:rPr>
                <w:sz w:val="21"/>
                <w:szCs w:val="21"/>
                <w:highlight w:val="none"/>
              </w:rPr>
            </w:pPr>
            <w:r>
              <w:rPr>
                <w:sz w:val="21"/>
                <w:szCs w:val="21"/>
                <w:highlight w:val="none"/>
              </w:rPr>
              <w:t>/</w:t>
            </w:r>
          </w:p>
        </w:tc>
        <w:tc>
          <w:tcPr>
            <w:tcW w:w="212" w:type="pct"/>
            <w:noWrap w:val="0"/>
            <w:vAlign w:val="center"/>
          </w:tcPr>
          <w:p w14:paraId="00A96083">
            <w:pPr>
              <w:jc w:val="center"/>
              <w:rPr>
                <w:sz w:val="21"/>
                <w:szCs w:val="21"/>
                <w:highlight w:val="none"/>
              </w:rPr>
            </w:pPr>
            <w:r>
              <w:rPr>
                <w:sz w:val="21"/>
                <w:szCs w:val="21"/>
                <w:highlight w:val="none"/>
              </w:rPr>
              <w:t>连续</w:t>
            </w:r>
          </w:p>
        </w:tc>
        <w:tc>
          <w:tcPr>
            <w:tcW w:w="416" w:type="pct"/>
            <w:noWrap w:val="0"/>
            <w:vAlign w:val="center"/>
          </w:tcPr>
          <w:p w14:paraId="77AB49A1">
            <w:pPr>
              <w:jc w:val="center"/>
              <w:rPr>
                <w:sz w:val="21"/>
                <w:szCs w:val="21"/>
                <w:highlight w:val="none"/>
              </w:rPr>
            </w:pPr>
            <w:r>
              <w:rPr>
                <w:sz w:val="21"/>
                <w:szCs w:val="21"/>
                <w:highlight w:val="none"/>
              </w:rPr>
              <w:t>去全厂燃料气管网</w:t>
            </w:r>
          </w:p>
        </w:tc>
      </w:tr>
      <w:tr w14:paraId="65F7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68B3138D">
            <w:pPr>
              <w:widowControl/>
              <w:snapToGrid w:val="0"/>
              <w:jc w:val="center"/>
              <w:rPr>
                <w:sz w:val="21"/>
                <w:szCs w:val="21"/>
                <w:highlight w:val="none"/>
              </w:rPr>
            </w:pPr>
          </w:p>
        </w:tc>
        <w:tc>
          <w:tcPr>
            <w:tcW w:w="529" w:type="pct"/>
            <w:gridSpan w:val="2"/>
            <w:vMerge w:val="continue"/>
            <w:noWrap w:val="0"/>
            <w:vAlign w:val="center"/>
          </w:tcPr>
          <w:p w14:paraId="3E0C5DB0">
            <w:pPr>
              <w:jc w:val="center"/>
              <w:rPr>
                <w:sz w:val="21"/>
                <w:szCs w:val="21"/>
                <w:highlight w:val="none"/>
              </w:rPr>
            </w:pPr>
          </w:p>
        </w:tc>
        <w:tc>
          <w:tcPr>
            <w:tcW w:w="590" w:type="pct"/>
            <w:noWrap w:val="0"/>
            <w:vAlign w:val="center"/>
          </w:tcPr>
          <w:p w14:paraId="10E0CB7B">
            <w:pPr>
              <w:jc w:val="center"/>
              <w:rPr>
                <w:sz w:val="21"/>
                <w:szCs w:val="21"/>
                <w:highlight w:val="none"/>
              </w:rPr>
            </w:pPr>
            <w:r>
              <w:rPr>
                <w:sz w:val="21"/>
                <w:szCs w:val="21"/>
                <w:highlight w:val="none"/>
              </w:rPr>
              <w:t>再生气</w:t>
            </w:r>
          </w:p>
        </w:tc>
        <w:tc>
          <w:tcPr>
            <w:tcW w:w="748" w:type="pct"/>
            <w:noWrap w:val="0"/>
            <w:tcMar>
              <w:left w:w="28" w:type="dxa"/>
              <w:right w:w="28" w:type="dxa"/>
            </w:tcMar>
            <w:vAlign w:val="center"/>
          </w:tcPr>
          <w:p w14:paraId="786CC42F">
            <w:pPr>
              <w:jc w:val="center"/>
              <w:rPr>
                <w:sz w:val="21"/>
                <w:szCs w:val="21"/>
                <w:highlight w:val="none"/>
              </w:rPr>
            </w:pPr>
            <w:r>
              <w:rPr>
                <w:sz w:val="21"/>
                <w:szCs w:val="21"/>
                <w:highlight w:val="none"/>
              </w:rPr>
              <w:t>NMHC</w:t>
            </w:r>
          </w:p>
        </w:tc>
        <w:tc>
          <w:tcPr>
            <w:tcW w:w="888" w:type="pct"/>
            <w:noWrap w:val="0"/>
            <w:tcMar>
              <w:left w:w="28" w:type="dxa"/>
              <w:right w:w="28" w:type="dxa"/>
            </w:tcMar>
            <w:vAlign w:val="center"/>
          </w:tcPr>
          <w:p w14:paraId="7FF8ED77">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0103516F">
            <w:pPr>
              <w:jc w:val="center"/>
              <w:rPr>
                <w:sz w:val="21"/>
                <w:szCs w:val="21"/>
                <w:highlight w:val="none"/>
              </w:rPr>
            </w:pPr>
            <w:r>
              <w:rPr>
                <w:sz w:val="21"/>
                <w:szCs w:val="21"/>
                <w:highlight w:val="none"/>
                <w:lang w:val="pt-BR"/>
              </w:rPr>
              <w:t>/</w:t>
            </w:r>
          </w:p>
        </w:tc>
        <w:tc>
          <w:tcPr>
            <w:tcW w:w="316" w:type="pct"/>
            <w:noWrap w:val="0"/>
            <w:tcMar>
              <w:left w:w="28" w:type="dxa"/>
              <w:right w:w="28" w:type="dxa"/>
            </w:tcMar>
            <w:vAlign w:val="center"/>
          </w:tcPr>
          <w:p w14:paraId="3609C6B5">
            <w:pPr>
              <w:jc w:val="center"/>
              <w:rPr>
                <w:sz w:val="21"/>
                <w:szCs w:val="21"/>
                <w:highlight w:val="none"/>
              </w:rPr>
            </w:pPr>
            <w:r>
              <w:rPr>
                <w:sz w:val="21"/>
                <w:szCs w:val="21"/>
                <w:highlight w:val="none"/>
              </w:rPr>
              <w:t>51.3</w:t>
            </w:r>
          </w:p>
        </w:tc>
        <w:tc>
          <w:tcPr>
            <w:tcW w:w="252" w:type="pct"/>
            <w:noWrap w:val="0"/>
            <w:tcMar>
              <w:left w:w="28" w:type="dxa"/>
              <w:right w:w="28" w:type="dxa"/>
            </w:tcMar>
            <w:vAlign w:val="center"/>
          </w:tcPr>
          <w:p w14:paraId="0EB51B85">
            <w:pPr>
              <w:jc w:val="center"/>
              <w:rPr>
                <w:sz w:val="21"/>
                <w:szCs w:val="21"/>
                <w:highlight w:val="none"/>
              </w:rPr>
            </w:pPr>
            <w:r>
              <w:rPr>
                <w:sz w:val="21"/>
                <w:szCs w:val="21"/>
                <w:highlight w:val="none"/>
              </w:rPr>
              <w:t>1</w:t>
            </w:r>
          </w:p>
        </w:tc>
        <w:tc>
          <w:tcPr>
            <w:tcW w:w="226" w:type="pct"/>
            <w:noWrap w:val="0"/>
            <w:vAlign w:val="center"/>
          </w:tcPr>
          <w:p w14:paraId="34597443">
            <w:pPr>
              <w:jc w:val="center"/>
              <w:rPr>
                <w:sz w:val="21"/>
                <w:szCs w:val="21"/>
                <w:highlight w:val="none"/>
              </w:rPr>
            </w:pPr>
            <w:r>
              <w:rPr>
                <w:sz w:val="21"/>
                <w:szCs w:val="21"/>
                <w:highlight w:val="none"/>
              </w:rPr>
              <w:t>90</w:t>
            </w:r>
          </w:p>
        </w:tc>
        <w:tc>
          <w:tcPr>
            <w:tcW w:w="244" w:type="pct"/>
            <w:noWrap w:val="0"/>
            <w:tcMar>
              <w:left w:w="28" w:type="dxa"/>
              <w:right w:w="28" w:type="dxa"/>
            </w:tcMar>
            <w:vAlign w:val="center"/>
          </w:tcPr>
          <w:p w14:paraId="414ED107">
            <w:pPr>
              <w:jc w:val="center"/>
              <w:rPr>
                <w:sz w:val="21"/>
                <w:szCs w:val="21"/>
                <w:highlight w:val="none"/>
              </w:rPr>
            </w:pPr>
            <w:r>
              <w:rPr>
                <w:sz w:val="21"/>
                <w:szCs w:val="21"/>
                <w:highlight w:val="none"/>
              </w:rPr>
              <w:t>1.1</w:t>
            </w:r>
          </w:p>
        </w:tc>
        <w:tc>
          <w:tcPr>
            <w:tcW w:w="212" w:type="pct"/>
            <w:noWrap w:val="0"/>
            <w:vAlign w:val="center"/>
          </w:tcPr>
          <w:p w14:paraId="05E1A55B">
            <w:pPr>
              <w:jc w:val="center"/>
              <w:rPr>
                <w:sz w:val="21"/>
                <w:szCs w:val="21"/>
                <w:highlight w:val="none"/>
              </w:rPr>
            </w:pPr>
            <w:r>
              <w:rPr>
                <w:sz w:val="21"/>
                <w:szCs w:val="21"/>
                <w:highlight w:val="none"/>
              </w:rPr>
              <w:t>连续</w:t>
            </w:r>
          </w:p>
        </w:tc>
        <w:tc>
          <w:tcPr>
            <w:tcW w:w="416" w:type="pct"/>
            <w:noWrap w:val="0"/>
            <w:vAlign w:val="center"/>
          </w:tcPr>
          <w:p w14:paraId="31FA6FB7">
            <w:pPr>
              <w:jc w:val="center"/>
              <w:rPr>
                <w:sz w:val="21"/>
                <w:szCs w:val="21"/>
                <w:highlight w:val="none"/>
              </w:rPr>
            </w:pPr>
            <w:r>
              <w:rPr>
                <w:sz w:val="21"/>
                <w:szCs w:val="21"/>
                <w:highlight w:val="none"/>
              </w:rPr>
              <w:t>排入大气</w:t>
            </w:r>
          </w:p>
        </w:tc>
      </w:tr>
      <w:tr w14:paraId="5D23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restart"/>
            <w:noWrap w:val="0"/>
            <w:tcMar>
              <w:left w:w="28" w:type="dxa"/>
              <w:right w:w="28" w:type="dxa"/>
            </w:tcMar>
            <w:vAlign w:val="center"/>
          </w:tcPr>
          <w:p w14:paraId="23513603">
            <w:pPr>
              <w:widowControl/>
              <w:snapToGrid w:val="0"/>
              <w:jc w:val="center"/>
              <w:rPr>
                <w:sz w:val="21"/>
                <w:szCs w:val="21"/>
                <w:highlight w:val="none"/>
              </w:rPr>
            </w:pPr>
            <w:r>
              <w:rPr>
                <w:sz w:val="21"/>
                <w:szCs w:val="21"/>
                <w:highlight w:val="none"/>
              </w:rPr>
              <w:t>化学品加工装置</w:t>
            </w:r>
          </w:p>
        </w:tc>
        <w:tc>
          <w:tcPr>
            <w:tcW w:w="529" w:type="pct"/>
            <w:gridSpan w:val="2"/>
            <w:noWrap w:val="0"/>
            <w:vAlign w:val="center"/>
          </w:tcPr>
          <w:p w14:paraId="368DC3C4">
            <w:pPr>
              <w:jc w:val="center"/>
              <w:rPr>
                <w:sz w:val="21"/>
                <w:szCs w:val="21"/>
                <w:highlight w:val="none"/>
              </w:rPr>
            </w:pPr>
            <w:r>
              <w:rPr>
                <w:sz w:val="21"/>
                <w:szCs w:val="21"/>
                <w:highlight w:val="none"/>
              </w:rPr>
              <w:t>加氢精制单元</w:t>
            </w:r>
          </w:p>
        </w:tc>
        <w:tc>
          <w:tcPr>
            <w:tcW w:w="590" w:type="pct"/>
            <w:noWrap w:val="0"/>
            <w:vAlign w:val="center"/>
          </w:tcPr>
          <w:p w14:paraId="54576101">
            <w:pPr>
              <w:jc w:val="center"/>
              <w:rPr>
                <w:sz w:val="21"/>
                <w:szCs w:val="21"/>
                <w:highlight w:val="none"/>
              </w:rPr>
            </w:pPr>
            <w:r>
              <w:rPr>
                <w:sz w:val="21"/>
                <w:szCs w:val="21"/>
                <w:highlight w:val="none"/>
              </w:rPr>
              <w:t>加热炉烟气</w:t>
            </w:r>
          </w:p>
        </w:tc>
        <w:tc>
          <w:tcPr>
            <w:tcW w:w="748" w:type="pct"/>
            <w:noWrap w:val="0"/>
            <w:tcMar>
              <w:left w:w="28" w:type="dxa"/>
              <w:right w:w="28" w:type="dxa"/>
            </w:tcMar>
            <w:vAlign w:val="center"/>
          </w:tcPr>
          <w:p w14:paraId="12EF0C59">
            <w:pPr>
              <w:jc w:val="center"/>
              <w:rPr>
                <w:sz w:val="21"/>
                <w:szCs w:val="21"/>
                <w:highlight w:val="none"/>
              </w:rPr>
            </w:pPr>
            <w:r>
              <w:rPr>
                <w:sz w:val="21"/>
                <w:szCs w:val="21"/>
                <w:highlight w:val="none"/>
              </w:rPr>
              <w:t>烟尘</w:t>
            </w:r>
          </w:p>
          <w:p w14:paraId="174438A6">
            <w:pPr>
              <w:jc w:val="center"/>
              <w:rPr>
                <w:sz w:val="21"/>
                <w:szCs w:val="21"/>
                <w:highlight w:val="none"/>
              </w:rPr>
            </w:pPr>
            <w:r>
              <w:rPr>
                <w:sz w:val="21"/>
                <w:szCs w:val="21"/>
                <w:highlight w:val="none"/>
              </w:rPr>
              <w:t>NOx</w:t>
            </w:r>
          </w:p>
          <w:p w14:paraId="47BAD161">
            <w:pPr>
              <w:pStyle w:val="12"/>
              <w:ind w:firstLine="0" w:firstLineChars="0"/>
              <w:jc w:val="center"/>
              <w:rPr>
                <w:rFonts w:ascii="Times New Roman"/>
                <w:sz w:val="21"/>
                <w:szCs w:val="21"/>
                <w:highlight w:val="none"/>
              </w:rPr>
            </w:pPr>
            <w:r>
              <w:rPr>
                <w:rFonts w:ascii="Times New Roman"/>
                <w:kern w:val="2"/>
                <w:sz w:val="21"/>
                <w:szCs w:val="21"/>
                <w:highlight w:val="none"/>
              </w:rPr>
              <w:t>SO</w:t>
            </w:r>
            <w:r>
              <w:rPr>
                <w:rFonts w:ascii="Times New Roman"/>
                <w:kern w:val="2"/>
                <w:sz w:val="21"/>
                <w:szCs w:val="21"/>
                <w:highlight w:val="none"/>
                <w:vertAlign w:val="subscript"/>
              </w:rPr>
              <w:t>2</w:t>
            </w:r>
          </w:p>
        </w:tc>
        <w:tc>
          <w:tcPr>
            <w:tcW w:w="888" w:type="pct"/>
            <w:noWrap w:val="0"/>
            <w:tcMar>
              <w:left w:w="28" w:type="dxa"/>
              <w:right w:w="28" w:type="dxa"/>
            </w:tcMar>
            <w:vAlign w:val="center"/>
          </w:tcPr>
          <w:p w14:paraId="013EE537">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7A153C12">
            <w:pPr>
              <w:jc w:val="center"/>
              <w:rPr>
                <w:sz w:val="21"/>
                <w:szCs w:val="21"/>
                <w:highlight w:val="none"/>
              </w:rPr>
            </w:pPr>
            <w:r>
              <w:rPr>
                <w:sz w:val="21"/>
                <w:szCs w:val="21"/>
                <w:highlight w:val="none"/>
              </w:rPr>
              <w:t>39583</w:t>
            </w:r>
          </w:p>
        </w:tc>
        <w:tc>
          <w:tcPr>
            <w:tcW w:w="316" w:type="pct"/>
            <w:noWrap w:val="0"/>
            <w:tcMar>
              <w:left w:w="28" w:type="dxa"/>
              <w:right w:w="28" w:type="dxa"/>
            </w:tcMar>
            <w:vAlign w:val="center"/>
          </w:tcPr>
          <w:p w14:paraId="7EEB9202">
            <w:pPr>
              <w:jc w:val="center"/>
              <w:rPr>
                <w:sz w:val="21"/>
                <w:szCs w:val="21"/>
                <w:highlight w:val="none"/>
              </w:rPr>
            </w:pPr>
            <w:r>
              <w:rPr>
                <w:sz w:val="21"/>
                <w:szCs w:val="21"/>
                <w:highlight w:val="none"/>
              </w:rPr>
              <w:t>10.4</w:t>
            </w:r>
          </w:p>
          <w:p w14:paraId="6C724C7A">
            <w:pPr>
              <w:jc w:val="center"/>
              <w:rPr>
                <w:sz w:val="21"/>
                <w:szCs w:val="21"/>
                <w:highlight w:val="none"/>
              </w:rPr>
            </w:pPr>
            <w:r>
              <w:rPr>
                <w:sz w:val="21"/>
                <w:szCs w:val="21"/>
                <w:highlight w:val="none"/>
              </w:rPr>
              <w:t>98.3</w:t>
            </w:r>
          </w:p>
          <w:p w14:paraId="678B1398">
            <w:pPr>
              <w:jc w:val="center"/>
              <w:rPr>
                <w:sz w:val="21"/>
                <w:szCs w:val="21"/>
                <w:highlight w:val="none"/>
              </w:rPr>
            </w:pPr>
            <w:r>
              <w:rPr>
                <w:sz w:val="21"/>
                <w:szCs w:val="21"/>
                <w:highlight w:val="none"/>
              </w:rPr>
              <w:t>4.4</w:t>
            </w:r>
          </w:p>
        </w:tc>
        <w:tc>
          <w:tcPr>
            <w:tcW w:w="252" w:type="pct"/>
            <w:noWrap w:val="0"/>
            <w:tcMar>
              <w:left w:w="28" w:type="dxa"/>
              <w:right w:w="28" w:type="dxa"/>
            </w:tcMar>
            <w:vAlign w:val="center"/>
          </w:tcPr>
          <w:p w14:paraId="248AC6DA">
            <w:pPr>
              <w:jc w:val="center"/>
              <w:rPr>
                <w:sz w:val="21"/>
                <w:szCs w:val="21"/>
                <w:highlight w:val="none"/>
              </w:rPr>
            </w:pPr>
            <w:r>
              <w:rPr>
                <w:sz w:val="21"/>
                <w:szCs w:val="21"/>
                <w:highlight w:val="none"/>
              </w:rPr>
              <w:t>1</w:t>
            </w:r>
          </w:p>
        </w:tc>
        <w:tc>
          <w:tcPr>
            <w:tcW w:w="226" w:type="pct"/>
            <w:noWrap w:val="0"/>
            <w:vAlign w:val="center"/>
          </w:tcPr>
          <w:p w14:paraId="5478CADA">
            <w:pPr>
              <w:jc w:val="center"/>
              <w:rPr>
                <w:sz w:val="21"/>
                <w:szCs w:val="21"/>
                <w:highlight w:val="none"/>
              </w:rPr>
            </w:pPr>
            <w:r>
              <w:rPr>
                <w:sz w:val="21"/>
                <w:szCs w:val="21"/>
                <w:highlight w:val="none"/>
              </w:rPr>
              <w:t>50</w:t>
            </w:r>
          </w:p>
        </w:tc>
        <w:tc>
          <w:tcPr>
            <w:tcW w:w="244" w:type="pct"/>
            <w:noWrap w:val="0"/>
            <w:tcMar>
              <w:left w:w="28" w:type="dxa"/>
              <w:right w:w="28" w:type="dxa"/>
            </w:tcMar>
            <w:vAlign w:val="center"/>
          </w:tcPr>
          <w:p w14:paraId="3C98D68C">
            <w:pPr>
              <w:jc w:val="center"/>
              <w:rPr>
                <w:sz w:val="21"/>
                <w:szCs w:val="21"/>
                <w:highlight w:val="none"/>
              </w:rPr>
            </w:pPr>
            <w:r>
              <w:rPr>
                <w:sz w:val="21"/>
                <w:szCs w:val="21"/>
                <w:highlight w:val="none"/>
              </w:rPr>
              <w:t>1.7</w:t>
            </w:r>
          </w:p>
        </w:tc>
        <w:tc>
          <w:tcPr>
            <w:tcW w:w="212" w:type="pct"/>
            <w:noWrap w:val="0"/>
            <w:vAlign w:val="center"/>
          </w:tcPr>
          <w:p w14:paraId="433A6474">
            <w:pPr>
              <w:jc w:val="center"/>
              <w:rPr>
                <w:sz w:val="21"/>
                <w:szCs w:val="21"/>
                <w:highlight w:val="none"/>
              </w:rPr>
            </w:pPr>
            <w:r>
              <w:rPr>
                <w:sz w:val="21"/>
                <w:szCs w:val="21"/>
                <w:highlight w:val="none"/>
              </w:rPr>
              <w:t>连续</w:t>
            </w:r>
          </w:p>
        </w:tc>
        <w:tc>
          <w:tcPr>
            <w:tcW w:w="416" w:type="pct"/>
            <w:noWrap w:val="0"/>
            <w:vAlign w:val="center"/>
          </w:tcPr>
          <w:p w14:paraId="3F7E5321">
            <w:pPr>
              <w:jc w:val="center"/>
              <w:rPr>
                <w:sz w:val="21"/>
                <w:szCs w:val="21"/>
                <w:highlight w:val="none"/>
              </w:rPr>
            </w:pPr>
            <w:r>
              <w:rPr>
                <w:sz w:val="21"/>
                <w:szCs w:val="21"/>
                <w:highlight w:val="none"/>
              </w:rPr>
              <w:t>排入大气</w:t>
            </w:r>
          </w:p>
        </w:tc>
      </w:tr>
      <w:tr w14:paraId="3CA4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2795D024">
            <w:pPr>
              <w:widowControl/>
              <w:snapToGrid w:val="0"/>
              <w:jc w:val="center"/>
              <w:rPr>
                <w:sz w:val="21"/>
                <w:szCs w:val="21"/>
                <w:highlight w:val="none"/>
              </w:rPr>
            </w:pPr>
          </w:p>
        </w:tc>
        <w:tc>
          <w:tcPr>
            <w:tcW w:w="529" w:type="pct"/>
            <w:gridSpan w:val="2"/>
            <w:noWrap w:val="0"/>
            <w:vAlign w:val="center"/>
          </w:tcPr>
          <w:p w14:paraId="4CEA83E0">
            <w:pPr>
              <w:jc w:val="center"/>
              <w:rPr>
                <w:sz w:val="21"/>
                <w:szCs w:val="21"/>
                <w:highlight w:val="none"/>
              </w:rPr>
            </w:pPr>
            <w:r>
              <w:rPr>
                <w:sz w:val="21"/>
                <w:szCs w:val="21"/>
                <w:highlight w:val="none"/>
              </w:rPr>
              <w:t>加氢裂化单元</w:t>
            </w:r>
          </w:p>
        </w:tc>
        <w:tc>
          <w:tcPr>
            <w:tcW w:w="590" w:type="pct"/>
            <w:noWrap w:val="0"/>
            <w:vAlign w:val="center"/>
          </w:tcPr>
          <w:p w14:paraId="2980860C">
            <w:pPr>
              <w:jc w:val="center"/>
              <w:rPr>
                <w:sz w:val="21"/>
                <w:szCs w:val="21"/>
                <w:highlight w:val="none"/>
              </w:rPr>
            </w:pPr>
            <w:r>
              <w:rPr>
                <w:sz w:val="21"/>
                <w:szCs w:val="21"/>
                <w:highlight w:val="none"/>
              </w:rPr>
              <w:t>加热炉烟气</w:t>
            </w:r>
          </w:p>
        </w:tc>
        <w:tc>
          <w:tcPr>
            <w:tcW w:w="748" w:type="pct"/>
            <w:noWrap w:val="0"/>
            <w:tcMar>
              <w:left w:w="28" w:type="dxa"/>
              <w:right w:w="28" w:type="dxa"/>
            </w:tcMar>
            <w:vAlign w:val="center"/>
          </w:tcPr>
          <w:p w14:paraId="6B66813D">
            <w:pPr>
              <w:jc w:val="center"/>
              <w:rPr>
                <w:sz w:val="21"/>
                <w:szCs w:val="21"/>
                <w:highlight w:val="none"/>
              </w:rPr>
            </w:pPr>
            <w:r>
              <w:rPr>
                <w:sz w:val="21"/>
                <w:szCs w:val="21"/>
                <w:highlight w:val="none"/>
              </w:rPr>
              <w:t>烟尘</w:t>
            </w:r>
          </w:p>
          <w:p w14:paraId="365173C8">
            <w:pPr>
              <w:jc w:val="center"/>
              <w:rPr>
                <w:sz w:val="21"/>
                <w:szCs w:val="21"/>
                <w:highlight w:val="none"/>
              </w:rPr>
            </w:pPr>
            <w:r>
              <w:rPr>
                <w:sz w:val="21"/>
                <w:szCs w:val="21"/>
                <w:highlight w:val="none"/>
              </w:rPr>
              <w:t>NOx</w:t>
            </w:r>
          </w:p>
          <w:p w14:paraId="12B5C13A">
            <w:pPr>
              <w:pStyle w:val="12"/>
              <w:ind w:firstLine="0" w:firstLineChars="0"/>
              <w:jc w:val="center"/>
              <w:rPr>
                <w:rFonts w:ascii="Times New Roman"/>
                <w:sz w:val="21"/>
                <w:szCs w:val="21"/>
                <w:highlight w:val="none"/>
              </w:rPr>
            </w:pPr>
            <w:r>
              <w:rPr>
                <w:rFonts w:ascii="Times New Roman"/>
                <w:kern w:val="2"/>
                <w:sz w:val="21"/>
                <w:szCs w:val="21"/>
                <w:highlight w:val="none"/>
              </w:rPr>
              <w:t>SO</w:t>
            </w:r>
            <w:r>
              <w:rPr>
                <w:rFonts w:ascii="Times New Roman"/>
                <w:kern w:val="2"/>
                <w:sz w:val="21"/>
                <w:szCs w:val="21"/>
                <w:highlight w:val="none"/>
                <w:vertAlign w:val="subscript"/>
              </w:rPr>
              <w:t>2</w:t>
            </w:r>
          </w:p>
        </w:tc>
        <w:tc>
          <w:tcPr>
            <w:tcW w:w="888" w:type="pct"/>
            <w:noWrap w:val="0"/>
            <w:tcMar>
              <w:left w:w="28" w:type="dxa"/>
              <w:right w:w="28" w:type="dxa"/>
            </w:tcMar>
            <w:vAlign w:val="center"/>
          </w:tcPr>
          <w:p w14:paraId="2962E9FC">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1AC389B0">
            <w:pPr>
              <w:jc w:val="center"/>
              <w:rPr>
                <w:sz w:val="21"/>
                <w:szCs w:val="21"/>
                <w:highlight w:val="none"/>
              </w:rPr>
            </w:pPr>
            <w:r>
              <w:rPr>
                <w:sz w:val="21"/>
                <w:szCs w:val="21"/>
                <w:highlight w:val="none"/>
              </w:rPr>
              <w:t>41585</w:t>
            </w:r>
          </w:p>
        </w:tc>
        <w:tc>
          <w:tcPr>
            <w:tcW w:w="316" w:type="pct"/>
            <w:noWrap w:val="0"/>
            <w:tcMar>
              <w:left w:w="28" w:type="dxa"/>
              <w:right w:w="28" w:type="dxa"/>
            </w:tcMar>
            <w:vAlign w:val="center"/>
          </w:tcPr>
          <w:p w14:paraId="5DE7D37E">
            <w:pPr>
              <w:jc w:val="center"/>
              <w:rPr>
                <w:sz w:val="21"/>
                <w:szCs w:val="21"/>
                <w:highlight w:val="none"/>
              </w:rPr>
            </w:pPr>
            <w:r>
              <w:rPr>
                <w:sz w:val="21"/>
                <w:szCs w:val="21"/>
                <w:highlight w:val="none"/>
              </w:rPr>
              <w:t>8.3</w:t>
            </w:r>
          </w:p>
          <w:p w14:paraId="02AB4D49">
            <w:pPr>
              <w:jc w:val="center"/>
              <w:rPr>
                <w:sz w:val="21"/>
                <w:szCs w:val="21"/>
                <w:highlight w:val="none"/>
              </w:rPr>
            </w:pPr>
            <w:r>
              <w:rPr>
                <w:sz w:val="21"/>
                <w:szCs w:val="21"/>
                <w:highlight w:val="none"/>
              </w:rPr>
              <w:t>97.4</w:t>
            </w:r>
          </w:p>
          <w:p w14:paraId="4ACB441C">
            <w:pPr>
              <w:jc w:val="center"/>
              <w:rPr>
                <w:sz w:val="21"/>
                <w:szCs w:val="21"/>
                <w:highlight w:val="none"/>
              </w:rPr>
            </w:pPr>
            <w:r>
              <w:rPr>
                <w:sz w:val="21"/>
                <w:szCs w:val="21"/>
                <w:highlight w:val="none"/>
              </w:rPr>
              <w:t>4.1</w:t>
            </w:r>
          </w:p>
        </w:tc>
        <w:tc>
          <w:tcPr>
            <w:tcW w:w="252" w:type="pct"/>
            <w:noWrap w:val="0"/>
            <w:tcMar>
              <w:left w:w="28" w:type="dxa"/>
              <w:right w:w="28" w:type="dxa"/>
            </w:tcMar>
            <w:vAlign w:val="center"/>
          </w:tcPr>
          <w:p w14:paraId="778CBC20">
            <w:pPr>
              <w:jc w:val="center"/>
              <w:rPr>
                <w:sz w:val="21"/>
                <w:szCs w:val="21"/>
                <w:highlight w:val="none"/>
              </w:rPr>
            </w:pPr>
            <w:r>
              <w:rPr>
                <w:sz w:val="21"/>
                <w:szCs w:val="21"/>
                <w:highlight w:val="none"/>
              </w:rPr>
              <w:t>1</w:t>
            </w:r>
          </w:p>
        </w:tc>
        <w:tc>
          <w:tcPr>
            <w:tcW w:w="226" w:type="pct"/>
            <w:noWrap w:val="0"/>
            <w:vAlign w:val="center"/>
          </w:tcPr>
          <w:p w14:paraId="06121BCC">
            <w:pPr>
              <w:jc w:val="center"/>
              <w:rPr>
                <w:sz w:val="21"/>
                <w:szCs w:val="21"/>
                <w:highlight w:val="none"/>
              </w:rPr>
            </w:pPr>
            <w:r>
              <w:rPr>
                <w:sz w:val="21"/>
                <w:szCs w:val="21"/>
                <w:highlight w:val="none"/>
              </w:rPr>
              <w:t>53</w:t>
            </w:r>
          </w:p>
        </w:tc>
        <w:tc>
          <w:tcPr>
            <w:tcW w:w="244" w:type="pct"/>
            <w:noWrap w:val="0"/>
            <w:tcMar>
              <w:left w:w="28" w:type="dxa"/>
              <w:right w:w="28" w:type="dxa"/>
            </w:tcMar>
            <w:vAlign w:val="center"/>
          </w:tcPr>
          <w:p w14:paraId="695619F6">
            <w:pPr>
              <w:jc w:val="center"/>
              <w:rPr>
                <w:sz w:val="21"/>
                <w:szCs w:val="21"/>
                <w:highlight w:val="none"/>
              </w:rPr>
            </w:pPr>
            <w:r>
              <w:rPr>
                <w:sz w:val="21"/>
                <w:szCs w:val="21"/>
                <w:highlight w:val="none"/>
              </w:rPr>
              <w:t>1.4</w:t>
            </w:r>
          </w:p>
        </w:tc>
        <w:tc>
          <w:tcPr>
            <w:tcW w:w="212" w:type="pct"/>
            <w:noWrap w:val="0"/>
            <w:vAlign w:val="center"/>
          </w:tcPr>
          <w:p w14:paraId="59AC2527">
            <w:pPr>
              <w:jc w:val="center"/>
              <w:rPr>
                <w:sz w:val="21"/>
                <w:szCs w:val="21"/>
                <w:highlight w:val="none"/>
              </w:rPr>
            </w:pPr>
            <w:r>
              <w:rPr>
                <w:sz w:val="21"/>
                <w:szCs w:val="21"/>
                <w:highlight w:val="none"/>
              </w:rPr>
              <w:t>连续</w:t>
            </w:r>
          </w:p>
        </w:tc>
        <w:tc>
          <w:tcPr>
            <w:tcW w:w="416" w:type="pct"/>
            <w:noWrap w:val="0"/>
            <w:vAlign w:val="center"/>
          </w:tcPr>
          <w:p w14:paraId="7EAA4F0B">
            <w:pPr>
              <w:jc w:val="center"/>
              <w:rPr>
                <w:sz w:val="21"/>
                <w:szCs w:val="21"/>
                <w:highlight w:val="none"/>
              </w:rPr>
            </w:pPr>
            <w:r>
              <w:rPr>
                <w:sz w:val="21"/>
                <w:szCs w:val="21"/>
                <w:highlight w:val="none"/>
              </w:rPr>
              <w:t>排入大气</w:t>
            </w:r>
          </w:p>
        </w:tc>
      </w:tr>
      <w:tr w14:paraId="1DFE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noWrap w:val="0"/>
            <w:tcMar>
              <w:left w:w="28" w:type="dxa"/>
              <w:right w:w="28" w:type="dxa"/>
            </w:tcMar>
            <w:vAlign w:val="center"/>
          </w:tcPr>
          <w:p w14:paraId="75869B55">
            <w:pPr>
              <w:widowControl/>
              <w:snapToGrid w:val="0"/>
              <w:jc w:val="center"/>
              <w:rPr>
                <w:sz w:val="21"/>
                <w:szCs w:val="21"/>
                <w:highlight w:val="none"/>
              </w:rPr>
            </w:pPr>
            <w:r>
              <w:rPr>
                <w:sz w:val="21"/>
                <w:szCs w:val="21"/>
                <w:highlight w:val="none"/>
              </w:rPr>
              <w:t>尾气制氢装置</w:t>
            </w:r>
          </w:p>
        </w:tc>
        <w:tc>
          <w:tcPr>
            <w:tcW w:w="529" w:type="pct"/>
            <w:gridSpan w:val="2"/>
            <w:noWrap w:val="0"/>
            <w:vAlign w:val="center"/>
          </w:tcPr>
          <w:p w14:paraId="44CC80D3">
            <w:pPr>
              <w:jc w:val="center"/>
              <w:rPr>
                <w:sz w:val="21"/>
                <w:szCs w:val="21"/>
                <w:highlight w:val="none"/>
              </w:rPr>
            </w:pPr>
            <w:r>
              <w:rPr>
                <w:sz w:val="21"/>
                <w:szCs w:val="21"/>
                <w:highlight w:val="none"/>
              </w:rPr>
              <w:t>尾气转化单元</w:t>
            </w:r>
          </w:p>
        </w:tc>
        <w:tc>
          <w:tcPr>
            <w:tcW w:w="590" w:type="pct"/>
            <w:noWrap w:val="0"/>
            <w:vAlign w:val="center"/>
          </w:tcPr>
          <w:p w14:paraId="399A53E0">
            <w:pPr>
              <w:jc w:val="center"/>
              <w:rPr>
                <w:sz w:val="21"/>
                <w:szCs w:val="21"/>
                <w:highlight w:val="none"/>
              </w:rPr>
            </w:pPr>
            <w:r>
              <w:rPr>
                <w:sz w:val="21"/>
                <w:szCs w:val="21"/>
                <w:highlight w:val="none"/>
              </w:rPr>
              <w:t>加热炉烟气</w:t>
            </w:r>
          </w:p>
        </w:tc>
        <w:tc>
          <w:tcPr>
            <w:tcW w:w="748" w:type="pct"/>
            <w:noWrap w:val="0"/>
            <w:tcMar>
              <w:left w:w="28" w:type="dxa"/>
              <w:right w:w="28" w:type="dxa"/>
            </w:tcMar>
            <w:vAlign w:val="center"/>
          </w:tcPr>
          <w:p w14:paraId="1AABC09C">
            <w:pPr>
              <w:jc w:val="center"/>
              <w:rPr>
                <w:sz w:val="21"/>
                <w:szCs w:val="21"/>
                <w:highlight w:val="none"/>
              </w:rPr>
            </w:pPr>
            <w:r>
              <w:rPr>
                <w:sz w:val="21"/>
                <w:szCs w:val="21"/>
                <w:highlight w:val="none"/>
              </w:rPr>
              <w:t>烟尘</w:t>
            </w:r>
          </w:p>
          <w:p w14:paraId="0EF5CA25">
            <w:pPr>
              <w:jc w:val="center"/>
              <w:rPr>
                <w:sz w:val="21"/>
                <w:szCs w:val="21"/>
                <w:highlight w:val="none"/>
              </w:rPr>
            </w:pPr>
            <w:r>
              <w:rPr>
                <w:sz w:val="21"/>
                <w:szCs w:val="21"/>
                <w:highlight w:val="none"/>
              </w:rPr>
              <w:t>NOx</w:t>
            </w:r>
          </w:p>
          <w:p w14:paraId="335669E6">
            <w:pPr>
              <w:jc w:val="center"/>
              <w:rPr>
                <w:sz w:val="21"/>
                <w:szCs w:val="21"/>
                <w:highlight w:val="none"/>
                <w:vertAlign w:val="subscript"/>
              </w:rPr>
            </w:pPr>
            <w:r>
              <w:rPr>
                <w:sz w:val="21"/>
                <w:szCs w:val="21"/>
                <w:highlight w:val="none"/>
              </w:rPr>
              <w:t>SO</w:t>
            </w:r>
            <w:r>
              <w:rPr>
                <w:sz w:val="21"/>
                <w:szCs w:val="21"/>
                <w:highlight w:val="none"/>
                <w:vertAlign w:val="subscript"/>
              </w:rPr>
              <w:t>2</w:t>
            </w:r>
          </w:p>
        </w:tc>
        <w:tc>
          <w:tcPr>
            <w:tcW w:w="888" w:type="pct"/>
            <w:noWrap w:val="0"/>
            <w:tcMar>
              <w:left w:w="28" w:type="dxa"/>
              <w:right w:w="28" w:type="dxa"/>
            </w:tcMar>
            <w:vAlign w:val="center"/>
          </w:tcPr>
          <w:p w14:paraId="0AE61A90">
            <w:pPr>
              <w:jc w:val="center"/>
              <w:rPr>
                <w:sz w:val="21"/>
                <w:szCs w:val="21"/>
                <w:highlight w:val="none"/>
              </w:rPr>
            </w:pPr>
            <w:r>
              <w:rPr>
                <w:sz w:val="21"/>
                <w:szCs w:val="21"/>
                <w:highlight w:val="none"/>
              </w:rPr>
              <w:t>/</w:t>
            </w:r>
          </w:p>
        </w:tc>
        <w:tc>
          <w:tcPr>
            <w:tcW w:w="374" w:type="pct"/>
            <w:noWrap w:val="0"/>
            <w:tcMar>
              <w:left w:w="28" w:type="dxa"/>
              <w:right w:w="28" w:type="dxa"/>
            </w:tcMar>
            <w:vAlign w:val="center"/>
          </w:tcPr>
          <w:p w14:paraId="2DD13B02">
            <w:pPr>
              <w:jc w:val="center"/>
              <w:rPr>
                <w:sz w:val="21"/>
                <w:szCs w:val="21"/>
                <w:highlight w:val="none"/>
              </w:rPr>
            </w:pPr>
            <w:r>
              <w:rPr>
                <w:sz w:val="21"/>
                <w:szCs w:val="21"/>
                <w:highlight w:val="none"/>
              </w:rPr>
              <w:t>36330</w:t>
            </w:r>
          </w:p>
        </w:tc>
        <w:tc>
          <w:tcPr>
            <w:tcW w:w="316" w:type="pct"/>
            <w:noWrap w:val="0"/>
            <w:tcMar>
              <w:left w:w="28" w:type="dxa"/>
              <w:right w:w="28" w:type="dxa"/>
            </w:tcMar>
            <w:vAlign w:val="center"/>
          </w:tcPr>
          <w:p w14:paraId="17567D87">
            <w:pPr>
              <w:jc w:val="center"/>
              <w:rPr>
                <w:sz w:val="21"/>
                <w:szCs w:val="21"/>
                <w:highlight w:val="none"/>
              </w:rPr>
            </w:pPr>
            <w:r>
              <w:rPr>
                <w:sz w:val="21"/>
                <w:szCs w:val="21"/>
                <w:highlight w:val="none"/>
              </w:rPr>
              <w:t>4.4</w:t>
            </w:r>
          </w:p>
          <w:p w14:paraId="66A1EE32">
            <w:pPr>
              <w:jc w:val="center"/>
              <w:rPr>
                <w:sz w:val="21"/>
                <w:szCs w:val="21"/>
                <w:highlight w:val="none"/>
              </w:rPr>
            </w:pPr>
            <w:r>
              <w:rPr>
                <w:sz w:val="21"/>
                <w:szCs w:val="21"/>
                <w:highlight w:val="none"/>
              </w:rPr>
              <w:t>50.0</w:t>
            </w:r>
          </w:p>
          <w:p w14:paraId="41E052EA">
            <w:pPr>
              <w:jc w:val="center"/>
              <w:rPr>
                <w:sz w:val="21"/>
                <w:szCs w:val="21"/>
                <w:highlight w:val="none"/>
              </w:rPr>
            </w:pPr>
            <w:r>
              <w:rPr>
                <w:sz w:val="21"/>
                <w:szCs w:val="21"/>
                <w:highlight w:val="none"/>
              </w:rPr>
              <w:t>4.2</w:t>
            </w:r>
          </w:p>
        </w:tc>
        <w:tc>
          <w:tcPr>
            <w:tcW w:w="252" w:type="pct"/>
            <w:noWrap w:val="0"/>
            <w:tcMar>
              <w:left w:w="28" w:type="dxa"/>
              <w:right w:w="28" w:type="dxa"/>
            </w:tcMar>
            <w:vAlign w:val="center"/>
          </w:tcPr>
          <w:p w14:paraId="37271BAA">
            <w:pPr>
              <w:jc w:val="center"/>
              <w:rPr>
                <w:sz w:val="21"/>
                <w:szCs w:val="21"/>
                <w:highlight w:val="none"/>
              </w:rPr>
            </w:pPr>
            <w:r>
              <w:rPr>
                <w:sz w:val="21"/>
                <w:szCs w:val="21"/>
                <w:highlight w:val="none"/>
              </w:rPr>
              <w:t>1</w:t>
            </w:r>
          </w:p>
        </w:tc>
        <w:tc>
          <w:tcPr>
            <w:tcW w:w="226" w:type="pct"/>
            <w:noWrap w:val="0"/>
            <w:vAlign w:val="center"/>
          </w:tcPr>
          <w:p w14:paraId="7625BC0C">
            <w:pPr>
              <w:jc w:val="center"/>
              <w:rPr>
                <w:sz w:val="21"/>
                <w:szCs w:val="21"/>
                <w:highlight w:val="none"/>
              </w:rPr>
            </w:pPr>
            <w:r>
              <w:rPr>
                <w:sz w:val="21"/>
                <w:szCs w:val="21"/>
                <w:highlight w:val="none"/>
              </w:rPr>
              <w:t>60</w:t>
            </w:r>
          </w:p>
        </w:tc>
        <w:tc>
          <w:tcPr>
            <w:tcW w:w="244" w:type="pct"/>
            <w:noWrap w:val="0"/>
            <w:tcMar>
              <w:left w:w="28" w:type="dxa"/>
              <w:right w:w="28" w:type="dxa"/>
            </w:tcMar>
            <w:vAlign w:val="center"/>
          </w:tcPr>
          <w:p w14:paraId="133F6E66">
            <w:pPr>
              <w:jc w:val="center"/>
              <w:rPr>
                <w:sz w:val="21"/>
                <w:szCs w:val="21"/>
                <w:highlight w:val="none"/>
              </w:rPr>
            </w:pPr>
            <w:r>
              <w:rPr>
                <w:sz w:val="21"/>
                <w:szCs w:val="21"/>
                <w:highlight w:val="none"/>
              </w:rPr>
              <w:t>0.8</w:t>
            </w:r>
          </w:p>
        </w:tc>
        <w:tc>
          <w:tcPr>
            <w:tcW w:w="212" w:type="pct"/>
            <w:noWrap w:val="0"/>
            <w:vAlign w:val="center"/>
          </w:tcPr>
          <w:p w14:paraId="2B38E3E4">
            <w:pPr>
              <w:jc w:val="center"/>
              <w:rPr>
                <w:sz w:val="21"/>
                <w:szCs w:val="21"/>
                <w:highlight w:val="none"/>
              </w:rPr>
            </w:pPr>
            <w:r>
              <w:rPr>
                <w:sz w:val="21"/>
                <w:szCs w:val="21"/>
                <w:highlight w:val="none"/>
              </w:rPr>
              <w:t>连续</w:t>
            </w:r>
          </w:p>
        </w:tc>
        <w:tc>
          <w:tcPr>
            <w:tcW w:w="416" w:type="pct"/>
            <w:noWrap w:val="0"/>
            <w:vAlign w:val="center"/>
          </w:tcPr>
          <w:p w14:paraId="63D8EDD2">
            <w:pPr>
              <w:jc w:val="center"/>
              <w:rPr>
                <w:sz w:val="21"/>
                <w:szCs w:val="21"/>
                <w:highlight w:val="none"/>
              </w:rPr>
            </w:pPr>
            <w:r>
              <w:rPr>
                <w:sz w:val="21"/>
                <w:szCs w:val="21"/>
                <w:highlight w:val="none"/>
              </w:rPr>
              <w:t>排入大气</w:t>
            </w:r>
          </w:p>
        </w:tc>
      </w:tr>
      <w:tr w14:paraId="0668C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restart"/>
            <w:noWrap w:val="0"/>
            <w:tcMar>
              <w:left w:w="28" w:type="dxa"/>
              <w:right w:w="28" w:type="dxa"/>
            </w:tcMar>
            <w:vAlign w:val="center"/>
          </w:tcPr>
          <w:p w14:paraId="3B2C6CA7">
            <w:pPr>
              <w:widowControl/>
              <w:snapToGrid w:val="0"/>
              <w:jc w:val="center"/>
              <w:rPr>
                <w:sz w:val="21"/>
                <w:szCs w:val="21"/>
                <w:highlight w:val="none"/>
              </w:rPr>
            </w:pPr>
            <w:bookmarkStart w:id="4" w:name="_Hlk461459510"/>
            <w:r>
              <w:rPr>
                <w:sz w:val="21"/>
                <w:szCs w:val="21"/>
                <w:highlight w:val="none"/>
              </w:rPr>
              <w:t>贮运系统</w:t>
            </w:r>
          </w:p>
        </w:tc>
        <w:tc>
          <w:tcPr>
            <w:tcW w:w="529" w:type="pct"/>
            <w:gridSpan w:val="2"/>
            <w:vMerge w:val="restart"/>
            <w:noWrap w:val="0"/>
            <w:vAlign w:val="center"/>
          </w:tcPr>
          <w:p w14:paraId="14340F0B">
            <w:pPr>
              <w:jc w:val="center"/>
              <w:rPr>
                <w:sz w:val="21"/>
                <w:szCs w:val="21"/>
                <w:highlight w:val="none"/>
              </w:rPr>
            </w:pPr>
            <w:r>
              <w:rPr>
                <w:sz w:val="21"/>
                <w:szCs w:val="21"/>
                <w:highlight w:val="none"/>
              </w:rPr>
              <w:t>固体物料储运系统</w:t>
            </w:r>
          </w:p>
        </w:tc>
        <w:tc>
          <w:tcPr>
            <w:tcW w:w="590" w:type="pct"/>
            <w:noWrap w:val="0"/>
            <w:vAlign w:val="center"/>
          </w:tcPr>
          <w:p w14:paraId="3A576FAF">
            <w:pPr>
              <w:jc w:val="center"/>
              <w:rPr>
                <w:sz w:val="21"/>
                <w:szCs w:val="21"/>
                <w:highlight w:val="none"/>
              </w:rPr>
            </w:pPr>
            <w:r>
              <w:rPr>
                <w:sz w:val="21"/>
                <w:szCs w:val="21"/>
                <w:highlight w:val="none"/>
              </w:rPr>
              <w:t>2号皮带栈廊机尾</w:t>
            </w:r>
          </w:p>
        </w:tc>
        <w:tc>
          <w:tcPr>
            <w:tcW w:w="748" w:type="pct"/>
            <w:noWrap w:val="0"/>
            <w:tcMar>
              <w:left w:w="28" w:type="dxa"/>
              <w:right w:w="28" w:type="dxa"/>
            </w:tcMar>
            <w:vAlign w:val="center"/>
          </w:tcPr>
          <w:p w14:paraId="6A1151A4">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7C3887C5">
            <w:pPr>
              <w:jc w:val="center"/>
              <w:rPr>
                <w:sz w:val="21"/>
                <w:szCs w:val="21"/>
                <w:highlight w:val="none"/>
              </w:rPr>
            </w:pPr>
            <w:r>
              <w:rPr>
                <w:sz w:val="21"/>
                <w:szCs w:val="21"/>
                <w:highlight w:val="none"/>
              </w:rPr>
              <w:t>多管式除尘器</w:t>
            </w:r>
          </w:p>
        </w:tc>
        <w:tc>
          <w:tcPr>
            <w:tcW w:w="374" w:type="pct"/>
            <w:noWrap w:val="0"/>
            <w:tcMar>
              <w:left w:w="28" w:type="dxa"/>
              <w:right w:w="28" w:type="dxa"/>
            </w:tcMar>
            <w:vAlign w:val="center"/>
          </w:tcPr>
          <w:p w14:paraId="18AD0CE2">
            <w:pPr>
              <w:jc w:val="center"/>
              <w:rPr>
                <w:sz w:val="21"/>
                <w:szCs w:val="21"/>
                <w:highlight w:val="none"/>
              </w:rPr>
            </w:pPr>
            <w:r>
              <w:rPr>
                <w:sz w:val="21"/>
                <w:szCs w:val="21"/>
                <w:highlight w:val="none"/>
              </w:rPr>
              <w:t>20513</w:t>
            </w:r>
          </w:p>
        </w:tc>
        <w:tc>
          <w:tcPr>
            <w:tcW w:w="316" w:type="pct"/>
            <w:noWrap w:val="0"/>
            <w:tcMar>
              <w:left w:w="28" w:type="dxa"/>
              <w:right w:w="28" w:type="dxa"/>
            </w:tcMar>
            <w:vAlign w:val="center"/>
          </w:tcPr>
          <w:p w14:paraId="3F666853">
            <w:pPr>
              <w:jc w:val="center"/>
              <w:rPr>
                <w:sz w:val="21"/>
                <w:szCs w:val="21"/>
                <w:highlight w:val="none"/>
              </w:rPr>
            </w:pPr>
            <w:r>
              <w:rPr>
                <w:sz w:val="21"/>
                <w:szCs w:val="21"/>
                <w:highlight w:val="none"/>
              </w:rPr>
              <w:t>17.0</w:t>
            </w:r>
          </w:p>
        </w:tc>
        <w:tc>
          <w:tcPr>
            <w:tcW w:w="252" w:type="pct"/>
            <w:noWrap w:val="0"/>
            <w:tcMar>
              <w:left w:w="28" w:type="dxa"/>
              <w:right w:w="28" w:type="dxa"/>
            </w:tcMar>
            <w:vAlign w:val="center"/>
          </w:tcPr>
          <w:p w14:paraId="62B29461">
            <w:pPr>
              <w:jc w:val="center"/>
              <w:rPr>
                <w:sz w:val="21"/>
                <w:szCs w:val="21"/>
                <w:highlight w:val="none"/>
              </w:rPr>
            </w:pPr>
            <w:r>
              <w:rPr>
                <w:sz w:val="21"/>
                <w:szCs w:val="21"/>
                <w:highlight w:val="none"/>
              </w:rPr>
              <w:t>1</w:t>
            </w:r>
          </w:p>
        </w:tc>
        <w:tc>
          <w:tcPr>
            <w:tcW w:w="226" w:type="pct"/>
            <w:noWrap w:val="0"/>
            <w:vAlign w:val="center"/>
          </w:tcPr>
          <w:p w14:paraId="65509FEE">
            <w:pPr>
              <w:jc w:val="center"/>
              <w:rPr>
                <w:sz w:val="21"/>
                <w:szCs w:val="21"/>
                <w:highlight w:val="none"/>
              </w:rPr>
            </w:pPr>
            <w:r>
              <w:rPr>
                <w:sz w:val="21"/>
                <w:szCs w:val="21"/>
                <w:highlight w:val="none"/>
              </w:rPr>
              <w:t>24.5</w:t>
            </w:r>
          </w:p>
        </w:tc>
        <w:tc>
          <w:tcPr>
            <w:tcW w:w="244" w:type="pct"/>
            <w:noWrap w:val="0"/>
            <w:tcMar>
              <w:left w:w="28" w:type="dxa"/>
              <w:right w:w="28" w:type="dxa"/>
            </w:tcMar>
            <w:vAlign w:val="center"/>
          </w:tcPr>
          <w:p w14:paraId="6F953D9D">
            <w:pPr>
              <w:jc w:val="center"/>
              <w:rPr>
                <w:sz w:val="21"/>
                <w:szCs w:val="21"/>
                <w:highlight w:val="none"/>
              </w:rPr>
            </w:pPr>
            <w:r>
              <w:rPr>
                <w:sz w:val="21"/>
                <w:szCs w:val="21"/>
                <w:highlight w:val="none"/>
              </w:rPr>
              <w:t>1.0</w:t>
            </w:r>
          </w:p>
        </w:tc>
        <w:tc>
          <w:tcPr>
            <w:tcW w:w="212" w:type="pct"/>
            <w:noWrap w:val="0"/>
            <w:vAlign w:val="center"/>
          </w:tcPr>
          <w:p w14:paraId="19AEFF8E">
            <w:pPr>
              <w:jc w:val="center"/>
              <w:rPr>
                <w:sz w:val="21"/>
                <w:szCs w:val="21"/>
                <w:highlight w:val="none"/>
              </w:rPr>
            </w:pPr>
            <w:r>
              <w:rPr>
                <w:sz w:val="21"/>
                <w:szCs w:val="21"/>
                <w:highlight w:val="none"/>
              </w:rPr>
              <w:t>连续</w:t>
            </w:r>
          </w:p>
        </w:tc>
        <w:tc>
          <w:tcPr>
            <w:tcW w:w="416" w:type="pct"/>
            <w:noWrap w:val="0"/>
            <w:vAlign w:val="center"/>
          </w:tcPr>
          <w:p w14:paraId="0E907305">
            <w:pPr>
              <w:jc w:val="center"/>
              <w:rPr>
                <w:sz w:val="21"/>
                <w:szCs w:val="21"/>
                <w:highlight w:val="none"/>
              </w:rPr>
            </w:pPr>
            <w:r>
              <w:rPr>
                <w:sz w:val="21"/>
                <w:szCs w:val="21"/>
                <w:highlight w:val="none"/>
              </w:rPr>
              <w:t>排入大气</w:t>
            </w:r>
          </w:p>
        </w:tc>
      </w:tr>
      <w:tr w14:paraId="5AB05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109BB0A3">
            <w:pPr>
              <w:widowControl/>
              <w:snapToGrid w:val="0"/>
              <w:jc w:val="center"/>
              <w:rPr>
                <w:sz w:val="21"/>
                <w:szCs w:val="21"/>
                <w:highlight w:val="none"/>
              </w:rPr>
            </w:pPr>
          </w:p>
        </w:tc>
        <w:tc>
          <w:tcPr>
            <w:tcW w:w="529" w:type="pct"/>
            <w:gridSpan w:val="2"/>
            <w:vMerge w:val="continue"/>
            <w:noWrap w:val="0"/>
            <w:vAlign w:val="center"/>
          </w:tcPr>
          <w:p w14:paraId="0708E801">
            <w:pPr>
              <w:jc w:val="center"/>
              <w:rPr>
                <w:sz w:val="21"/>
                <w:szCs w:val="21"/>
                <w:highlight w:val="none"/>
              </w:rPr>
            </w:pPr>
          </w:p>
        </w:tc>
        <w:tc>
          <w:tcPr>
            <w:tcW w:w="590" w:type="pct"/>
            <w:noWrap w:val="0"/>
            <w:vAlign w:val="center"/>
          </w:tcPr>
          <w:p w14:paraId="76656E9A">
            <w:pPr>
              <w:jc w:val="center"/>
              <w:rPr>
                <w:sz w:val="21"/>
                <w:szCs w:val="21"/>
                <w:highlight w:val="none"/>
              </w:rPr>
            </w:pPr>
            <w:r>
              <w:rPr>
                <w:sz w:val="21"/>
                <w:szCs w:val="21"/>
                <w:highlight w:val="none"/>
              </w:rPr>
              <w:t>5号皮带栈廊机尾</w:t>
            </w:r>
          </w:p>
        </w:tc>
        <w:tc>
          <w:tcPr>
            <w:tcW w:w="748" w:type="pct"/>
            <w:noWrap w:val="0"/>
            <w:tcMar>
              <w:left w:w="28" w:type="dxa"/>
              <w:right w:w="28" w:type="dxa"/>
            </w:tcMar>
            <w:vAlign w:val="center"/>
          </w:tcPr>
          <w:p w14:paraId="5B0B8286">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0BF85EC5">
            <w:pPr>
              <w:jc w:val="center"/>
              <w:rPr>
                <w:sz w:val="21"/>
                <w:szCs w:val="21"/>
                <w:highlight w:val="none"/>
              </w:rPr>
            </w:pPr>
            <w:r>
              <w:rPr>
                <w:sz w:val="21"/>
                <w:szCs w:val="21"/>
                <w:highlight w:val="none"/>
              </w:rPr>
              <w:t>多管式除尘器</w:t>
            </w:r>
          </w:p>
        </w:tc>
        <w:tc>
          <w:tcPr>
            <w:tcW w:w="374" w:type="pct"/>
            <w:noWrap w:val="0"/>
            <w:tcMar>
              <w:left w:w="28" w:type="dxa"/>
              <w:right w:w="28" w:type="dxa"/>
            </w:tcMar>
            <w:vAlign w:val="center"/>
          </w:tcPr>
          <w:p w14:paraId="254FC189">
            <w:pPr>
              <w:jc w:val="center"/>
              <w:rPr>
                <w:sz w:val="21"/>
                <w:szCs w:val="21"/>
                <w:highlight w:val="none"/>
              </w:rPr>
            </w:pPr>
            <w:r>
              <w:rPr>
                <w:sz w:val="21"/>
                <w:szCs w:val="21"/>
                <w:highlight w:val="none"/>
              </w:rPr>
              <w:t>11665</w:t>
            </w:r>
          </w:p>
        </w:tc>
        <w:tc>
          <w:tcPr>
            <w:tcW w:w="316" w:type="pct"/>
            <w:noWrap w:val="0"/>
            <w:tcMar>
              <w:left w:w="28" w:type="dxa"/>
              <w:right w:w="28" w:type="dxa"/>
            </w:tcMar>
            <w:vAlign w:val="center"/>
          </w:tcPr>
          <w:p w14:paraId="0E0B761C">
            <w:pPr>
              <w:jc w:val="center"/>
              <w:rPr>
                <w:sz w:val="21"/>
                <w:szCs w:val="21"/>
                <w:highlight w:val="none"/>
              </w:rPr>
            </w:pPr>
            <w:r>
              <w:rPr>
                <w:sz w:val="21"/>
                <w:szCs w:val="21"/>
                <w:highlight w:val="none"/>
              </w:rPr>
              <w:t>15.8</w:t>
            </w:r>
          </w:p>
        </w:tc>
        <w:tc>
          <w:tcPr>
            <w:tcW w:w="252" w:type="pct"/>
            <w:noWrap w:val="0"/>
            <w:tcMar>
              <w:left w:w="28" w:type="dxa"/>
              <w:right w:w="28" w:type="dxa"/>
            </w:tcMar>
            <w:vAlign w:val="center"/>
          </w:tcPr>
          <w:p w14:paraId="5BB76579">
            <w:pPr>
              <w:jc w:val="center"/>
              <w:rPr>
                <w:sz w:val="21"/>
                <w:szCs w:val="21"/>
                <w:highlight w:val="none"/>
              </w:rPr>
            </w:pPr>
            <w:r>
              <w:rPr>
                <w:sz w:val="21"/>
                <w:szCs w:val="21"/>
                <w:highlight w:val="none"/>
              </w:rPr>
              <w:t>1</w:t>
            </w:r>
          </w:p>
        </w:tc>
        <w:tc>
          <w:tcPr>
            <w:tcW w:w="226" w:type="pct"/>
            <w:noWrap w:val="0"/>
            <w:vAlign w:val="center"/>
          </w:tcPr>
          <w:p w14:paraId="0F64051F">
            <w:pPr>
              <w:jc w:val="center"/>
              <w:rPr>
                <w:sz w:val="21"/>
                <w:szCs w:val="21"/>
                <w:highlight w:val="none"/>
              </w:rPr>
            </w:pPr>
            <w:r>
              <w:rPr>
                <w:sz w:val="21"/>
                <w:szCs w:val="21"/>
                <w:highlight w:val="none"/>
              </w:rPr>
              <w:t>15</w:t>
            </w:r>
          </w:p>
        </w:tc>
        <w:tc>
          <w:tcPr>
            <w:tcW w:w="244" w:type="pct"/>
            <w:noWrap w:val="0"/>
            <w:tcMar>
              <w:left w:w="28" w:type="dxa"/>
              <w:right w:w="28" w:type="dxa"/>
            </w:tcMar>
            <w:vAlign w:val="center"/>
          </w:tcPr>
          <w:p w14:paraId="5152F0DF">
            <w:pPr>
              <w:jc w:val="center"/>
              <w:rPr>
                <w:sz w:val="21"/>
                <w:szCs w:val="21"/>
                <w:highlight w:val="none"/>
              </w:rPr>
            </w:pPr>
            <w:r>
              <w:rPr>
                <w:sz w:val="21"/>
                <w:szCs w:val="21"/>
                <w:highlight w:val="none"/>
              </w:rPr>
              <w:t>1.0</w:t>
            </w:r>
          </w:p>
        </w:tc>
        <w:tc>
          <w:tcPr>
            <w:tcW w:w="212" w:type="pct"/>
            <w:noWrap w:val="0"/>
            <w:vAlign w:val="center"/>
          </w:tcPr>
          <w:p w14:paraId="52021FB9">
            <w:pPr>
              <w:jc w:val="center"/>
              <w:rPr>
                <w:sz w:val="21"/>
                <w:szCs w:val="21"/>
                <w:highlight w:val="none"/>
              </w:rPr>
            </w:pPr>
            <w:r>
              <w:rPr>
                <w:sz w:val="21"/>
                <w:szCs w:val="21"/>
                <w:highlight w:val="none"/>
              </w:rPr>
              <w:t>连续</w:t>
            </w:r>
          </w:p>
        </w:tc>
        <w:tc>
          <w:tcPr>
            <w:tcW w:w="416" w:type="pct"/>
            <w:noWrap w:val="0"/>
            <w:vAlign w:val="center"/>
          </w:tcPr>
          <w:p w14:paraId="53DC652D">
            <w:pPr>
              <w:jc w:val="center"/>
              <w:rPr>
                <w:sz w:val="21"/>
                <w:szCs w:val="21"/>
                <w:highlight w:val="none"/>
              </w:rPr>
            </w:pPr>
            <w:r>
              <w:rPr>
                <w:sz w:val="21"/>
                <w:szCs w:val="21"/>
                <w:highlight w:val="none"/>
              </w:rPr>
              <w:t>排入大气</w:t>
            </w:r>
          </w:p>
        </w:tc>
      </w:tr>
      <w:bookmarkEnd w:id="4"/>
      <w:tr w14:paraId="309C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7413D4ED">
            <w:pPr>
              <w:widowControl/>
              <w:snapToGrid w:val="0"/>
              <w:jc w:val="center"/>
              <w:rPr>
                <w:sz w:val="21"/>
                <w:szCs w:val="21"/>
                <w:highlight w:val="none"/>
              </w:rPr>
            </w:pPr>
          </w:p>
        </w:tc>
        <w:tc>
          <w:tcPr>
            <w:tcW w:w="529" w:type="pct"/>
            <w:gridSpan w:val="2"/>
            <w:vMerge w:val="continue"/>
            <w:noWrap w:val="0"/>
            <w:vAlign w:val="center"/>
          </w:tcPr>
          <w:p w14:paraId="045A64B2">
            <w:pPr>
              <w:jc w:val="center"/>
              <w:rPr>
                <w:sz w:val="21"/>
                <w:szCs w:val="21"/>
                <w:highlight w:val="none"/>
              </w:rPr>
            </w:pPr>
          </w:p>
        </w:tc>
        <w:tc>
          <w:tcPr>
            <w:tcW w:w="590" w:type="pct"/>
            <w:noWrap w:val="0"/>
            <w:vAlign w:val="center"/>
          </w:tcPr>
          <w:p w14:paraId="696CFEBF">
            <w:pPr>
              <w:jc w:val="center"/>
              <w:rPr>
                <w:sz w:val="21"/>
                <w:szCs w:val="21"/>
                <w:highlight w:val="none"/>
              </w:rPr>
            </w:pPr>
            <w:r>
              <w:rPr>
                <w:sz w:val="21"/>
                <w:szCs w:val="21"/>
                <w:highlight w:val="none"/>
              </w:rPr>
              <w:t>7号皮带栈廊机尾</w:t>
            </w:r>
          </w:p>
        </w:tc>
        <w:tc>
          <w:tcPr>
            <w:tcW w:w="748" w:type="pct"/>
            <w:noWrap w:val="0"/>
            <w:tcMar>
              <w:left w:w="28" w:type="dxa"/>
              <w:right w:w="28" w:type="dxa"/>
            </w:tcMar>
            <w:vAlign w:val="center"/>
          </w:tcPr>
          <w:p w14:paraId="5943FE68">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0D391073">
            <w:pPr>
              <w:jc w:val="center"/>
              <w:rPr>
                <w:sz w:val="21"/>
                <w:szCs w:val="21"/>
                <w:highlight w:val="none"/>
              </w:rPr>
            </w:pPr>
            <w:r>
              <w:rPr>
                <w:sz w:val="21"/>
                <w:szCs w:val="21"/>
                <w:highlight w:val="none"/>
              </w:rPr>
              <w:t>多管式除尘器</w:t>
            </w:r>
          </w:p>
        </w:tc>
        <w:tc>
          <w:tcPr>
            <w:tcW w:w="374" w:type="pct"/>
            <w:noWrap w:val="0"/>
            <w:tcMar>
              <w:left w:w="28" w:type="dxa"/>
              <w:right w:w="28" w:type="dxa"/>
            </w:tcMar>
            <w:vAlign w:val="center"/>
          </w:tcPr>
          <w:p w14:paraId="28C4CB20">
            <w:pPr>
              <w:jc w:val="center"/>
              <w:rPr>
                <w:sz w:val="21"/>
                <w:szCs w:val="21"/>
                <w:highlight w:val="none"/>
              </w:rPr>
            </w:pPr>
            <w:r>
              <w:rPr>
                <w:sz w:val="21"/>
                <w:szCs w:val="21"/>
                <w:highlight w:val="none"/>
              </w:rPr>
              <w:t>11479</w:t>
            </w:r>
          </w:p>
        </w:tc>
        <w:tc>
          <w:tcPr>
            <w:tcW w:w="316" w:type="pct"/>
            <w:noWrap w:val="0"/>
            <w:tcMar>
              <w:left w:w="28" w:type="dxa"/>
              <w:right w:w="28" w:type="dxa"/>
            </w:tcMar>
            <w:vAlign w:val="center"/>
          </w:tcPr>
          <w:p w14:paraId="0998EA2E">
            <w:pPr>
              <w:jc w:val="center"/>
              <w:rPr>
                <w:sz w:val="21"/>
                <w:szCs w:val="21"/>
                <w:highlight w:val="none"/>
              </w:rPr>
            </w:pPr>
            <w:r>
              <w:rPr>
                <w:sz w:val="21"/>
                <w:szCs w:val="21"/>
                <w:highlight w:val="none"/>
              </w:rPr>
              <w:t>20.6</w:t>
            </w:r>
          </w:p>
        </w:tc>
        <w:tc>
          <w:tcPr>
            <w:tcW w:w="252" w:type="pct"/>
            <w:noWrap w:val="0"/>
            <w:tcMar>
              <w:left w:w="28" w:type="dxa"/>
              <w:right w:w="28" w:type="dxa"/>
            </w:tcMar>
            <w:vAlign w:val="center"/>
          </w:tcPr>
          <w:p w14:paraId="63848D7B">
            <w:pPr>
              <w:jc w:val="center"/>
              <w:rPr>
                <w:sz w:val="21"/>
                <w:szCs w:val="21"/>
                <w:highlight w:val="none"/>
              </w:rPr>
            </w:pPr>
            <w:r>
              <w:rPr>
                <w:sz w:val="21"/>
                <w:szCs w:val="21"/>
                <w:highlight w:val="none"/>
              </w:rPr>
              <w:t>1</w:t>
            </w:r>
          </w:p>
        </w:tc>
        <w:tc>
          <w:tcPr>
            <w:tcW w:w="226" w:type="pct"/>
            <w:noWrap w:val="0"/>
            <w:vAlign w:val="center"/>
          </w:tcPr>
          <w:p w14:paraId="55A2D677">
            <w:pPr>
              <w:jc w:val="center"/>
              <w:rPr>
                <w:sz w:val="21"/>
                <w:szCs w:val="21"/>
                <w:highlight w:val="none"/>
              </w:rPr>
            </w:pPr>
            <w:r>
              <w:rPr>
                <w:sz w:val="21"/>
                <w:szCs w:val="21"/>
                <w:highlight w:val="none"/>
              </w:rPr>
              <w:t>33</w:t>
            </w:r>
          </w:p>
        </w:tc>
        <w:tc>
          <w:tcPr>
            <w:tcW w:w="244" w:type="pct"/>
            <w:noWrap w:val="0"/>
            <w:tcMar>
              <w:left w:w="28" w:type="dxa"/>
              <w:right w:w="28" w:type="dxa"/>
            </w:tcMar>
            <w:vAlign w:val="center"/>
          </w:tcPr>
          <w:p w14:paraId="3157F56D">
            <w:pPr>
              <w:jc w:val="center"/>
              <w:rPr>
                <w:sz w:val="21"/>
                <w:szCs w:val="21"/>
                <w:highlight w:val="none"/>
              </w:rPr>
            </w:pPr>
            <w:r>
              <w:rPr>
                <w:sz w:val="21"/>
                <w:szCs w:val="21"/>
                <w:highlight w:val="none"/>
              </w:rPr>
              <w:t>1.0</w:t>
            </w:r>
          </w:p>
        </w:tc>
        <w:tc>
          <w:tcPr>
            <w:tcW w:w="212" w:type="pct"/>
            <w:noWrap w:val="0"/>
            <w:vAlign w:val="center"/>
          </w:tcPr>
          <w:p w14:paraId="7BB9A2B5">
            <w:pPr>
              <w:jc w:val="center"/>
              <w:rPr>
                <w:sz w:val="21"/>
                <w:szCs w:val="21"/>
                <w:highlight w:val="none"/>
              </w:rPr>
            </w:pPr>
            <w:r>
              <w:rPr>
                <w:sz w:val="21"/>
                <w:szCs w:val="21"/>
                <w:highlight w:val="none"/>
              </w:rPr>
              <w:t>连续</w:t>
            </w:r>
          </w:p>
        </w:tc>
        <w:tc>
          <w:tcPr>
            <w:tcW w:w="416" w:type="pct"/>
            <w:noWrap w:val="0"/>
            <w:vAlign w:val="center"/>
          </w:tcPr>
          <w:p w14:paraId="1327C832">
            <w:pPr>
              <w:jc w:val="center"/>
              <w:rPr>
                <w:sz w:val="21"/>
                <w:szCs w:val="21"/>
                <w:highlight w:val="none"/>
              </w:rPr>
            </w:pPr>
            <w:r>
              <w:rPr>
                <w:sz w:val="21"/>
                <w:szCs w:val="21"/>
                <w:highlight w:val="none"/>
              </w:rPr>
              <w:t>排入大气</w:t>
            </w:r>
          </w:p>
        </w:tc>
      </w:tr>
      <w:tr w14:paraId="6051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73929B5F">
            <w:pPr>
              <w:widowControl/>
              <w:snapToGrid w:val="0"/>
              <w:jc w:val="center"/>
              <w:rPr>
                <w:sz w:val="21"/>
                <w:szCs w:val="21"/>
                <w:highlight w:val="none"/>
              </w:rPr>
            </w:pPr>
          </w:p>
        </w:tc>
        <w:tc>
          <w:tcPr>
            <w:tcW w:w="529" w:type="pct"/>
            <w:gridSpan w:val="2"/>
            <w:vMerge w:val="continue"/>
            <w:noWrap w:val="0"/>
            <w:vAlign w:val="center"/>
          </w:tcPr>
          <w:p w14:paraId="31A37D56">
            <w:pPr>
              <w:jc w:val="center"/>
              <w:rPr>
                <w:sz w:val="21"/>
                <w:szCs w:val="21"/>
                <w:highlight w:val="none"/>
              </w:rPr>
            </w:pPr>
          </w:p>
        </w:tc>
        <w:tc>
          <w:tcPr>
            <w:tcW w:w="590" w:type="pct"/>
            <w:noWrap w:val="0"/>
            <w:vAlign w:val="center"/>
          </w:tcPr>
          <w:p w14:paraId="721CF28A">
            <w:pPr>
              <w:jc w:val="center"/>
              <w:rPr>
                <w:sz w:val="21"/>
                <w:szCs w:val="21"/>
                <w:highlight w:val="none"/>
              </w:rPr>
            </w:pPr>
            <w:r>
              <w:rPr>
                <w:sz w:val="21"/>
                <w:szCs w:val="21"/>
                <w:highlight w:val="none"/>
              </w:rPr>
              <w:t>13号皮带栈廊机尾</w:t>
            </w:r>
          </w:p>
        </w:tc>
        <w:tc>
          <w:tcPr>
            <w:tcW w:w="748" w:type="pct"/>
            <w:noWrap w:val="0"/>
            <w:tcMar>
              <w:left w:w="28" w:type="dxa"/>
              <w:right w:w="28" w:type="dxa"/>
            </w:tcMar>
            <w:vAlign w:val="center"/>
          </w:tcPr>
          <w:p w14:paraId="385BC8F8">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0C6B8695">
            <w:pPr>
              <w:jc w:val="center"/>
              <w:rPr>
                <w:sz w:val="21"/>
                <w:szCs w:val="21"/>
                <w:highlight w:val="none"/>
              </w:rPr>
            </w:pPr>
            <w:r>
              <w:rPr>
                <w:sz w:val="21"/>
                <w:szCs w:val="21"/>
                <w:highlight w:val="none"/>
              </w:rPr>
              <w:t>多管式除尘器</w:t>
            </w:r>
          </w:p>
        </w:tc>
        <w:tc>
          <w:tcPr>
            <w:tcW w:w="374" w:type="pct"/>
            <w:noWrap w:val="0"/>
            <w:tcMar>
              <w:left w:w="28" w:type="dxa"/>
              <w:right w:w="28" w:type="dxa"/>
            </w:tcMar>
            <w:vAlign w:val="center"/>
          </w:tcPr>
          <w:p w14:paraId="1E547A42">
            <w:pPr>
              <w:jc w:val="center"/>
              <w:rPr>
                <w:sz w:val="21"/>
                <w:szCs w:val="21"/>
                <w:highlight w:val="none"/>
              </w:rPr>
            </w:pPr>
            <w:r>
              <w:rPr>
                <w:sz w:val="21"/>
                <w:szCs w:val="21"/>
                <w:highlight w:val="none"/>
              </w:rPr>
              <w:t>10181</w:t>
            </w:r>
          </w:p>
        </w:tc>
        <w:tc>
          <w:tcPr>
            <w:tcW w:w="316" w:type="pct"/>
            <w:noWrap w:val="0"/>
            <w:tcMar>
              <w:left w:w="28" w:type="dxa"/>
              <w:right w:w="28" w:type="dxa"/>
            </w:tcMar>
            <w:vAlign w:val="center"/>
          </w:tcPr>
          <w:p w14:paraId="0B81278D">
            <w:pPr>
              <w:jc w:val="center"/>
              <w:rPr>
                <w:sz w:val="21"/>
                <w:szCs w:val="21"/>
                <w:highlight w:val="none"/>
              </w:rPr>
            </w:pPr>
            <w:r>
              <w:rPr>
                <w:sz w:val="21"/>
                <w:szCs w:val="21"/>
                <w:highlight w:val="none"/>
              </w:rPr>
              <w:t>19.3</w:t>
            </w:r>
          </w:p>
        </w:tc>
        <w:tc>
          <w:tcPr>
            <w:tcW w:w="252" w:type="pct"/>
            <w:noWrap w:val="0"/>
            <w:tcMar>
              <w:left w:w="28" w:type="dxa"/>
              <w:right w:w="28" w:type="dxa"/>
            </w:tcMar>
            <w:vAlign w:val="center"/>
          </w:tcPr>
          <w:p w14:paraId="24AD3504">
            <w:pPr>
              <w:jc w:val="center"/>
              <w:rPr>
                <w:sz w:val="21"/>
                <w:szCs w:val="21"/>
                <w:highlight w:val="none"/>
              </w:rPr>
            </w:pPr>
            <w:r>
              <w:rPr>
                <w:sz w:val="21"/>
                <w:szCs w:val="21"/>
                <w:highlight w:val="none"/>
              </w:rPr>
              <w:t>1</w:t>
            </w:r>
          </w:p>
        </w:tc>
        <w:tc>
          <w:tcPr>
            <w:tcW w:w="226" w:type="pct"/>
            <w:noWrap w:val="0"/>
            <w:vAlign w:val="center"/>
          </w:tcPr>
          <w:p w14:paraId="73B74CE7">
            <w:pPr>
              <w:jc w:val="center"/>
              <w:rPr>
                <w:sz w:val="21"/>
                <w:szCs w:val="21"/>
                <w:highlight w:val="none"/>
              </w:rPr>
            </w:pPr>
            <w:r>
              <w:rPr>
                <w:sz w:val="21"/>
                <w:szCs w:val="21"/>
                <w:highlight w:val="none"/>
              </w:rPr>
              <w:t>18.5</w:t>
            </w:r>
          </w:p>
        </w:tc>
        <w:tc>
          <w:tcPr>
            <w:tcW w:w="244" w:type="pct"/>
            <w:noWrap w:val="0"/>
            <w:tcMar>
              <w:left w:w="28" w:type="dxa"/>
              <w:right w:w="28" w:type="dxa"/>
            </w:tcMar>
            <w:vAlign w:val="center"/>
          </w:tcPr>
          <w:p w14:paraId="184C8B57">
            <w:pPr>
              <w:jc w:val="center"/>
              <w:rPr>
                <w:sz w:val="21"/>
                <w:szCs w:val="21"/>
                <w:highlight w:val="none"/>
              </w:rPr>
            </w:pPr>
            <w:r>
              <w:rPr>
                <w:sz w:val="21"/>
                <w:szCs w:val="21"/>
                <w:highlight w:val="none"/>
              </w:rPr>
              <w:t>1.0</w:t>
            </w:r>
          </w:p>
        </w:tc>
        <w:tc>
          <w:tcPr>
            <w:tcW w:w="212" w:type="pct"/>
            <w:noWrap w:val="0"/>
            <w:vAlign w:val="center"/>
          </w:tcPr>
          <w:p w14:paraId="36DEE512">
            <w:pPr>
              <w:jc w:val="center"/>
              <w:rPr>
                <w:sz w:val="21"/>
                <w:szCs w:val="21"/>
                <w:highlight w:val="none"/>
              </w:rPr>
            </w:pPr>
            <w:r>
              <w:rPr>
                <w:sz w:val="21"/>
                <w:szCs w:val="21"/>
                <w:highlight w:val="none"/>
              </w:rPr>
              <w:t>连续</w:t>
            </w:r>
          </w:p>
        </w:tc>
        <w:tc>
          <w:tcPr>
            <w:tcW w:w="416" w:type="pct"/>
            <w:noWrap w:val="0"/>
            <w:vAlign w:val="center"/>
          </w:tcPr>
          <w:p w14:paraId="046F75D4">
            <w:pPr>
              <w:jc w:val="center"/>
              <w:rPr>
                <w:sz w:val="21"/>
                <w:szCs w:val="21"/>
                <w:highlight w:val="none"/>
              </w:rPr>
            </w:pPr>
            <w:r>
              <w:rPr>
                <w:sz w:val="21"/>
                <w:szCs w:val="21"/>
                <w:highlight w:val="none"/>
              </w:rPr>
              <w:t>排入大气</w:t>
            </w:r>
          </w:p>
        </w:tc>
      </w:tr>
      <w:tr w14:paraId="7749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29A458FB">
            <w:pPr>
              <w:widowControl/>
              <w:snapToGrid w:val="0"/>
              <w:jc w:val="center"/>
              <w:rPr>
                <w:sz w:val="21"/>
                <w:szCs w:val="21"/>
                <w:highlight w:val="none"/>
              </w:rPr>
            </w:pPr>
          </w:p>
        </w:tc>
        <w:tc>
          <w:tcPr>
            <w:tcW w:w="529" w:type="pct"/>
            <w:gridSpan w:val="2"/>
            <w:vMerge w:val="continue"/>
            <w:noWrap w:val="0"/>
            <w:vAlign w:val="center"/>
          </w:tcPr>
          <w:p w14:paraId="5FE1023C">
            <w:pPr>
              <w:jc w:val="center"/>
              <w:rPr>
                <w:sz w:val="21"/>
                <w:szCs w:val="21"/>
                <w:highlight w:val="none"/>
              </w:rPr>
            </w:pPr>
          </w:p>
        </w:tc>
        <w:tc>
          <w:tcPr>
            <w:tcW w:w="590" w:type="pct"/>
            <w:noWrap w:val="0"/>
            <w:vAlign w:val="center"/>
          </w:tcPr>
          <w:p w14:paraId="27294B8C">
            <w:pPr>
              <w:jc w:val="center"/>
              <w:rPr>
                <w:sz w:val="21"/>
                <w:szCs w:val="21"/>
                <w:highlight w:val="none"/>
              </w:rPr>
            </w:pPr>
            <w:r>
              <w:rPr>
                <w:sz w:val="21"/>
                <w:szCs w:val="21"/>
                <w:highlight w:val="none"/>
              </w:rPr>
              <w:t>15号皮带栈廊机尾</w:t>
            </w:r>
          </w:p>
        </w:tc>
        <w:tc>
          <w:tcPr>
            <w:tcW w:w="748" w:type="pct"/>
            <w:noWrap w:val="0"/>
            <w:tcMar>
              <w:left w:w="28" w:type="dxa"/>
              <w:right w:w="28" w:type="dxa"/>
            </w:tcMar>
            <w:vAlign w:val="center"/>
          </w:tcPr>
          <w:p w14:paraId="13176828">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1D033BDC">
            <w:pPr>
              <w:jc w:val="center"/>
              <w:rPr>
                <w:sz w:val="21"/>
                <w:szCs w:val="21"/>
                <w:highlight w:val="none"/>
              </w:rPr>
            </w:pPr>
            <w:r>
              <w:rPr>
                <w:sz w:val="21"/>
                <w:szCs w:val="21"/>
                <w:highlight w:val="none"/>
              </w:rPr>
              <w:t>多管式除尘器</w:t>
            </w:r>
          </w:p>
        </w:tc>
        <w:tc>
          <w:tcPr>
            <w:tcW w:w="374" w:type="pct"/>
            <w:noWrap w:val="0"/>
            <w:tcMar>
              <w:left w:w="28" w:type="dxa"/>
              <w:right w:w="28" w:type="dxa"/>
            </w:tcMar>
            <w:vAlign w:val="center"/>
          </w:tcPr>
          <w:p w14:paraId="2716E9E0">
            <w:pPr>
              <w:jc w:val="center"/>
              <w:rPr>
                <w:sz w:val="21"/>
                <w:szCs w:val="21"/>
                <w:highlight w:val="none"/>
              </w:rPr>
            </w:pPr>
            <w:r>
              <w:rPr>
                <w:sz w:val="21"/>
                <w:szCs w:val="21"/>
                <w:highlight w:val="none"/>
              </w:rPr>
              <w:t>13589</w:t>
            </w:r>
          </w:p>
        </w:tc>
        <w:tc>
          <w:tcPr>
            <w:tcW w:w="316" w:type="pct"/>
            <w:noWrap w:val="0"/>
            <w:tcMar>
              <w:left w:w="28" w:type="dxa"/>
              <w:right w:w="28" w:type="dxa"/>
            </w:tcMar>
            <w:vAlign w:val="center"/>
          </w:tcPr>
          <w:p w14:paraId="07B99F6E">
            <w:pPr>
              <w:jc w:val="center"/>
              <w:rPr>
                <w:sz w:val="21"/>
                <w:szCs w:val="21"/>
                <w:highlight w:val="none"/>
              </w:rPr>
            </w:pPr>
            <w:r>
              <w:rPr>
                <w:sz w:val="21"/>
                <w:szCs w:val="21"/>
                <w:highlight w:val="none"/>
              </w:rPr>
              <w:t>12.0</w:t>
            </w:r>
          </w:p>
        </w:tc>
        <w:tc>
          <w:tcPr>
            <w:tcW w:w="252" w:type="pct"/>
            <w:noWrap w:val="0"/>
            <w:tcMar>
              <w:left w:w="28" w:type="dxa"/>
              <w:right w:w="28" w:type="dxa"/>
            </w:tcMar>
            <w:vAlign w:val="center"/>
          </w:tcPr>
          <w:p w14:paraId="3A2D1108">
            <w:pPr>
              <w:jc w:val="center"/>
              <w:rPr>
                <w:sz w:val="21"/>
                <w:szCs w:val="21"/>
                <w:highlight w:val="none"/>
              </w:rPr>
            </w:pPr>
            <w:r>
              <w:rPr>
                <w:sz w:val="21"/>
                <w:szCs w:val="21"/>
                <w:highlight w:val="none"/>
              </w:rPr>
              <w:t>1</w:t>
            </w:r>
          </w:p>
        </w:tc>
        <w:tc>
          <w:tcPr>
            <w:tcW w:w="226" w:type="pct"/>
            <w:noWrap w:val="0"/>
            <w:vAlign w:val="center"/>
          </w:tcPr>
          <w:p w14:paraId="39649CAB">
            <w:pPr>
              <w:jc w:val="center"/>
              <w:rPr>
                <w:sz w:val="21"/>
                <w:szCs w:val="21"/>
                <w:highlight w:val="none"/>
              </w:rPr>
            </w:pPr>
            <w:r>
              <w:rPr>
                <w:sz w:val="21"/>
                <w:szCs w:val="21"/>
                <w:highlight w:val="none"/>
              </w:rPr>
              <w:t>15.9</w:t>
            </w:r>
          </w:p>
        </w:tc>
        <w:tc>
          <w:tcPr>
            <w:tcW w:w="244" w:type="pct"/>
            <w:noWrap w:val="0"/>
            <w:tcMar>
              <w:left w:w="28" w:type="dxa"/>
              <w:right w:w="28" w:type="dxa"/>
            </w:tcMar>
            <w:vAlign w:val="center"/>
          </w:tcPr>
          <w:p w14:paraId="1697157E">
            <w:pPr>
              <w:jc w:val="center"/>
              <w:rPr>
                <w:sz w:val="21"/>
                <w:szCs w:val="21"/>
                <w:highlight w:val="none"/>
              </w:rPr>
            </w:pPr>
            <w:r>
              <w:rPr>
                <w:sz w:val="21"/>
                <w:szCs w:val="21"/>
                <w:highlight w:val="none"/>
              </w:rPr>
              <w:t>1.0</w:t>
            </w:r>
          </w:p>
        </w:tc>
        <w:tc>
          <w:tcPr>
            <w:tcW w:w="212" w:type="pct"/>
            <w:noWrap w:val="0"/>
            <w:vAlign w:val="center"/>
          </w:tcPr>
          <w:p w14:paraId="1A397EDD">
            <w:pPr>
              <w:jc w:val="center"/>
              <w:rPr>
                <w:sz w:val="21"/>
                <w:szCs w:val="21"/>
                <w:highlight w:val="none"/>
              </w:rPr>
            </w:pPr>
            <w:r>
              <w:rPr>
                <w:sz w:val="21"/>
                <w:szCs w:val="21"/>
                <w:highlight w:val="none"/>
              </w:rPr>
              <w:t>连续</w:t>
            </w:r>
          </w:p>
        </w:tc>
        <w:tc>
          <w:tcPr>
            <w:tcW w:w="416" w:type="pct"/>
            <w:noWrap w:val="0"/>
            <w:vAlign w:val="center"/>
          </w:tcPr>
          <w:p w14:paraId="276951E2">
            <w:pPr>
              <w:jc w:val="center"/>
              <w:rPr>
                <w:sz w:val="21"/>
                <w:szCs w:val="21"/>
                <w:highlight w:val="none"/>
              </w:rPr>
            </w:pPr>
            <w:r>
              <w:rPr>
                <w:sz w:val="21"/>
                <w:szCs w:val="21"/>
                <w:highlight w:val="none"/>
              </w:rPr>
              <w:t>排入大气</w:t>
            </w:r>
          </w:p>
        </w:tc>
      </w:tr>
      <w:tr w14:paraId="29FD9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303F5909">
            <w:pPr>
              <w:widowControl/>
              <w:snapToGrid w:val="0"/>
              <w:jc w:val="center"/>
              <w:rPr>
                <w:sz w:val="21"/>
                <w:szCs w:val="21"/>
                <w:highlight w:val="none"/>
              </w:rPr>
            </w:pPr>
          </w:p>
        </w:tc>
        <w:tc>
          <w:tcPr>
            <w:tcW w:w="529" w:type="pct"/>
            <w:gridSpan w:val="2"/>
            <w:vMerge w:val="continue"/>
            <w:noWrap w:val="0"/>
            <w:vAlign w:val="center"/>
          </w:tcPr>
          <w:p w14:paraId="4C729D39">
            <w:pPr>
              <w:jc w:val="center"/>
              <w:rPr>
                <w:sz w:val="21"/>
                <w:szCs w:val="21"/>
                <w:highlight w:val="none"/>
              </w:rPr>
            </w:pPr>
          </w:p>
        </w:tc>
        <w:tc>
          <w:tcPr>
            <w:tcW w:w="590" w:type="pct"/>
            <w:noWrap w:val="0"/>
            <w:vAlign w:val="center"/>
          </w:tcPr>
          <w:p w14:paraId="075E4977">
            <w:pPr>
              <w:jc w:val="center"/>
              <w:rPr>
                <w:sz w:val="21"/>
                <w:szCs w:val="21"/>
                <w:highlight w:val="none"/>
              </w:rPr>
            </w:pPr>
            <w:r>
              <w:rPr>
                <w:sz w:val="21"/>
                <w:szCs w:val="21"/>
                <w:highlight w:val="none"/>
              </w:rPr>
              <w:t>原料煤破碎楼</w:t>
            </w:r>
          </w:p>
        </w:tc>
        <w:tc>
          <w:tcPr>
            <w:tcW w:w="748" w:type="pct"/>
            <w:noWrap w:val="0"/>
            <w:tcMar>
              <w:left w:w="28" w:type="dxa"/>
              <w:right w:w="28" w:type="dxa"/>
            </w:tcMar>
            <w:vAlign w:val="center"/>
          </w:tcPr>
          <w:p w14:paraId="728348A4">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37A9325E">
            <w:pPr>
              <w:jc w:val="center"/>
              <w:rPr>
                <w:sz w:val="21"/>
                <w:szCs w:val="21"/>
                <w:highlight w:val="none"/>
              </w:rPr>
            </w:pPr>
            <w:r>
              <w:rPr>
                <w:sz w:val="21"/>
                <w:szCs w:val="21"/>
                <w:highlight w:val="none"/>
              </w:rPr>
              <w:t>多管式除尘器</w:t>
            </w:r>
          </w:p>
        </w:tc>
        <w:tc>
          <w:tcPr>
            <w:tcW w:w="374" w:type="pct"/>
            <w:noWrap w:val="0"/>
            <w:tcMar>
              <w:left w:w="28" w:type="dxa"/>
              <w:right w:w="28" w:type="dxa"/>
            </w:tcMar>
            <w:vAlign w:val="center"/>
          </w:tcPr>
          <w:p w14:paraId="66497252">
            <w:pPr>
              <w:jc w:val="center"/>
              <w:rPr>
                <w:sz w:val="21"/>
                <w:szCs w:val="21"/>
                <w:highlight w:val="none"/>
              </w:rPr>
            </w:pPr>
            <w:r>
              <w:rPr>
                <w:sz w:val="21"/>
                <w:szCs w:val="21"/>
                <w:highlight w:val="none"/>
              </w:rPr>
              <w:t>10500</w:t>
            </w:r>
          </w:p>
        </w:tc>
        <w:tc>
          <w:tcPr>
            <w:tcW w:w="316" w:type="pct"/>
            <w:noWrap w:val="0"/>
            <w:tcMar>
              <w:left w:w="28" w:type="dxa"/>
              <w:right w:w="28" w:type="dxa"/>
            </w:tcMar>
            <w:vAlign w:val="center"/>
          </w:tcPr>
          <w:p w14:paraId="6A32BCFE">
            <w:pPr>
              <w:jc w:val="center"/>
              <w:rPr>
                <w:sz w:val="21"/>
                <w:szCs w:val="21"/>
                <w:highlight w:val="none"/>
              </w:rPr>
            </w:pPr>
            <w:r>
              <w:rPr>
                <w:sz w:val="21"/>
                <w:szCs w:val="21"/>
                <w:highlight w:val="none"/>
              </w:rPr>
              <w:t>18.1</w:t>
            </w:r>
          </w:p>
        </w:tc>
        <w:tc>
          <w:tcPr>
            <w:tcW w:w="252" w:type="pct"/>
            <w:noWrap w:val="0"/>
            <w:tcMar>
              <w:left w:w="28" w:type="dxa"/>
              <w:right w:w="28" w:type="dxa"/>
            </w:tcMar>
            <w:vAlign w:val="center"/>
          </w:tcPr>
          <w:p w14:paraId="4B457E85">
            <w:pPr>
              <w:jc w:val="center"/>
              <w:rPr>
                <w:sz w:val="21"/>
                <w:szCs w:val="21"/>
                <w:highlight w:val="none"/>
              </w:rPr>
            </w:pPr>
            <w:r>
              <w:rPr>
                <w:sz w:val="21"/>
                <w:szCs w:val="21"/>
                <w:highlight w:val="none"/>
              </w:rPr>
              <w:t>1</w:t>
            </w:r>
          </w:p>
        </w:tc>
        <w:tc>
          <w:tcPr>
            <w:tcW w:w="226" w:type="pct"/>
            <w:noWrap w:val="0"/>
            <w:vAlign w:val="center"/>
          </w:tcPr>
          <w:p w14:paraId="2B771FAB">
            <w:pPr>
              <w:jc w:val="center"/>
              <w:rPr>
                <w:sz w:val="21"/>
                <w:szCs w:val="21"/>
                <w:highlight w:val="none"/>
              </w:rPr>
            </w:pPr>
            <w:r>
              <w:rPr>
                <w:sz w:val="21"/>
                <w:szCs w:val="21"/>
                <w:highlight w:val="none"/>
              </w:rPr>
              <w:t>15</w:t>
            </w:r>
          </w:p>
        </w:tc>
        <w:tc>
          <w:tcPr>
            <w:tcW w:w="244" w:type="pct"/>
            <w:noWrap w:val="0"/>
            <w:tcMar>
              <w:left w:w="28" w:type="dxa"/>
              <w:right w:w="28" w:type="dxa"/>
            </w:tcMar>
            <w:vAlign w:val="center"/>
          </w:tcPr>
          <w:p w14:paraId="516202B9">
            <w:pPr>
              <w:jc w:val="center"/>
              <w:rPr>
                <w:sz w:val="21"/>
                <w:szCs w:val="21"/>
                <w:highlight w:val="none"/>
              </w:rPr>
            </w:pPr>
            <w:r>
              <w:rPr>
                <w:sz w:val="21"/>
                <w:szCs w:val="21"/>
                <w:highlight w:val="none"/>
              </w:rPr>
              <w:t>1.0</w:t>
            </w:r>
          </w:p>
        </w:tc>
        <w:tc>
          <w:tcPr>
            <w:tcW w:w="212" w:type="pct"/>
            <w:noWrap w:val="0"/>
            <w:vAlign w:val="center"/>
          </w:tcPr>
          <w:p w14:paraId="750AEC65">
            <w:pPr>
              <w:jc w:val="center"/>
              <w:rPr>
                <w:sz w:val="21"/>
                <w:szCs w:val="21"/>
                <w:highlight w:val="none"/>
              </w:rPr>
            </w:pPr>
            <w:r>
              <w:rPr>
                <w:sz w:val="21"/>
                <w:szCs w:val="21"/>
                <w:highlight w:val="none"/>
              </w:rPr>
              <w:t>连续</w:t>
            </w:r>
          </w:p>
        </w:tc>
        <w:tc>
          <w:tcPr>
            <w:tcW w:w="416" w:type="pct"/>
            <w:noWrap w:val="0"/>
            <w:vAlign w:val="center"/>
          </w:tcPr>
          <w:p w14:paraId="34FB2EF3">
            <w:pPr>
              <w:jc w:val="center"/>
              <w:rPr>
                <w:sz w:val="21"/>
                <w:szCs w:val="21"/>
                <w:highlight w:val="none"/>
              </w:rPr>
            </w:pPr>
            <w:r>
              <w:rPr>
                <w:sz w:val="21"/>
                <w:szCs w:val="21"/>
                <w:highlight w:val="none"/>
              </w:rPr>
              <w:t>排入大气</w:t>
            </w:r>
          </w:p>
        </w:tc>
      </w:tr>
      <w:tr w14:paraId="50F6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200" w:type="pct"/>
            <w:vMerge w:val="continue"/>
            <w:noWrap w:val="0"/>
            <w:tcMar>
              <w:left w:w="28" w:type="dxa"/>
              <w:right w:w="28" w:type="dxa"/>
            </w:tcMar>
            <w:vAlign w:val="center"/>
          </w:tcPr>
          <w:p w14:paraId="2216E35C">
            <w:pPr>
              <w:jc w:val="center"/>
              <w:rPr>
                <w:sz w:val="21"/>
                <w:szCs w:val="21"/>
                <w:highlight w:val="none"/>
              </w:rPr>
            </w:pPr>
          </w:p>
        </w:tc>
        <w:tc>
          <w:tcPr>
            <w:tcW w:w="529" w:type="pct"/>
            <w:gridSpan w:val="2"/>
            <w:noWrap w:val="0"/>
            <w:vAlign w:val="center"/>
          </w:tcPr>
          <w:p w14:paraId="2A14EB08">
            <w:pPr>
              <w:jc w:val="center"/>
              <w:rPr>
                <w:sz w:val="21"/>
                <w:szCs w:val="21"/>
                <w:highlight w:val="none"/>
              </w:rPr>
            </w:pPr>
            <w:r>
              <w:rPr>
                <w:sz w:val="21"/>
                <w:szCs w:val="21"/>
                <w:highlight w:val="none"/>
              </w:rPr>
              <w:t>汽车装车设施</w:t>
            </w:r>
          </w:p>
        </w:tc>
        <w:tc>
          <w:tcPr>
            <w:tcW w:w="590" w:type="pct"/>
            <w:noWrap w:val="0"/>
            <w:vAlign w:val="center"/>
          </w:tcPr>
          <w:p w14:paraId="3C284AF3">
            <w:pPr>
              <w:jc w:val="center"/>
              <w:rPr>
                <w:sz w:val="21"/>
                <w:szCs w:val="21"/>
                <w:highlight w:val="none"/>
              </w:rPr>
            </w:pPr>
            <w:r>
              <w:rPr>
                <w:sz w:val="21"/>
                <w:szCs w:val="21"/>
                <w:highlight w:val="none"/>
              </w:rPr>
              <w:t>油气回收装置尾气</w:t>
            </w:r>
          </w:p>
        </w:tc>
        <w:tc>
          <w:tcPr>
            <w:tcW w:w="748" w:type="pct"/>
            <w:noWrap w:val="0"/>
            <w:tcMar>
              <w:left w:w="28" w:type="dxa"/>
              <w:right w:w="28" w:type="dxa"/>
            </w:tcMar>
            <w:vAlign w:val="center"/>
          </w:tcPr>
          <w:p w14:paraId="5E89F843">
            <w:pPr>
              <w:jc w:val="center"/>
              <w:rPr>
                <w:sz w:val="21"/>
                <w:szCs w:val="21"/>
                <w:highlight w:val="none"/>
              </w:rPr>
            </w:pPr>
            <w:r>
              <w:rPr>
                <w:sz w:val="21"/>
                <w:szCs w:val="21"/>
                <w:highlight w:val="none"/>
              </w:rPr>
              <w:t>非甲烷总烃</w:t>
            </w:r>
          </w:p>
        </w:tc>
        <w:tc>
          <w:tcPr>
            <w:tcW w:w="888" w:type="pct"/>
            <w:noWrap w:val="0"/>
            <w:tcMar>
              <w:left w:w="28" w:type="dxa"/>
              <w:right w:w="28" w:type="dxa"/>
            </w:tcMar>
            <w:vAlign w:val="center"/>
          </w:tcPr>
          <w:p w14:paraId="661591A2">
            <w:pPr>
              <w:jc w:val="center"/>
              <w:rPr>
                <w:sz w:val="21"/>
                <w:szCs w:val="21"/>
                <w:highlight w:val="none"/>
              </w:rPr>
            </w:pPr>
            <w:r>
              <w:rPr>
                <w:sz w:val="21"/>
                <w:szCs w:val="21"/>
                <w:highlight w:val="none"/>
              </w:rPr>
              <w:t>活性炭吸附</w:t>
            </w:r>
          </w:p>
        </w:tc>
        <w:tc>
          <w:tcPr>
            <w:tcW w:w="374" w:type="pct"/>
            <w:noWrap w:val="0"/>
            <w:tcMar>
              <w:left w:w="28" w:type="dxa"/>
              <w:right w:w="28" w:type="dxa"/>
            </w:tcMar>
            <w:vAlign w:val="center"/>
          </w:tcPr>
          <w:p w14:paraId="4FBFF9FB">
            <w:pPr>
              <w:jc w:val="center"/>
              <w:rPr>
                <w:sz w:val="21"/>
                <w:szCs w:val="21"/>
                <w:highlight w:val="none"/>
              </w:rPr>
            </w:pPr>
            <w:r>
              <w:rPr>
                <w:sz w:val="21"/>
                <w:szCs w:val="21"/>
                <w:highlight w:val="none"/>
              </w:rPr>
              <w:t>/</w:t>
            </w:r>
          </w:p>
        </w:tc>
        <w:tc>
          <w:tcPr>
            <w:tcW w:w="316" w:type="pct"/>
            <w:noWrap w:val="0"/>
            <w:tcMar>
              <w:left w:w="28" w:type="dxa"/>
              <w:right w:w="28" w:type="dxa"/>
            </w:tcMar>
            <w:vAlign w:val="center"/>
          </w:tcPr>
          <w:p w14:paraId="39E8D53E">
            <w:pPr>
              <w:jc w:val="center"/>
              <w:rPr>
                <w:sz w:val="21"/>
                <w:szCs w:val="21"/>
                <w:highlight w:val="none"/>
              </w:rPr>
            </w:pPr>
            <w:r>
              <w:rPr>
                <w:sz w:val="21"/>
                <w:szCs w:val="21"/>
                <w:highlight w:val="none"/>
              </w:rPr>
              <w:t>100.5</w:t>
            </w:r>
          </w:p>
        </w:tc>
        <w:tc>
          <w:tcPr>
            <w:tcW w:w="252" w:type="pct"/>
            <w:noWrap w:val="0"/>
            <w:tcMar>
              <w:left w:w="28" w:type="dxa"/>
              <w:right w:w="28" w:type="dxa"/>
            </w:tcMar>
            <w:vAlign w:val="center"/>
          </w:tcPr>
          <w:p w14:paraId="0E1D4070">
            <w:pPr>
              <w:jc w:val="center"/>
              <w:rPr>
                <w:sz w:val="21"/>
                <w:szCs w:val="21"/>
                <w:highlight w:val="none"/>
              </w:rPr>
            </w:pPr>
            <w:r>
              <w:rPr>
                <w:sz w:val="21"/>
                <w:szCs w:val="21"/>
                <w:highlight w:val="none"/>
              </w:rPr>
              <w:t>1</w:t>
            </w:r>
          </w:p>
        </w:tc>
        <w:tc>
          <w:tcPr>
            <w:tcW w:w="226" w:type="pct"/>
            <w:noWrap w:val="0"/>
            <w:vAlign w:val="center"/>
          </w:tcPr>
          <w:p w14:paraId="55B7802F">
            <w:pPr>
              <w:jc w:val="center"/>
              <w:rPr>
                <w:sz w:val="21"/>
                <w:szCs w:val="21"/>
                <w:highlight w:val="none"/>
              </w:rPr>
            </w:pPr>
            <w:r>
              <w:rPr>
                <w:sz w:val="21"/>
                <w:szCs w:val="21"/>
                <w:highlight w:val="none"/>
              </w:rPr>
              <w:t>4</w:t>
            </w:r>
          </w:p>
        </w:tc>
        <w:tc>
          <w:tcPr>
            <w:tcW w:w="244" w:type="pct"/>
            <w:noWrap w:val="0"/>
            <w:tcMar>
              <w:left w:w="28" w:type="dxa"/>
              <w:right w:w="28" w:type="dxa"/>
            </w:tcMar>
            <w:vAlign w:val="center"/>
          </w:tcPr>
          <w:p w14:paraId="7099C8E0">
            <w:pPr>
              <w:jc w:val="center"/>
              <w:rPr>
                <w:sz w:val="21"/>
                <w:szCs w:val="21"/>
                <w:highlight w:val="none"/>
              </w:rPr>
            </w:pPr>
            <w:r>
              <w:rPr>
                <w:sz w:val="21"/>
                <w:szCs w:val="21"/>
                <w:highlight w:val="none"/>
              </w:rPr>
              <w:t>0.15</w:t>
            </w:r>
          </w:p>
        </w:tc>
        <w:tc>
          <w:tcPr>
            <w:tcW w:w="212" w:type="pct"/>
            <w:noWrap w:val="0"/>
            <w:vAlign w:val="center"/>
          </w:tcPr>
          <w:p w14:paraId="0000C527">
            <w:pPr>
              <w:jc w:val="center"/>
              <w:rPr>
                <w:sz w:val="21"/>
                <w:szCs w:val="21"/>
                <w:highlight w:val="none"/>
              </w:rPr>
            </w:pPr>
            <w:r>
              <w:rPr>
                <w:sz w:val="21"/>
                <w:szCs w:val="21"/>
                <w:highlight w:val="none"/>
              </w:rPr>
              <w:t>间断</w:t>
            </w:r>
          </w:p>
        </w:tc>
        <w:tc>
          <w:tcPr>
            <w:tcW w:w="416" w:type="pct"/>
            <w:noWrap w:val="0"/>
            <w:vAlign w:val="center"/>
          </w:tcPr>
          <w:p w14:paraId="09661C6F">
            <w:pPr>
              <w:jc w:val="center"/>
              <w:rPr>
                <w:sz w:val="21"/>
                <w:szCs w:val="21"/>
                <w:highlight w:val="none"/>
              </w:rPr>
            </w:pPr>
            <w:r>
              <w:rPr>
                <w:sz w:val="21"/>
                <w:szCs w:val="21"/>
                <w:highlight w:val="none"/>
              </w:rPr>
              <w:t>排入大气</w:t>
            </w:r>
          </w:p>
        </w:tc>
      </w:tr>
      <w:tr w14:paraId="1775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729" w:type="pct"/>
            <w:gridSpan w:val="3"/>
            <w:vMerge w:val="restart"/>
            <w:noWrap w:val="0"/>
            <w:tcMar>
              <w:left w:w="28" w:type="dxa"/>
              <w:right w:w="28" w:type="dxa"/>
            </w:tcMar>
            <w:vAlign w:val="center"/>
          </w:tcPr>
          <w:p w14:paraId="7FF7A8F9">
            <w:pPr>
              <w:jc w:val="center"/>
              <w:rPr>
                <w:sz w:val="21"/>
                <w:szCs w:val="21"/>
                <w:highlight w:val="none"/>
              </w:rPr>
            </w:pPr>
            <w:r>
              <w:rPr>
                <w:sz w:val="21"/>
                <w:szCs w:val="21"/>
                <w:highlight w:val="none"/>
              </w:rPr>
              <w:t>热电装置</w:t>
            </w:r>
          </w:p>
        </w:tc>
        <w:tc>
          <w:tcPr>
            <w:tcW w:w="590" w:type="pct"/>
            <w:noWrap w:val="0"/>
            <w:vAlign w:val="center"/>
          </w:tcPr>
          <w:p w14:paraId="36711E9E">
            <w:pPr>
              <w:jc w:val="center"/>
              <w:rPr>
                <w:sz w:val="21"/>
                <w:szCs w:val="21"/>
                <w:highlight w:val="none"/>
              </w:rPr>
            </w:pPr>
            <w:r>
              <w:rPr>
                <w:sz w:val="21"/>
                <w:szCs w:val="21"/>
                <w:highlight w:val="none"/>
              </w:rPr>
              <w:t>1/2#锅炉烟气</w:t>
            </w:r>
          </w:p>
        </w:tc>
        <w:tc>
          <w:tcPr>
            <w:tcW w:w="748" w:type="pct"/>
            <w:noWrap w:val="0"/>
            <w:tcMar>
              <w:left w:w="28" w:type="dxa"/>
              <w:right w:w="28" w:type="dxa"/>
            </w:tcMar>
            <w:vAlign w:val="center"/>
          </w:tcPr>
          <w:p w14:paraId="3E70DC19">
            <w:pPr>
              <w:jc w:val="center"/>
              <w:rPr>
                <w:sz w:val="21"/>
                <w:szCs w:val="21"/>
                <w:highlight w:val="none"/>
              </w:rPr>
            </w:pPr>
            <w:r>
              <w:rPr>
                <w:sz w:val="21"/>
                <w:szCs w:val="21"/>
                <w:highlight w:val="none"/>
              </w:rPr>
              <w:t>烟尘</w:t>
            </w:r>
          </w:p>
          <w:p w14:paraId="31F71068">
            <w:pPr>
              <w:jc w:val="center"/>
              <w:rPr>
                <w:sz w:val="21"/>
                <w:szCs w:val="21"/>
                <w:highlight w:val="none"/>
                <w:vertAlign w:val="subscript"/>
              </w:rPr>
            </w:pPr>
            <w:r>
              <w:rPr>
                <w:sz w:val="21"/>
                <w:szCs w:val="21"/>
                <w:highlight w:val="none"/>
              </w:rPr>
              <w:t>SO</w:t>
            </w:r>
            <w:r>
              <w:rPr>
                <w:sz w:val="21"/>
                <w:szCs w:val="21"/>
                <w:highlight w:val="none"/>
                <w:vertAlign w:val="subscript"/>
              </w:rPr>
              <w:t>2</w:t>
            </w:r>
          </w:p>
          <w:p w14:paraId="76E060DD">
            <w:pPr>
              <w:jc w:val="center"/>
              <w:rPr>
                <w:sz w:val="21"/>
                <w:szCs w:val="21"/>
                <w:highlight w:val="none"/>
              </w:rPr>
            </w:pPr>
            <w:r>
              <w:rPr>
                <w:sz w:val="21"/>
                <w:szCs w:val="21"/>
                <w:highlight w:val="none"/>
              </w:rPr>
              <w:t>NOx</w:t>
            </w:r>
          </w:p>
          <w:p w14:paraId="6BC34BD4">
            <w:pPr>
              <w:jc w:val="center"/>
              <w:rPr>
                <w:sz w:val="21"/>
                <w:szCs w:val="21"/>
                <w:highlight w:val="none"/>
              </w:rPr>
            </w:pPr>
            <w:r>
              <w:rPr>
                <w:sz w:val="21"/>
                <w:szCs w:val="21"/>
                <w:highlight w:val="none"/>
              </w:rPr>
              <w:t>Hg</w:t>
            </w:r>
          </w:p>
        </w:tc>
        <w:tc>
          <w:tcPr>
            <w:tcW w:w="888" w:type="pct"/>
            <w:vMerge w:val="restart"/>
            <w:noWrap w:val="0"/>
            <w:tcMar>
              <w:left w:w="28" w:type="dxa"/>
              <w:right w:w="28" w:type="dxa"/>
            </w:tcMar>
            <w:vAlign w:val="center"/>
          </w:tcPr>
          <w:p w14:paraId="3649B8FE">
            <w:pPr>
              <w:jc w:val="center"/>
              <w:rPr>
                <w:sz w:val="21"/>
                <w:szCs w:val="21"/>
                <w:highlight w:val="none"/>
              </w:rPr>
            </w:pPr>
            <w:r>
              <w:rPr>
                <w:sz w:val="21"/>
                <w:szCs w:val="21"/>
                <w:highlight w:val="none"/>
              </w:rPr>
              <w:t>布袋除尘器除尘+氨法脱硫+SNCR脱硝</w:t>
            </w:r>
            <w:r>
              <w:rPr>
                <w:rFonts w:hint="eastAsia"/>
                <w:sz w:val="21"/>
                <w:szCs w:val="21"/>
                <w:highlight w:val="none"/>
                <w:lang w:val="en-US" w:eastAsia="zh-CN"/>
              </w:rPr>
              <w:t>+在线监测</w:t>
            </w:r>
            <w:r>
              <w:rPr>
                <w:sz w:val="21"/>
                <w:szCs w:val="21"/>
                <w:highlight w:val="none"/>
              </w:rPr>
              <w:t>。</w:t>
            </w:r>
          </w:p>
        </w:tc>
        <w:tc>
          <w:tcPr>
            <w:tcW w:w="374" w:type="pct"/>
            <w:noWrap w:val="0"/>
            <w:tcMar>
              <w:left w:w="28" w:type="dxa"/>
              <w:right w:w="28" w:type="dxa"/>
            </w:tcMar>
            <w:vAlign w:val="center"/>
          </w:tcPr>
          <w:p w14:paraId="5430A4F2">
            <w:pPr>
              <w:jc w:val="center"/>
              <w:rPr>
                <w:sz w:val="21"/>
                <w:szCs w:val="21"/>
                <w:highlight w:val="none"/>
              </w:rPr>
            </w:pPr>
            <w:r>
              <w:rPr>
                <w:sz w:val="21"/>
                <w:szCs w:val="21"/>
                <w:highlight w:val="none"/>
              </w:rPr>
              <w:t>1038171</w:t>
            </w:r>
          </w:p>
        </w:tc>
        <w:tc>
          <w:tcPr>
            <w:tcW w:w="316" w:type="pct"/>
            <w:noWrap w:val="0"/>
            <w:tcMar>
              <w:left w:w="28" w:type="dxa"/>
              <w:right w:w="28" w:type="dxa"/>
            </w:tcMar>
            <w:vAlign w:val="center"/>
          </w:tcPr>
          <w:p w14:paraId="407571B8">
            <w:pPr>
              <w:jc w:val="center"/>
              <w:rPr>
                <w:sz w:val="21"/>
                <w:szCs w:val="21"/>
                <w:highlight w:val="none"/>
              </w:rPr>
            </w:pPr>
            <w:r>
              <w:rPr>
                <w:sz w:val="21"/>
                <w:szCs w:val="21"/>
                <w:highlight w:val="none"/>
              </w:rPr>
              <w:t>19.2</w:t>
            </w:r>
          </w:p>
          <w:p w14:paraId="1C4C56DC">
            <w:pPr>
              <w:jc w:val="center"/>
              <w:rPr>
                <w:sz w:val="21"/>
                <w:szCs w:val="21"/>
                <w:highlight w:val="none"/>
              </w:rPr>
            </w:pPr>
            <w:r>
              <w:rPr>
                <w:sz w:val="21"/>
                <w:szCs w:val="21"/>
                <w:highlight w:val="none"/>
              </w:rPr>
              <w:t>40.4</w:t>
            </w:r>
          </w:p>
          <w:p w14:paraId="50062845">
            <w:pPr>
              <w:jc w:val="center"/>
              <w:rPr>
                <w:sz w:val="21"/>
                <w:szCs w:val="21"/>
                <w:highlight w:val="none"/>
              </w:rPr>
            </w:pPr>
            <w:r>
              <w:rPr>
                <w:sz w:val="21"/>
                <w:szCs w:val="21"/>
                <w:highlight w:val="none"/>
              </w:rPr>
              <w:t>42.4</w:t>
            </w:r>
          </w:p>
          <w:p w14:paraId="4E12BA04">
            <w:pPr>
              <w:jc w:val="center"/>
              <w:rPr>
                <w:sz w:val="21"/>
                <w:szCs w:val="21"/>
                <w:highlight w:val="none"/>
              </w:rPr>
            </w:pPr>
            <w:r>
              <w:rPr>
                <w:sz w:val="21"/>
                <w:szCs w:val="21"/>
                <w:highlight w:val="none"/>
              </w:rPr>
              <w:t>0.023</w:t>
            </w:r>
          </w:p>
        </w:tc>
        <w:tc>
          <w:tcPr>
            <w:tcW w:w="252" w:type="pct"/>
            <w:vMerge w:val="restart"/>
            <w:noWrap w:val="0"/>
            <w:tcMar>
              <w:left w:w="28" w:type="dxa"/>
              <w:right w:w="28" w:type="dxa"/>
            </w:tcMar>
            <w:vAlign w:val="center"/>
          </w:tcPr>
          <w:p w14:paraId="357B961F">
            <w:pPr>
              <w:jc w:val="center"/>
              <w:rPr>
                <w:sz w:val="21"/>
                <w:szCs w:val="21"/>
                <w:highlight w:val="none"/>
              </w:rPr>
            </w:pPr>
            <w:r>
              <w:rPr>
                <w:sz w:val="21"/>
                <w:szCs w:val="21"/>
                <w:highlight w:val="none"/>
              </w:rPr>
              <w:t>1</w:t>
            </w:r>
          </w:p>
        </w:tc>
        <w:tc>
          <w:tcPr>
            <w:tcW w:w="226" w:type="pct"/>
            <w:vMerge w:val="restart"/>
            <w:noWrap w:val="0"/>
            <w:vAlign w:val="center"/>
          </w:tcPr>
          <w:p w14:paraId="28232182">
            <w:pPr>
              <w:jc w:val="center"/>
              <w:rPr>
                <w:sz w:val="21"/>
                <w:szCs w:val="21"/>
                <w:highlight w:val="none"/>
              </w:rPr>
            </w:pPr>
            <w:r>
              <w:rPr>
                <w:sz w:val="21"/>
                <w:szCs w:val="21"/>
                <w:highlight w:val="none"/>
              </w:rPr>
              <w:t>180</w:t>
            </w:r>
          </w:p>
        </w:tc>
        <w:tc>
          <w:tcPr>
            <w:tcW w:w="244" w:type="pct"/>
            <w:vMerge w:val="restart"/>
            <w:noWrap w:val="0"/>
            <w:tcMar>
              <w:left w:w="28" w:type="dxa"/>
              <w:right w:w="28" w:type="dxa"/>
            </w:tcMar>
            <w:vAlign w:val="center"/>
          </w:tcPr>
          <w:p w14:paraId="6F0AC57B">
            <w:pPr>
              <w:jc w:val="center"/>
              <w:rPr>
                <w:sz w:val="21"/>
                <w:szCs w:val="21"/>
                <w:highlight w:val="none"/>
              </w:rPr>
            </w:pPr>
            <w:r>
              <w:rPr>
                <w:sz w:val="21"/>
                <w:szCs w:val="21"/>
                <w:highlight w:val="none"/>
              </w:rPr>
              <w:t>5.5/5.5</w:t>
            </w:r>
          </w:p>
        </w:tc>
        <w:tc>
          <w:tcPr>
            <w:tcW w:w="212" w:type="pct"/>
            <w:vMerge w:val="restart"/>
            <w:noWrap w:val="0"/>
            <w:vAlign w:val="center"/>
          </w:tcPr>
          <w:p w14:paraId="2A1CF661">
            <w:pPr>
              <w:jc w:val="center"/>
              <w:rPr>
                <w:sz w:val="21"/>
                <w:szCs w:val="21"/>
                <w:highlight w:val="none"/>
              </w:rPr>
            </w:pPr>
            <w:r>
              <w:rPr>
                <w:sz w:val="21"/>
                <w:szCs w:val="21"/>
                <w:highlight w:val="none"/>
              </w:rPr>
              <w:t>连续</w:t>
            </w:r>
          </w:p>
        </w:tc>
        <w:tc>
          <w:tcPr>
            <w:tcW w:w="416" w:type="pct"/>
            <w:vMerge w:val="restart"/>
            <w:noWrap w:val="0"/>
            <w:vAlign w:val="center"/>
          </w:tcPr>
          <w:p w14:paraId="03D1C140">
            <w:pPr>
              <w:jc w:val="center"/>
              <w:rPr>
                <w:sz w:val="21"/>
                <w:szCs w:val="21"/>
                <w:highlight w:val="none"/>
              </w:rPr>
            </w:pPr>
            <w:r>
              <w:rPr>
                <w:sz w:val="21"/>
                <w:szCs w:val="21"/>
                <w:highlight w:val="none"/>
              </w:rPr>
              <w:t>排入大气</w:t>
            </w:r>
          </w:p>
        </w:tc>
      </w:tr>
      <w:tr w14:paraId="0CCA1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blHeader/>
          <w:jc w:val="center"/>
        </w:trPr>
        <w:tc>
          <w:tcPr>
            <w:tcW w:w="729" w:type="pct"/>
            <w:gridSpan w:val="3"/>
            <w:vMerge w:val="continue"/>
            <w:noWrap w:val="0"/>
            <w:tcMar>
              <w:left w:w="28" w:type="dxa"/>
              <w:right w:w="28" w:type="dxa"/>
            </w:tcMar>
            <w:vAlign w:val="center"/>
          </w:tcPr>
          <w:p w14:paraId="4DF21EA7">
            <w:pPr>
              <w:jc w:val="center"/>
              <w:rPr>
                <w:sz w:val="21"/>
                <w:szCs w:val="21"/>
                <w:highlight w:val="none"/>
              </w:rPr>
            </w:pPr>
          </w:p>
        </w:tc>
        <w:tc>
          <w:tcPr>
            <w:tcW w:w="590" w:type="pct"/>
            <w:noWrap w:val="0"/>
            <w:vAlign w:val="center"/>
          </w:tcPr>
          <w:p w14:paraId="43E48DC9">
            <w:pPr>
              <w:jc w:val="center"/>
              <w:rPr>
                <w:sz w:val="21"/>
                <w:szCs w:val="21"/>
                <w:highlight w:val="none"/>
              </w:rPr>
            </w:pPr>
            <w:r>
              <w:rPr>
                <w:sz w:val="21"/>
                <w:szCs w:val="21"/>
                <w:highlight w:val="none"/>
              </w:rPr>
              <w:t>3/4#锅炉烟气</w:t>
            </w:r>
          </w:p>
        </w:tc>
        <w:tc>
          <w:tcPr>
            <w:tcW w:w="748" w:type="pct"/>
            <w:noWrap w:val="0"/>
            <w:tcMar>
              <w:left w:w="28" w:type="dxa"/>
              <w:right w:w="28" w:type="dxa"/>
            </w:tcMar>
            <w:vAlign w:val="center"/>
          </w:tcPr>
          <w:p w14:paraId="34096E6A">
            <w:pPr>
              <w:jc w:val="center"/>
              <w:rPr>
                <w:sz w:val="21"/>
                <w:szCs w:val="21"/>
                <w:highlight w:val="none"/>
              </w:rPr>
            </w:pPr>
            <w:r>
              <w:rPr>
                <w:sz w:val="21"/>
                <w:szCs w:val="21"/>
                <w:highlight w:val="none"/>
              </w:rPr>
              <w:t>烟尘</w:t>
            </w:r>
          </w:p>
          <w:p w14:paraId="09223707">
            <w:pPr>
              <w:jc w:val="center"/>
              <w:rPr>
                <w:sz w:val="21"/>
                <w:szCs w:val="21"/>
                <w:highlight w:val="none"/>
                <w:vertAlign w:val="subscript"/>
              </w:rPr>
            </w:pPr>
            <w:r>
              <w:rPr>
                <w:sz w:val="21"/>
                <w:szCs w:val="21"/>
                <w:highlight w:val="none"/>
              </w:rPr>
              <w:t>SO</w:t>
            </w:r>
            <w:r>
              <w:rPr>
                <w:sz w:val="21"/>
                <w:szCs w:val="21"/>
                <w:highlight w:val="none"/>
                <w:vertAlign w:val="subscript"/>
              </w:rPr>
              <w:t>2</w:t>
            </w:r>
          </w:p>
          <w:p w14:paraId="3CC36227">
            <w:pPr>
              <w:jc w:val="center"/>
              <w:rPr>
                <w:sz w:val="21"/>
                <w:szCs w:val="21"/>
                <w:highlight w:val="none"/>
              </w:rPr>
            </w:pPr>
            <w:r>
              <w:rPr>
                <w:sz w:val="21"/>
                <w:szCs w:val="21"/>
                <w:highlight w:val="none"/>
              </w:rPr>
              <w:t>NOx</w:t>
            </w:r>
          </w:p>
          <w:p w14:paraId="35E5EB85">
            <w:pPr>
              <w:jc w:val="center"/>
              <w:rPr>
                <w:sz w:val="21"/>
                <w:szCs w:val="21"/>
                <w:highlight w:val="none"/>
              </w:rPr>
            </w:pPr>
            <w:r>
              <w:rPr>
                <w:sz w:val="21"/>
                <w:szCs w:val="21"/>
                <w:highlight w:val="none"/>
              </w:rPr>
              <w:t>Hg</w:t>
            </w:r>
          </w:p>
        </w:tc>
        <w:tc>
          <w:tcPr>
            <w:tcW w:w="888" w:type="pct"/>
            <w:vMerge w:val="continue"/>
            <w:noWrap w:val="0"/>
            <w:tcMar>
              <w:left w:w="28" w:type="dxa"/>
              <w:right w:w="28" w:type="dxa"/>
            </w:tcMar>
            <w:vAlign w:val="center"/>
          </w:tcPr>
          <w:p w14:paraId="04CFE035">
            <w:pPr>
              <w:jc w:val="center"/>
              <w:rPr>
                <w:sz w:val="21"/>
                <w:szCs w:val="21"/>
                <w:highlight w:val="none"/>
              </w:rPr>
            </w:pPr>
          </w:p>
        </w:tc>
        <w:tc>
          <w:tcPr>
            <w:tcW w:w="374" w:type="pct"/>
            <w:noWrap w:val="0"/>
            <w:tcMar>
              <w:left w:w="28" w:type="dxa"/>
              <w:right w:w="28" w:type="dxa"/>
            </w:tcMar>
            <w:vAlign w:val="center"/>
          </w:tcPr>
          <w:p w14:paraId="7FE7C49F">
            <w:pPr>
              <w:jc w:val="center"/>
              <w:rPr>
                <w:sz w:val="21"/>
                <w:szCs w:val="21"/>
                <w:highlight w:val="none"/>
              </w:rPr>
            </w:pPr>
            <w:r>
              <w:rPr>
                <w:sz w:val="21"/>
                <w:szCs w:val="21"/>
                <w:highlight w:val="none"/>
              </w:rPr>
              <w:t>1057330</w:t>
            </w:r>
          </w:p>
        </w:tc>
        <w:tc>
          <w:tcPr>
            <w:tcW w:w="316" w:type="pct"/>
            <w:noWrap w:val="0"/>
            <w:tcMar>
              <w:left w:w="28" w:type="dxa"/>
              <w:right w:w="28" w:type="dxa"/>
            </w:tcMar>
            <w:vAlign w:val="center"/>
          </w:tcPr>
          <w:p w14:paraId="0E14CE1C">
            <w:pPr>
              <w:jc w:val="center"/>
              <w:rPr>
                <w:sz w:val="21"/>
                <w:szCs w:val="21"/>
                <w:highlight w:val="none"/>
              </w:rPr>
            </w:pPr>
            <w:r>
              <w:rPr>
                <w:sz w:val="21"/>
                <w:szCs w:val="21"/>
                <w:highlight w:val="none"/>
              </w:rPr>
              <w:t>18.7</w:t>
            </w:r>
          </w:p>
          <w:p w14:paraId="78D7304A">
            <w:pPr>
              <w:jc w:val="center"/>
              <w:rPr>
                <w:sz w:val="21"/>
                <w:szCs w:val="21"/>
                <w:highlight w:val="none"/>
              </w:rPr>
            </w:pPr>
            <w:r>
              <w:rPr>
                <w:sz w:val="21"/>
                <w:szCs w:val="21"/>
                <w:highlight w:val="none"/>
              </w:rPr>
              <w:t>41.4</w:t>
            </w:r>
          </w:p>
          <w:p w14:paraId="389A7141">
            <w:pPr>
              <w:jc w:val="center"/>
              <w:rPr>
                <w:sz w:val="21"/>
                <w:szCs w:val="21"/>
                <w:highlight w:val="none"/>
              </w:rPr>
            </w:pPr>
            <w:r>
              <w:rPr>
                <w:sz w:val="21"/>
                <w:szCs w:val="21"/>
                <w:highlight w:val="none"/>
              </w:rPr>
              <w:t>35.7</w:t>
            </w:r>
          </w:p>
          <w:p w14:paraId="00CC8F7F">
            <w:pPr>
              <w:jc w:val="center"/>
              <w:rPr>
                <w:sz w:val="21"/>
                <w:szCs w:val="21"/>
                <w:highlight w:val="none"/>
              </w:rPr>
            </w:pPr>
            <w:r>
              <w:rPr>
                <w:sz w:val="21"/>
                <w:szCs w:val="21"/>
                <w:highlight w:val="none"/>
              </w:rPr>
              <w:t>0.021</w:t>
            </w:r>
          </w:p>
        </w:tc>
        <w:tc>
          <w:tcPr>
            <w:tcW w:w="252" w:type="pct"/>
            <w:vMerge w:val="continue"/>
            <w:noWrap w:val="0"/>
            <w:tcMar>
              <w:left w:w="28" w:type="dxa"/>
              <w:right w:w="28" w:type="dxa"/>
            </w:tcMar>
            <w:vAlign w:val="center"/>
          </w:tcPr>
          <w:p w14:paraId="7F936D82">
            <w:pPr>
              <w:jc w:val="center"/>
              <w:rPr>
                <w:sz w:val="21"/>
                <w:szCs w:val="21"/>
                <w:highlight w:val="none"/>
              </w:rPr>
            </w:pPr>
          </w:p>
        </w:tc>
        <w:tc>
          <w:tcPr>
            <w:tcW w:w="226" w:type="pct"/>
            <w:vMerge w:val="continue"/>
            <w:noWrap w:val="0"/>
            <w:vAlign w:val="center"/>
          </w:tcPr>
          <w:p w14:paraId="32A8C395">
            <w:pPr>
              <w:jc w:val="center"/>
              <w:rPr>
                <w:sz w:val="21"/>
                <w:szCs w:val="21"/>
                <w:highlight w:val="none"/>
              </w:rPr>
            </w:pPr>
          </w:p>
        </w:tc>
        <w:tc>
          <w:tcPr>
            <w:tcW w:w="244" w:type="pct"/>
            <w:vMerge w:val="continue"/>
            <w:noWrap w:val="0"/>
            <w:tcMar>
              <w:left w:w="28" w:type="dxa"/>
              <w:right w:w="28" w:type="dxa"/>
            </w:tcMar>
            <w:vAlign w:val="center"/>
          </w:tcPr>
          <w:p w14:paraId="29F46BE5">
            <w:pPr>
              <w:jc w:val="center"/>
              <w:rPr>
                <w:sz w:val="21"/>
                <w:szCs w:val="21"/>
                <w:highlight w:val="none"/>
              </w:rPr>
            </w:pPr>
          </w:p>
        </w:tc>
        <w:tc>
          <w:tcPr>
            <w:tcW w:w="212" w:type="pct"/>
            <w:vMerge w:val="continue"/>
            <w:noWrap w:val="0"/>
            <w:vAlign w:val="center"/>
          </w:tcPr>
          <w:p w14:paraId="3E96FBB3">
            <w:pPr>
              <w:jc w:val="center"/>
              <w:rPr>
                <w:sz w:val="21"/>
                <w:szCs w:val="21"/>
                <w:highlight w:val="none"/>
              </w:rPr>
            </w:pPr>
          </w:p>
        </w:tc>
        <w:tc>
          <w:tcPr>
            <w:tcW w:w="416" w:type="pct"/>
            <w:vMerge w:val="continue"/>
            <w:noWrap w:val="0"/>
            <w:vAlign w:val="center"/>
          </w:tcPr>
          <w:p w14:paraId="44EAC1DB">
            <w:pPr>
              <w:jc w:val="center"/>
              <w:rPr>
                <w:sz w:val="21"/>
                <w:szCs w:val="21"/>
                <w:highlight w:val="none"/>
              </w:rPr>
            </w:pPr>
          </w:p>
        </w:tc>
      </w:tr>
      <w:tr w14:paraId="06E54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29" w:type="pct"/>
            <w:gridSpan w:val="3"/>
            <w:vMerge w:val="continue"/>
            <w:noWrap w:val="0"/>
            <w:tcMar>
              <w:left w:w="28" w:type="dxa"/>
              <w:right w:w="28" w:type="dxa"/>
            </w:tcMar>
            <w:vAlign w:val="center"/>
          </w:tcPr>
          <w:p w14:paraId="471FC426">
            <w:pPr>
              <w:jc w:val="center"/>
              <w:rPr>
                <w:sz w:val="21"/>
                <w:szCs w:val="21"/>
                <w:highlight w:val="none"/>
              </w:rPr>
            </w:pPr>
          </w:p>
        </w:tc>
        <w:tc>
          <w:tcPr>
            <w:tcW w:w="590" w:type="pct"/>
            <w:noWrap w:val="0"/>
            <w:vAlign w:val="center"/>
          </w:tcPr>
          <w:p w14:paraId="3351DB44">
            <w:pPr>
              <w:jc w:val="center"/>
              <w:rPr>
                <w:sz w:val="21"/>
                <w:szCs w:val="21"/>
                <w:highlight w:val="none"/>
              </w:rPr>
            </w:pPr>
            <w:r>
              <w:rPr>
                <w:sz w:val="21"/>
                <w:szCs w:val="21"/>
                <w:highlight w:val="none"/>
              </w:rPr>
              <w:t>灰库废气</w:t>
            </w:r>
          </w:p>
        </w:tc>
        <w:tc>
          <w:tcPr>
            <w:tcW w:w="748" w:type="pct"/>
            <w:noWrap w:val="0"/>
            <w:tcMar>
              <w:left w:w="28" w:type="dxa"/>
              <w:right w:w="28" w:type="dxa"/>
            </w:tcMar>
            <w:vAlign w:val="center"/>
          </w:tcPr>
          <w:p w14:paraId="10FA17AB">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67C3C32D">
            <w:pPr>
              <w:jc w:val="center"/>
              <w:rPr>
                <w:sz w:val="21"/>
                <w:szCs w:val="21"/>
                <w:highlight w:val="none"/>
              </w:rPr>
            </w:pPr>
            <w:r>
              <w:rPr>
                <w:sz w:val="21"/>
                <w:szCs w:val="21"/>
                <w:highlight w:val="none"/>
              </w:rPr>
              <w:t>布袋除尘器</w:t>
            </w:r>
          </w:p>
        </w:tc>
        <w:tc>
          <w:tcPr>
            <w:tcW w:w="374" w:type="pct"/>
            <w:noWrap w:val="0"/>
            <w:tcMar>
              <w:left w:w="28" w:type="dxa"/>
              <w:right w:w="28" w:type="dxa"/>
            </w:tcMar>
            <w:vAlign w:val="center"/>
          </w:tcPr>
          <w:p w14:paraId="02E2D288">
            <w:pPr>
              <w:jc w:val="center"/>
              <w:rPr>
                <w:sz w:val="21"/>
                <w:szCs w:val="21"/>
                <w:highlight w:val="none"/>
              </w:rPr>
            </w:pPr>
            <w:r>
              <w:rPr>
                <w:sz w:val="21"/>
                <w:szCs w:val="21"/>
                <w:highlight w:val="none"/>
              </w:rPr>
              <w:t>3×4225</w:t>
            </w:r>
          </w:p>
        </w:tc>
        <w:tc>
          <w:tcPr>
            <w:tcW w:w="316" w:type="pct"/>
            <w:noWrap w:val="0"/>
            <w:tcMar>
              <w:left w:w="28" w:type="dxa"/>
              <w:right w:w="28" w:type="dxa"/>
            </w:tcMar>
            <w:vAlign w:val="center"/>
          </w:tcPr>
          <w:p w14:paraId="49FF763E">
            <w:pPr>
              <w:jc w:val="center"/>
              <w:rPr>
                <w:sz w:val="21"/>
                <w:szCs w:val="21"/>
                <w:highlight w:val="none"/>
              </w:rPr>
            </w:pPr>
            <w:r>
              <w:rPr>
                <w:sz w:val="21"/>
                <w:szCs w:val="21"/>
                <w:highlight w:val="none"/>
              </w:rPr>
              <w:t>10.7</w:t>
            </w:r>
          </w:p>
        </w:tc>
        <w:tc>
          <w:tcPr>
            <w:tcW w:w="252" w:type="pct"/>
            <w:noWrap w:val="0"/>
            <w:tcMar>
              <w:left w:w="28" w:type="dxa"/>
              <w:right w:w="28" w:type="dxa"/>
            </w:tcMar>
            <w:vAlign w:val="center"/>
          </w:tcPr>
          <w:p w14:paraId="3610FB28">
            <w:pPr>
              <w:jc w:val="center"/>
              <w:rPr>
                <w:sz w:val="21"/>
                <w:szCs w:val="21"/>
                <w:highlight w:val="none"/>
              </w:rPr>
            </w:pPr>
            <w:r>
              <w:rPr>
                <w:sz w:val="21"/>
                <w:szCs w:val="21"/>
                <w:highlight w:val="none"/>
              </w:rPr>
              <w:t>3</w:t>
            </w:r>
          </w:p>
        </w:tc>
        <w:tc>
          <w:tcPr>
            <w:tcW w:w="226" w:type="pct"/>
            <w:noWrap w:val="0"/>
            <w:vAlign w:val="center"/>
          </w:tcPr>
          <w:p w14:paraId="465792A0">
            <w:pPr>
              <w:jc w:val="center"/>
              <w:rPr>
                <w:sz w:val="21"/>
                <w:szCs w:val="21"/>
                <w:highlight w:val="none"/>
              </w:rPr>
            </w:pPr>
            <w:r>
              <w:rPr>
                <w:sz w:val="21"/>
                <w:szCs w:val="21"/>
                <w:highlight w:val="none"/>
              </w:rPr>
              <w:t>32</w:t>
            </w:r>
          </w:p>
        </w:tc>
        <w:tc>
          <w:tcPr>
            <w:tcW w:w="244" w:type="pct"/>
            <w:noWrap w:val="0"/>
            <w:tcMar>
              <w:left w:w="28" w:type="dxa"/>
              <w:right w:w="28" w:type="dxa"/>
            </w:tcMar>
            <w:vAlign w:val="center"/>
          </w:tcPr>
          <w:p w14:paraId="0E93B866">
            <w:pPr>
              <w:jc w:val="center"/>
              <w:rPr>
                <w:sz w:val="21"/>
                <w:szCs w:val="21"/>
                <w:highlight w:val="none"/>
              </w:rPr>
            </w:pPr>
            <w:r>
              <w:rPr>
                <w:sz w:val="21"/>
                <w:szCs w:val="21"/>
                <w:highlight w:val="none"/>
              </w:rPr>
              <w:t>0.4</w:t>
            </w:r>
          </w:p>
        </w:tc>
        <w:tc>
          <w:tcPr>
            <w:tcW w:w="212" w:type="pct"/>
            <w:noWrap w:val="0"/>
            <w:vAlign w:val="center"/>
          </w:tcPr>
          <w:p w14:paraId="13F4148E">
            <w:pPr>
              <w:jc w:val="center"/>
              <w:rPr>
                <w:sz w:val="21"/>
                <w:szCs w:val="21"/>
                <w:highlight w:val="none"/>
              </w:rPr>
            </w:pPr>
            <w:r>
              <w:rPr>
                <w:sz w:val="21"/>
                <w:szCs w:val="21"/>
                <w:highlight w:val="none"/>
              </w:rPr>
              <w:t>连续</w:t>
            </w:r>
          </w:p>
        </w:tc>
        <w:tc>
          <w:tcPr>
            <w:tcW w:w="416" w:type="pct"/>
            <w:noWrap w:val="0"/>
            <w:vAlign w:val="center"/>
          </w:tcPr>
          <w:p w14:paraId="6B48EA4C">
            <w:pPr>
              <w:jc w:val="center"/>
              <w:rPr>
                <w:sz w:val="21"/>
                <w:szCs w:val="21"/>
                <w:highlight w:val="none"/>
              </w:rPr>
            </w:pPr>
            <w:r>
              <w:rPr>
                <w:sz w:val="21"/>
                <w:szCs w:val="21"/>
                <w:highlight w:val="none"/>
              </w:rPr>
              <w:t>排入大气</w:t>
            </w:r>
          </w:p>
        </w:tc>
      </w:tr>
      <w:tr w14:paraId="2B45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29" w:type="pct"/>
            <w:gridSpan w:val="3"/>
            <w:vMerge w:val="continue"/>
            <w:noWrap w:val="0"/>
            <w:tcMar>
              <w:left w:w="28" w:type="dxa"/>
              <w:right w:w="28" w:type="dxa"/>
            </w:tcMar>
            <w:vAlign w:val="center"/>
          </w:tcPr>
          <w:p w14:paraId="13D62411">
            <w:pPr>
              <w:jc w:val="center"/>
              <w:rPr>
                <w:sz w:val="21"/>
                <w:szCs w:val="21"/>
                <w:highlight w:val="none"/>
              </w:rPr>
            </w:pPr>
          </w:p>
        </w:tc>
        <w:tc>
          <w:tcPr>
            <w:tcW w:w="590" w:type="pct"/>
            <w:noWrap w:val="0"/>
            <w:vAlign w:val="center"/>
          </w:tcPr>
          <w:p w14:paraId="6BAA43AA">
            <w:pPr>
              <w:jc w:val="center"/>
              <w:rPr>
                <w:sz w:val="21"/>
                <w:szCs w:val="21"/>
                <w:highlight w:val="none"/>
              </w:rPr>
            </w:pPr>
            <w:r>
              <w:rPr>
                <w:sz w:val="21"/>
                <w:szCs w:val="21"/>
                <w:highlight w:val="none"/>
              </w:rPr>
              <w:t>渣仓废气</w:t>
            </w:r>
          </w:p>
        </w:tc>
        <w:tc>
          <w:tcPr>
            <w:tcW w:w="748" w:type="pct"/>
            <w:noWrap w:val="0"/>
            <w:tcMar>
              <w:left w:w="28" w:type="dxa"/>
              <w:right w:w="28" w:type="dxa"/>
            </w:tcMar>
            <w:vAlign w:val="center"/>
          </w:tcPr>
          <w:p w14:paraId="65701233">
            <w:pPr>
              <w:jc w:val="center"/>
              <w:rPr>
                <w:sz w:val="21"/>
                <w:szCs w:val="21"/>
                <w:highlight w:val="none"/>
              </w:rPr>
            </w:pPr>
            <w:r>
              <w:rPr>
                <w:sz w:val="21"/>
                <w:szCs w:val="21"/>
                <w:highlight w:val="none"/>
              </w:rPr>
              <w:t>颗粒物</w:t>
            </w:r>
          </w:p>
        </w:tc>
        <w:tc>
          <w:tcPr>
            <w:tcW w:w="888" w:type="pct"/>
            <w:noWrap w:val="0"/>
            <w:tcMar>
              <w:left w:w="28" w:type="dxa"/>
              <w:right w:w="28" w:type="dxa"/>
            </w:tcMar>
            <w:vAlign w:val="center"/>
          </w:tcPr>
          <w:p w14:paraId="08FDBDCD">
            <w:pPr>
              <w:jc w:val="center"/>
              <w:rPr>
                <w:sz w:val="21"/>
                <w:szCs w:val="21"/>
                <w:highlight w:val="none"/>
              </w:rPr>
            </w:pPr>
            <w:r>
              <w:rPr>
                <w:sz w:val="21"/>
                <w:szCs w:val="21"/>
                <w:highlight w:val="none"/>
              </w:rPr>
              <w:t>布袋除尘器</w:t>
            </w:r>
          </w:p>
        </w:tc>
        <w:tc>
          <w:tcPr>
            <w:tcW w:w="374" w:type="pct"/>
            <w:noWrap w:val="0"/>
            <w:tcMar>
              <w:left w:w="28" w:type="dxa"/>
              <w:right w:w="28" w:type="dxa"/>
            </w:tcMar>
            <w:vAlign w:val="center"/>
          </w:tcPr>
          <w:p w14:paraId="0AC658B2">
            <w:pPr>
              <w:jc w:val="center"/>
              <w:rPr>
                <w:sz w:val="21"/>
                <w:szCs w:val="21"/>
                <w:highlight w:val="none"/>
              </w:rPr>
            </w:pPr>
            <w:r>
              <w:rPr>
                <w:sz w:val="21"/>
                <w:szCs w:val="21"/>
                <w:highlight w:val="none"/>
              </w:rPr>
              <w:t>2×5343</w:t>
            </w:r>
          </w:p>
        </w:tc>
        <w:tc>
          <w:tcPr>
            <w:tcW w:w="316" w:type="pct"/>
            <w:noWrap w:val="0"/>
            <w:tcMar>
              <w:left w:w="28" w:type="dxa"/>
              <w:right w:w="28" w:type="dxa"/>
            </w:tcMar>
            <w:vAlign w:val="center"/>
          </w:tcPr>
          <w:p w14:paraId="751DCC1B">
            <w:pPr>
              <w:jc w:val="center"/>
              <w:rPr>
                <w:sz w:val="21"/>
                <w:szCs w:val="21"/>
                <w:highlight w:val="none"/>
              </w:rPr>
            </w:pPr>
            <w:r>
              <w:rPr>
                <w:sz w:val="21"/>
                <w:szCs w:val="21"/>
                <w:highlight w:val="none"/>
              </w:rPr>
              <w:t>10.2</w:t>
            </w:r>
          </w:p>
        </w:tc>
        <w:tc>
          <w:tcPr>
            <w:tcW w:w="252" w:type="pct"/>
            <w:noWrap w:val="0"/>
            <w:tcMar>
              <w:left w:w="28" w:type="dxa"/>
              <w:right w:w="28" w:type="dxa"/>
            </w:tcMar>
            <w:vAlign w:val="center"/>
          </w:tcPr>
          <w:p w14:paraId="65529115">
            <w:pPr>
              <w:jc w:val="center"/>
              <w:rPr>
                <w:sz w:val="21"/>
                <w:szCs w:val="21"/>
                <w:highlight w:val="none"/>
              </w:rPr>
            </w:pPr>
            <w:r>
              <w:rPr>
                <w:sz w:val="21"/>
                <w:szCs w:val="21"/>
                <w:highlight w:val="none"/>
              </w:rPr>
              <w:t>2</w:t>
            </w:r>
          </w:p>
        </w:tc>
        <w:tc>
          <w:tcPr>
            <w:tcW w:w="226" w:type="pct"/>
            <w:noWrap w:val="0"/>
            <w:vAlign w:val="center"/>
          </w:tcPr>
          <w:p w14:paraId="5F57EC84">
            <w:pPr>
              <w:jc w:val="center"/>
              <w:rPr>
                <w:sz w:val="21"/>
                <w:szCs w:val="21"/>
                <w:highlight w:val="none"/>
              </w:rPr>
            </w:pPr>
            <w:r>
              <w:rPr>
                <w:sz w:val="21"/>
                <w:szCs w:val="21"/>
                <w:highlight w:val="none"/>
              </w:rPr>
              <w:t>25</w:t>
            </w:r>
          </w:p>
        </w:tc>
        <w:tc>
          <w:tcPr>
            <w:tcW w:w="244" w:type="pct"/>
            <w:noWrap w:val="0"/>
            <w:tcMar>
              <w:left w:w="28" w:type="dxa"/>
              <w:right w:w="28" w:type="dxa"/>
            </w:tcMar>
            <w:vAlign w:val="center"/>
          </w:tcPr>
          <w:p w14:paraId="1D18A055">
            <w:pPr>
              <w:jc w:val="center"/>
              <w:rPr>
                <w:sz w:val="21"/>
                <w:szCs w:val="21"/>
                <w:highlight w:val="none"/>
              </w:rPr>
            </w:pPr>
            <w:r>
              <w:rPr>
                <w:sz w:val="21"/>
                <w:szCs w:val="21"/>
                <w:highlight w:val="none"/>
              </w:rPr>
              <w:t>0.4</w:t>
            </w:r>
          </w:p>
        </w:tc>
        <w:tc>
          <w:tcPr>
            <w:tcW w:w="212" w:type="pct"/>
            <w:noWrap w:val="0"/>
            <w:vAlign w:val="center"/>
          </w:tcPr>
          <w:p w14:paraId="56871AD5">
            <w:pPr>
              <w:jc w:val="center"/>
              <w:rPr>
                <w:sz w:val="21"/>
                <w:szCs w:val="21"/>
                <w:highlight w:val="none"/>
              </w:rPr>
            </w:pPr>
            <w:r>
              <w:rPr>
                <w:sz w:val="21"/>
                <w:szCs w:val="21"/>
                <w:highlight w:val="none"/>
              </w:rPr>
              <w:t>连续</w:t>
            </w:r>
          </w:p>
        </w:tc>
        <w:tc>
          <w:tcPr>
            <w:tcW w:w="416" w:type="pct"/>
            <w:noWrap w:val="0"/>
            <w:vAlign w:val="center"/>
          </w:tcPr>
          <w:p w14:paraId="7EBD2A8D">
            <w:pPr>
              <w:jc w:val="center"/>
              <w:rPr>
                <w:sz w:val="21"/>
                <w:szCs w:val="21"/>
                <w:highlight w:val="none"/>
              </w:rPr>
            </w:pPr>
            <w:r>
              <w:rPr>
                <w:sz w:val="21"/>
                <w:szCs w:val="21"/>
                <w:highlight w:val="none"/>
              </w:rPr>
              <w:t>排入大气</w:t>
            </w:r>
          </w:p>
        </w:tc>
      </w:tr>
      <w:tr w14:paraId="7FB5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29" w:type="pct"/>
            <w:gridSpan w:val="3"/>
            <w:vMerge w:val="continue"/>
            <w:noWrap w:val="0"/>
            <w:tcMar>
              <w:left w:w="28" w:type="dxa"/>
              <w:right w:w="28" w:type="dxa"/>
            </w:tcMar>
            <w:vAlign w:val="center"/>
          </w:tcPr>
          <w:p w14:paraId="7B6C95DC">
            <w:pPr>
              <w:jc w:val="center"/>
              <w:rPr>
                <w:sz w:val="21"/>
                <w:szCs w:val="21"/>
                <w:highlight w:val="none"/>
              </w:rPr>
            </w:pPr>
          </w:p>
        </w:tc>
        <w:tc>
          <w:tcPr>
            <w:tcW w:w="590" w:type="pct"/>
            <w:noWrap w:val="0"/>
            <w:vAlign w:val="center"/>
          </w:tcPr>
          <w:p w14:paraId="67EF5FB7">
            <w:pPr>
              <w:jc w:val="center"/>
              <w:rPr>
                <w:sz w:val="21"/>
                <w:szCs w:val="21"/>
                <w:highlight w:val="none"/>
              </w:rPr>
            </w:pPr>
            <w:r>
              <w:rPr>
                <w:sz w:val="21"/>
                <w:szCs w:val="21"/>
                <w:highlight w:val="none"/>
              </w:rPr>
              <w:t>硫铵干燥废气</w:t>
            </w:r>
          </w:p>
        </w:tc>
        <w:tc>
          <w:tcPr>
            <w:tcW w:w="748" w:type="pct"/>
            <w:noWrap w:val="0"/>
            <w:tcMar>
              <w:left w:w="28" w:type="dxa"/>
              <w:right w:w="28" w:type="dxa"/>
            </w:tcMar>
            <w:vAlign w:val="center"/>
          </w:tcPr>
          <w:p w14:paraId="571F093F">
            <w:pPr>
              <w:jc w:val="center"/>
              <w:rPr>
                <w:sz w:val="21"/>
                <w:szCs w:val="21"/>
                <w:highlight w:val="none"/>
              </w:rPr>
            </w:pPr>
            <w:r>
              <w:rPr>
                <w:sz w:val="21"/>
                <w:szCs w:val="21"/>
                <w:highlight w:val="none"/>
              </w:rPr>
              <w:t>颗粒物</w:t>
            </w:r>
          </w:p>
          <w:p w14:paraId="1A1D21B5">
            <w:pPr>
              <w:jc w:val="center"/>
              <w:rPr>
                <w:sz w:val="21"/>
                <w:szCs w:val="21"/>
                <w:highlight w:val="none"/>
              </w:rPr>
            </w:pPr>
            <w:r>
              <w:rPr>
                <w:sz w:val="21"/>
                <w:szCs w:val="21"/>
                <w:highlight w:val="none"/>
              </w:rPr>
              <w:t>NH</w:t>
            </w:r>
            <w:r>
              <w:rPr>
                <w:sz w:val="21"/>
                <w:szCs w:val="21"/>
                <w:highlight w:val="none"/>
                <w:vertAlign w:val="subscript"/>
              </w:rPr>
              <w:t>3</w:t>
            </w:r>
          </w:p>
        </w:tc>
        <w:tc>
          <w:tcPr>
            <w:tcW w:w="888" w:type="pct"/>
            <w:noWrap w:val="0"/>
            <w:tcMar>
              <w:left w:w="28" w:type="dxa"/>
              <w:right w:w="28" w:type="dxa"/>
            </w:tcMar>
            <w:vAlign w:val="center"/>
          </w:tcPr>
          <w:p w14:paraId="1C6D631A">
            <w:pPr>
              <w:jc w:val="center"/>
              <w:rPr>
                <w:sz w:val="21"/>
                <w:szCs w:val="21"/>
                <w:highlight w:val="none"/>
              </w:rPr>
            </w:pPr>
            <w:r>
              <w:rPr>
                <w:sz w:val="21"/>
                <w:szCs w:val="21"/>
                <w:highlight w:val="none"/>
              </w:rPr>
              <w:t>旋风除尘器+洗涤塔</w:t>
            </w:r>
          </w:p>
        </w:tc>
        <w:tc>
          <w:tcPr>
            <w:tcW w:w="374" w:type="pct"/>
            <w:noWrap w:val="0"/>
            <w:tcMar>
              <w:left w:w="28" w:type="dxa"/>
              <w:right w:w="28" w:type="dxa"/>
            </w:tcMar>
            <w:vAlign w:val="center"/>
          </w:tcPr>
          <w:p w14:paraId="33FDD791">
            <w:pPr>
              <w:jc w:val="center"/>
              <w:rPr>
                <w:sz w:val="21"/>
                <w:szCs w:val="21"/>
                <w:highlight w:val="none"/>
              </w:rPr>
            </w:pPr>
            <w:r>
              <w:rPr>
                <w:sz w:val="21"/>
                <w:szCs w:val="21"/>
                <w:highlight w:val="none"/>
              </w:rPr>
              <w:t>37835</w:t>
            </w:r>
          </w:p>
        </w:tc>
        <w:tc>
          <w:tcPr>
            <w:tcW w:w="316" w:type="pct"/>
            <w:noWrap w:val="0"/>
            <w:tcMar>
              <w:left w:w="28" w:type="dxa"/>
              <w:right w:w="28" w:type="dxa"/>
            </w:tcMar>
            <w:vAlign w:val="center"/>
          </w:tcPr>
          <w:p w14:paraId="11330375">
            <w:pPr>
              <w:jc w:val="center"/>
              <w:rPr>
                <w:sz w:val="21"/>
                <w:szCs w:val="21"/>
                <w:highlight w:val="none"/>
              </w:rPr>
            </w:pPr>
            <w:r>
              <w:rPr>
                <w:sz w:val="21"/>
                <w:szCs w:val="21"/>
                <w:highlight w:val="none"/>
              </w:rPr>
              <w:t>28.0</w:t>
            </w:r>
          </w:p>
          <w:p w14:paraId="61F67BEA">
            <w:pPr>
              <w:jc w:val="center"/>
              <w:rPr>
                <w:sz w:val="21"/>
                <w:szCs w:val="21"/>
                <w:highlight w:val="none"/>
              </w:rPr>
            </w:pPr>
            <w:r>
              <w:rPr>
                <w:sz w:val="21"/>
                <w:szCs w:val="21"/>
                <w:highlight w:val="none"/>
              </w:rPr>
              <w:t>3.16</w:t>
            </w:r>
          </w:p>
        </w:tc>
        <w:tc>
          <w:tcPr>
            <w:tcW w:w="252" w:type="pct"/>
            <w:noWrap w:val="0"/>
            <w:tcMar>
              <w:left w:w="28" w:type="dxa"/>
              <w:right w:w="28" w:type="dxa"/>
            </w:tcMar>
            <w:vAlign w:val="center"/>
          </w:tcPr>
          <w:p w14:paraId="2A0F5FD9">
            <w:pPr>
              <w:jc w:val="center"/>
              <w:rPr>
                <w:sz w:val="21"/>
                <w:szCs w:val="21"/>
                <w:highlight w:val="none"/>
              </w:rPr>
            </w:pPr>
            <w:r>
              <w:rPr>
                <w:sz w:val="21"/>
                <w:szCs w:val="21"/>
                <w:highlight w:val="none"/>
              </w:rPr>
              <w:t>1</w:t>
            </w:r>
          </w:p>
        </w:tc>
        <w:tc>
          <w:tcPr>
            <w:tcW w:w="226" w:type="pct"/>
            <w:noWrap w:val="0"/>
            <w:vAlign w:val="center"/>
          </w:tcPr>
          <w:p w14:paraId="43993358">
            <w:pPr>
              <w:jc w:val="center"/>
              <w:rPr>
                <w:sz w:val="21"/>
                <w:szCs w:val="21"/>
                <w:highlight w:val="none"/>
              </w:rPr>
            </w:pPr>
            <w:r>
              <w:rPr>
                <w:sz w:val="21"/>
                <w:szCs w:val="21"/>
                <w:highlight w:val="none"/>
              </w:rPr>
              <w:t>20</w:t>
            </w:r>
          </w:p>
        </w:tc>
        <w:tc>
          <w:tcPr>
            <w:tcW w:w="244" w:type="pct"/>
            <w:noWrap w:val="0"/>
            <w:tcMar>
              <w:left w:w="28" w:type="dxa"/>
              <w:right w:w="28" w:type="dxa"/>
            </w:tcMar>
            <w:vAlign w:val="center"/>
          </w:tcPr>
          <w:p w14:paraId="062A4445">
            <w:pPr>
              <w:jc w:val="center"/>
              <w:rPr>
                <w:sz w:val="21"/>
                <w:szCs w:val="21"/>
                <w:highlight w:val="none"/>
              </w:rPr>
            </w:pPr>
            <w:r>
              <w:rPr>
                <w:sz w:val="21"/>
                <w:szCs w:val="21"/>
                <w:highlight w:val="none"/>
              </w:rPr>
              <w:t>1.4</w:t>
            </w:r>
          </w:p>
        </w:tc>
        <w:tc>
          <w:tcPr>
            <w:tcW w:w="212" w:type="pct"/>
            <w:noWrap w:val="0"/>
            <w:vAlign w:val="center"/>
          </w:tcPr>
          <w:p w14:paraId="0545FAD8">
            <w:pPr>
              <w:jc w:val="center"/>
              <w:rPr>
                <w:sz w:val="21"/>
                <w:szCs w:val="21"/>
                <w:highlight w:val="none"/>
              </w:rPr>
            </w:pPr>
            <w:r>
              <w:rPr>
                <w:sz w:val="21"/>
                <w:szCs w:val="21"/>
                <w:highlight w:val="none"/>
              </w:rPr>
              <w:t>间断</w:t>
            </w:r>
          </w:p>
        </w:tc>
        <w:tc>
          <w:tcPr>
            <w:tcW w:w="416" w:type="pct"/>
            <w:noWrap w:val="0"/>
            <w:vAlign w:val="center"/>
          </w:tcPr>
          <w:p w14:paraId="1F90DDC1">
            <w:pPr>
              <w:jc w:val="center"/>
              <w:rPr>
                <w:sz w:val="21"/>
                <w:szCs w:val="21"/>
                <w:highlight w:val="none"/>
              </w:rPr>
            </w:pPr>
            <w:r>
              <w:rPr>
                <w:sz w:val="21"/>
                <w:szCs w:val="21"/>
                <w:highlight w:val="none"/>
              </w:rPr>
              <w:t>排入大气</w:t>
            </w:r>
          </w:p>
        </w:tc>
      </w:tr>
      <w:tr w14:paraId="4471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blHeader/>
          <w:jc w:val="center"/>
        </w:trPr>
        <w:tc>
          <w:tcPr>
            <w:tcW w:w="729" w:type="pct"/>
            <w:gridSpan w:val="3"/>
            <w:noWrap w:val="0"/>
            <w:tcMar>
              <w:left w:w="28" w:type="dxa"/>
              <w:right w:w="28" w:type="dxa"/>
            </w:tcMar>
            <w:vAlign w:val="center"/>
          </w:tcPr>
          <w:p w14:paraId="69850AD7">
            <w:pPr>
              <w:jc w:val="center"/>
              <w:rPr>
                <w:rFonts w:hint="eastAsia" w:eastAsia="宋体"/>
                <w:sz w:val="21"/>
                <w:szCs w:val="21"/>
                <w:highlight w:val="none"/>
                <w:lang w:val="en-US" w:eastAsia="zh-CN"/>
              </w:rPr>
            </w:pPr>
            <w:r>
              <w:rPr>
                <w:sz w:val="21"/>
                <w:szCs w:val="21"/>
                <w:highlight w:val="none"/>
              </w:rPr>
              <w:t>污水处理</w:t>
            </w:r>
            <w:r>
              <w:rPr>
                <w:rFonts w:hint="eastAsia"/>
                <w:sz w:val="21"/>
                <w:szCs w:val="21"/>
                <w:highlight w:val="none"/>
                <w:lang w:val="en-US" w:eastAsia="zh-CN"/>
              </w:rPr>
              <w:t>厂</w:t>
            </w:r>
          </w:p>
        </w:tc>
        <w:tc>
          <w:tcPr>
            <w:tcW w:w="590" w:type="pct"/>
            <w:noWrap w:val="0"/>
            <w:vAlign w:val="center"/>
          </w:tcPr>
          <w:p w14:paraId="139609BC">
            <w:pPr>
              <w:jc w:val="center"/>
              <w:rPr>
                <w:sz w:val="21"/>
                <w:szCs w:val="21"/>
                <w:highlight w:val="none"/>
              </w:rPr>
            </w:pPr>
            <w:r>
              <w:rPr>
                <w:sz w:val="21"/>
                <w:szCs w:val="21"/>
                <w:highlight w:val="none"/>
              </w:rPr>
              <w:t>臭气</w:t>
            </w:r>
          </w:p>
        </w:tc>
        <w:tc>
          <w:tcPr>
            <w:tcW w:w="748" w:type="pct"/>
            <w:noWrap w:val="0"/>
            <w:tcMar>
              <w:left w:w="28" w:type="dxa"/>
              <w:right w:w="28" w:type="dxa"/>
            </w:tcMar>
            <w:vAlign w:val="center"/>
          </w:tcPr>
          <w:p w14:paraId="61B52D4E">
            <w:pPr>
              <w:jc w:val="center"/>
              <w:rPr>
                <w:sz w:val="21"/>
                <w:szCs w:val="21"/>
                <w:highlight w:val="none"/>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3AE01303">
            <w:pPr>
              <w:jc w:val="center"/>
              <w:rPr>
                <w:sz w:val="21"/>
                <w:szCs w:val="21"/>
                <w:highlight w:val="none"/>
              </w:rPr>
            </w:pPr>
            <w:r>
              <w:rPr>
                <w:sz w:val="21"/>
                <w:szCs w:val="21"/>
                <w:highlight w:val="none"/>
              </w:rPr>
              <w:t>NH</w:t>
            </w:r>
            <w:r>
              <w:rPr>
                <w:sz w:val="21"/>
                <w:szCs w:val="21"/>
                <w:highlight w:val="none"/>
                <w:vertAlign w:val="subscript"/>
              </w:rPr>
              <w:t>3</w:t>
            </w:r>
          </w:p>
          <w:p w14:paraId="0EAED515">
            <w:pPr>
              <w:jc w:val="center"/>
              <w:rPr>
                <w:sz w:val="21"/>
                <w:szCs w:val="21"/>
                <w:highlight w:val="none"/>
              </w:rPr>
            </w:pPr>
            <w:r>
              <w:rPr>
                <w:sz w:val="21"/>
                <w:szCs w:val="21"/>
                <w:highlight w:val="none"/>
              </w:rPr>
              <w:t>臭气</w:t>
            </w:r>
          </w:p>
        </w:tc>
        <w:tc>
          <w:tcPr>
            <w:tcW w:w="888" w:type="pct"/>
            <w:noWrap w:val="0"/>
            <w:tcMar>
              <w:left w:w="28" w:type="dxa"/>
              <w:right w:w="28" w:type="dxa"/>
            </w:tcMar>
            <w:vAlign w:val="center"/>
          </w:tcPr>
          <w:p w14:paraId="7B28D048">
            <w:pPr>
              <w:jc w:val="center"/>
              <w:rPr>
                <w:sz w:val="21"/>
                <w:szCs w:val="21"/>
                <w:highlight w:val="none"/>
              </w:rPr>
            </w:pPr>
            <w:r>
              <w:rPr>
                <w:sz w:val="21"/>
                <w:szCs w:val="21"/>
                <w:highlight w:val="none"/>
              </w:rPr>
              <w:t>产生的恶臭气体通过对构筑物封闭加盖</w:t>
            </w:r>
            <w:r>
              <w:rPr>
                <w:rFonts w:hint="eastAsia"/>
                <w:sz w:val="21"/>
                <w:szCs w:val="21"/>
                <w:highlight w:val="none"/>
                <w:lang w:val="en-US" w:eastAsia="zh-CN"/>
              </w:rPr>
              <w:t>的</w:t>
            </w:r>
            <w:r>
              <w:rPr>
                <w:sz w:val="21"/>
                <w:szCs w:val="21"/>
                <w:highlight w:val="none"/>
              </w:rPr>
              <w:t>收集系统收集后，采用生物法处理。</w:t>
            </w:r>
          </w:p>
        </w:tc>
        <w:tc>
          <w:tcPr>
            <w:tcW w:w="374" w:type="pct"/>
            <w:noWrap w:val="0"/>
            <w:tcMar>
              <w:left w:w="28" w:type="dxa"/>
              <w:right w:w="28" w:type="dxa"/>
            </w:tcMar>
            <w:vAlign w:val="center"/>
          </w:tcPr>
          <w:p w14:paraId="67856D46">
            <w:pPr>
              <w:jc w:val="center"/>
              <w:rPr>
                <w:sz w:val="21"/>
                <w:szCs w:val="21"/>
                <w:highlight w:val="none"/>
              </w:rPr>
            </w:pPr>
            <w:r>
              <w:rPr>
                <w:sz w:val="21"/>
                <w:szCs w:val="21"/>
                <w:highlight w:val="none"/>
              </w:rPr>
              <w:t>46982</w:t>
            </w:r>
          </w:p>
        </w:tc>
        <w:tc>
          <w:tcPr>
            <w:tcW w:w="316" w:type="pct"/>
            <w:noWrap w:val="0"/>
            <w:tcMar>
              <w:left w:w="28" w:type="dxa"/>
              <w:right w:w="28" w:type="dxa"/>
            </w:tcMar>
            <w:vAlign w:val="center"/>
          </w:tcPr>
          <w:p w14:paraId="6C56F79A">
            <w:pPr>
              <w:jc w:val="center"/>
              <w:rPr>
                <w:sz w:val="21"/>
                <w:szCs w:val="21"/>
                <w:highlight w:val="none"/>
              </w:rPr>
            </w:pPr>
            <w:r>
              <w:rPr>
                <w:sz w:val="21"/>
                <w:szCs w:val="21"/>
                <w:highlight w:val="none"/>
              </w:rPr>
              <w:t>0.0006</w:t>
            </w:r>
          </w:p>
          <w:p w14:paraId="2FFC3C42">
            <w:pPr>
              <w:jc w:val="center"/>
              <w:rPr>
                <w:sz w:val="21"/>
                <w:szCs w:val="21"/>
                <w:highlight w:val="none"/>
              </w:rPr>
            </w:pPr>
            <w:r>
              <w:rPr>
                <w:sz w:val="21"/>
                <w:szCs w:val="21"/>
                <w:highlight w:val="none"/>
              </w:rPr>
              <w:t>0.2</w:t>
            </w:r>
          </w:p>
          <w:p w14:paraId="6B9C0188">
            <w:pPr>
              <w:jc w:val="center"/>
              <w:rPr>
                <w:sz w:val="21"/>
                <w:szCs w:val="21"/>
                <w:highlight w:val="none"/>
              </w:rPr>
            </w:pPr>
            <w:r>
              <w:rPr>
                <w:sz w:val="21"/>
                <w:szCs w:val="21"/>
                <w:highlight w:val="none"/>
              </w:rPr>
              <w:t>309</w:t>
            </w:r>
          </w:p>
        </w:tc>
        <w:tc>
          <w:tcPr>
            <w:tcW w:w="252" w:type="pct"/>
            <w:noWrap w:val="0"/>
            <w:tcMar>
              <w:left w:w="28" w:type="dxa"/>
              <w:right w:w="28" w:type="dxa"/>
            </w:tcMar>
            <w:vAlign w:val="center"/>
          </w:tcPr>
          <w:p w14:paraId="6A3E7D7D">
            <w:pPr>
              <w:jc w:val="center"/>
              <w:rPr>
                <w:sz w:val="21"/>
                <w:szCs w:val="21"/>
                <w:highlight w:val="none"/>
              </w:rPr>
            </w:pPr>
            <w:r>
              <w:rPr>
                <w:sz w:val="21"/>
                <w:szCs w:val="21"/>
                <w:highlight w:val="none"/>
              </w:rPr>
              <w:t>1</w:t>
            </w:r>
          </w:p>
        </w:tc>
        <w:tc>
          <w:tcPr>
            <w:tcW w:w="226" w:type="pct"/>
            <w:noWrap w:val="0"/>
            <w:vAlign w:val="center"/>
          </w:tcPr>
          <w:p w14:paraId="6FEA221C">
            <w:pPr>
              <w:jc w:val="center"/>
              <w:rPr>
                <w:sz w:val="21"/>
                <w:szCs w:val="21"/>
                <w:highlight w:val="none"/>
              </w:rPr>
            </w:pPr>
            <w:r>
              <w:rPr>
                <w:sz w:val="21"/>
                <w:szCs w:val="21"/>
                <w:highlight w:val="none"/>
              </w:rPr>
              <w:t>25</w:t>
            </w:r>
          </w:p>
        </w:tc>
        <w:tc>
          <w:tcPr>
            <w:tcW w:w="244" w:type="pct"/>
            <w:noWrap w:val="0"/>
            <w:tcMar>
              <w:left w:w="28" w:type="dxa"/>
              <w:right w:w="28" w:type="dxa"/>
            </w:tcMar>
            <w:vAlign w:val="center"/>
          </w:tcPr>
          <w:p w14:paraId="574CC741">
            <w:pPr>
              <w:jc w:val="center"/>
              <w:rPr>
                <w:sz w:val="21"/>
                <w:szCs w:val="21"/>
                <w:highlight w:val="none"/>
              </w:rPr>
            </w:pPr>
            <w:r>
              <w:rPr>
                <w:sz w:val="21"/>
                <w:szCs w:val="21"/>
                <w:highlight w:val="none"/>
              </w:rPr>
              <w:t>0.3</w:t>
            </w:r>
          </w:p>
        </w:tc>
        <w:tc>
          <w:tcPr>
            <w:tcW w:w="212" w:type="pct"/>
            <w:noWrap w:val="0"/>
            <w:vAlign w:val="center"/>
          </w:tcPr>
          <w:p w14:paraId="22079A39">
            <w:pPr>
              <w:jc w:val="center"/>
              <w:rPr>
                <w:sz w:val="21"/>
                <w:szCs w:val="21"/>
                <w:highlight w:val="none"/>
              </w:rPr>
            </w:pPr>
            <w:r>
              <w:rPr>
                <w:sz w:val="21"/>
                <w:szCs w:val="21"/>
                <w:highlight w:val="none"/>
              </w:rPr>
              <w:t>连续</w:t>
            </w:r>
          </w:p>
        </w:tc>
        <w:tc>
          <w:tcPr>
            <w:tcW w:w="416" w:type="pct"/>
            <w:noWrap w:val="0"/>
            <w:vAlign w:val="center"/>
          </w:tcPr>
          <w:p w14:paraId="50CF8E29">
            <w:pPr>
              <w:jc w:val="center"/>
              <w:rPr>
                <w:sz w:val="21"/>
                <w:szCs w:val="21"/>
                <w:highlight w:val="none"/>
              </w:rPr>
            </w:pPr>
            <w:r>
              <w:rPr>
                <w:sz w:val="21"/>
                <w:szCs w:val="21"/>
                <w:highlight w:val="none"/>
              </w:rPr>
              <w:t>排入大气</w:t>
            </w:r>
          </w:p>
        </w:tc>
      </w:tr>
    </w:tbl>
    <w:p w14:paraId="7E3F0444">
      <w:pPr>
        <w:pStyle w:val="12"/>
        <w:rPr>
          <w:rFonts w:ascii="Times New Roman"/>
          <w:highlight w:val="none"/>
        </w:rPr>
      </w:pPr>
    </w:p>
    <w:p w14:paraId="1CB280D6">
      <w:pPr>
        <w:ind w:firstLine="420"/>
        <w:jc w:val="center"/>
        <w:rPr>
          <w:szCs w:val="21"/>
          <w:highlight w:val="none"/>
        </w:rPr>
      </w:pPr>
      <w:r>
        <w:rPr>
          <w:b/>
          <w:bCs/>
          <w:szCs w:val="21"/>
          <w:highlight w:val="none"/>
        </w:rPr>
        <w:t>表2-1</w:t>
      </w:r>
      <w:r>
        <w:rPr>
          <w:rFonts w:hint="eastAsia"/>
          <w:b/>
          <w:bCs/>
          <w:szCs w:val="21"/>
          <w:highlight w:val="none"/>
          <w:lang w:val="en-US" w:eastAsia="zh-CN"/>
        </w:rPr>
        <w:t>3</w:t>
      </w:r>
      <w:r>
        <w:rPr>
          <w:b/>
          <w:bCs/>
          <w:szCs w:val="21"/>
          <w:highlight w:val="none"/>
        </w:rPr>
        <w:t>（2）</w:t>
      </w:r>
      <w:r>
        <w:rPr>
          <w:rFonts w:hint="eastAsia"/>
          <w:b/>
          <w:bCs/>
          <w:szCs w:val="21"/>
          <w:highlight w:val="none"/>
          <w:lang w:eastAsia="zh-CN"/>
        </w:rPr>
        <w:t>：</w:t>
      </w:r>
      <w:r>
        <w:rPr>
          <w:b/>
          <w:bCs/>
          <w:szCs w:val="21"/>
          <w:highlight w:val="none"/>
        </w:rPr>
        <w:t>现有项目废气污染物排放达标分析一览表</w:t>
      </w:r>
    </w:p>
    <w:tbl>
      <w:tblPr>
        <w:tblStyle w:val="4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542"/>
        <w:gridCol w:w="796"/>
        <w:gridCol w:w="506"/>
        <w:gridCol w:w="847"/>
        <w:gridCol w:w="1155"/>
        <w:gridCol w:w="775"/>
        <w:gridCol w:w="1117"/>
        <w:gridCol w:w="426"/>
        <w:gridCol w:w="584"/>
        <w:gridCol w:w="800"/>
        <w:gridCol w:w="775"/>
        <w:gridCol w:w="1207"/>
        <w:gridCol w:w="747"/>
        <w:gridCol w:w="3361"/>
      </w:tblGrid>
      <w:tr w14:paraId="7BE45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restart"/>
            <w:noWrap w:val="0"/>
            <w:vAlign w:val="center"/>
          </w:tcPr>
          <w:p w14:paraId="745DD82E">
            <w:pPr>
              <w:pStyle w:val="12"/>
              <w:ind w:firstLine="0" w:firstLineChars="0"/>
              <w:jc w:val="center"/>
              <w:rPr>
                <w:rFonts w:ascii="Times New Roman"/>
                <w:sz w:val="21"/>
                <w:szCs w:val="21"/>
                <w:highlight w:val="none"/>
              </w:rPr>
            </w:pPr>
            <w:r>
              <w:rPr>
                <w:rFonts w:ascii="Times New Roman"/>
                <w:kern w:val="2"/>
                <w:sz w:val="21"/>
                <w:szCs w:val="21"/>
                <w:highlight w:val="none"/>
              </w:rPr>
              <w:t>装置名称</w:t>
            </w:r>
          </w:p>
        </w:tc>
        <w:tc>
          <w:tcPr>
            <w:tcW w:w="454" w:type="pct"/>
            <w:gridSpan w:val="2"/>
            <w:vMerge w:val="restart"/>
            <w:noWrap w:val="0"/>
            <w:vAlign w:val="center"/>
          </w:tcPr>
          <w:p w14:paraId="63C6821F">
            <w:pPr>
              <w:pStyle w:val="12"/>
              <w:ind w:firstLine="0" w:firstLineChars="0"/>
              <w:jc w:val="center"/>
              <w:rPr>
                <w:rFonts w:ascii="Times New Roman"/>
                <w:kern w:val="2"/>
                <w:sz w:val="21"/>
                <w:szCs w:val="21"/>
                <w:highlight w:val="none"/>
              </w:rPr>
            </w:pPr>
            <w:r>
              <w:rPr>
                <w:rFonts w:ascii="Times New Roman"/>
                <w:kern w:val="2"/>
                <w:sz w:val="21"/>
                <w:szCs w:val="21"/>
                <w:highlight w:val="none"/>
              </w:rPr>
              <w:t>污染源</w:t>
            </w:r>
          </w:p>
        </w:tc>
        <w:tc>
          <w:tcPr>
            <w:tcW w:w="294" w:type="pct"/>
            <w:vMerge w:val="restart"/>
            <w:noWrap w:val="0"/>
            <w:vAlign w:val="center"/>
          </w:tcPr>
          <w:p w14:paraId="48FE6FE8">
            <w:pPr>
              <w:jc w:val="center"/>
              <w:rPr>
                <w:sz w:val="21"/>
                <w:szCs w:val="21"/>
                <w:highlight w:val="none"/>
              </w:rPr>
            </w:pPr>
            <w:r>
              <w:rPr>
                <w:sz w:val="21"/>
                <w:szCs w:val="21"/>
                <w:highlight w:val="none"/>
              </w:rPr>
              <w:t>主要污染物名称</w:t>
            </w:r>
          </w:p>
        </w:tc>
        <w:tc>
          <w:tcPr>
            <w:tcW w:w="1038" w:type="pct"/>
            <w:gridSpan w:val="3"/>
            <w:noWrap w:val="0"/>
            <w:vAlign w:val="center"/>
          </w:tcPr>
          <w:p w14:paraId="3B37781C">
            <w:pPr>
              <w:pStyle w:val="12"/>
              <w:ind w:firstLine="0" w:firstLineChars="0"/>
              <w:jc w:val="center"/>
              <w:rPr>
                <w:rFonts w:ascii="Times New Roman"/>
                <w:sz w:val="21"/>
                <w:szCs w:val="21"/>
                <w:highlight w:val="none"/>
              </w:rPr>
            </w:pPr>
            <w:r>
              <w:rPr>
                <w:rFonts w:ascii="Times New Roman"/>
                <w:kern w:val="2"/>
                <w:sz w:val="21"/>
                <w:szCs w:val="21"/>
                <w:highlight w:val="none"/>
              </w:rPr>
              <w:t>主要污染物排放</w:t>
            </w:r>
          </w:p>
        </w:tc>
        <w:tc>
          <w:tcPr>
            <w:tcW w:w="621" w:type="pct"/>
            <w:gridSpan w:val="3"/>
            <w:noWrap w:val="0"/>
            <w:vAlign w:val="center"/>
          </w:tcPr>
          <w:p w14:paraId="05DEA9EF">
            <w:pPr>
              <w:pStyle w:val="12"/>
              <w:ind w:firstLine="0" w:firstLineChars="0"/>
              <w:jc w:val="center"/>
              <w:rPr>
                <w:rFonts w:ascii="Times New Roman"/>
                <w:sz w:val="21"/>
                <w:szCs w:val="21"/>
                <w:highlight w:val="none"/>
              </w:rPr>
            </w:pPr>
            <w:r>
              <w:rPr>
                <w:rFonts w:ascii="Times New Roman"/>
                <w:kern w:val="2"/>
                <w:sz w:val="21"/>
                <w:szCs w:val="21"/>
                <w:highlight w:val="none"/>
              </w:rPr>
              <w:t>排气筒</w:t>
            </w:r>
          </w:p>
        </w:tc>
        <w:tc>
          <w:tcPr>
            <w:tcW w:w="2102" w:type="pct"/>
            <w:gridSpan w:val="4"/>
            <w:noWrap w:val="0"/>
            <w:vAlign w:val="center"/>
          </w:tcPr>
          <w:p w14:paraId="35F474E7">
            <w:pPr>
              <w:pStyle w:val="12"/>
              <w:ind w:firstLine="0" w:firstLineChars="0"/>
              <w:jc w:val="center"/>
              <w:rPr>
                <w:rFonts w:ascii="Times New Roman"/>
                <w:sz w:val="21"/>
                <w:szCs w:val="21"/>
                <w:highlight w:val="none"/>
              </w:rPr>
            </w:pPr>
            <w:r>
              <w:rPr>
                <w:rFonts w:ascii="Times New Roman"/>
                <w:kern w:val="2"/>
                <w:sz w:val="21"/>
                <w:szCs w:val="21"/>
                <w:highlight w:val="none"/>
              </w:rPr>
              <w:t>现行标准达标情况</w:t>
            </w:r>
          </w:p>
        </w:tc>
      </w:tr>
      <w:tr w14:paraId="7B1F0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09F02709">
            <w:pPr>
              <w:pStyle w:val="12"/>
              <w:ind w:firstLine="0" w:firstLineChars="0"/>
              <w:jc w:val="center"/>
              <w:rPr>
                <w:rFonts w:ascii="Times New Roman"/>
                <w:sz w:val="21"/>
                <w:szCs w:val="21"/>
                <w:highlight w:val="none"/>
              </w:rPr>
            </w:pPr>
          </w:p>
        </w:tc>
        <w:tc>
          <w:tcPr>
            <w:tcW w:w="454" w:type="pct"/>
            <w:gridSpan w:val="2"/>
            <w:vMerge w:val="continue"/>
            <w:noWrap w:val="0"/>
            <w:vAlign w:val="center"/>
          </w:tcPr>
          <w:p w14:paraId="5E839A33">
            <w:pPr>
              <w:pStyle w:val="12"/>
              <w:ind w:firstLine="0" w:firstLineChars="0"/>
              <w:jc w:val="center"/>
              <w:rPr>
                <w:rFonts w:ascii="Times New Roman"/>
                <w:sz w:val="21"/>
                <w:szCs w:val="21"/>
                <w:highlight w:val="none"/>
              </w:rPr>
            </w:pPr>
          </w:p>
        </w:tc>
        <w:tc>
          <w:tcPr>
            <w:tcW w:w="294" w:type="pct"/>
            <w:vMerge w:val="continue"/>
            <w:noWrap w:val="0"/>
            <w:vAlign w:val="center"/>
          </w:tcPr>
          <w:p w14:paraId="2878810B">
            <w:pPr>
              <w:pStyle w:val="12"/>
              <w:ind w:firstLine="0" w:firstLineChars="0"/>
              <w:jc w:val="center"/>
              <w:rPr>
                <w:rFonts w:ascii="Times New Roman"/>
                <w:sz w:val="21"/>
                <w:szCs w:val="21"/>
                <w:highlight w:val="none"/>
              </w:rPr>
            </w:pPr>
          </w:p>
        </w:tc>
        <w:tc>
          <w:tcPr>
            <w:tcW w:w="401" w:type="pct"/>
            <w:vMerge w:val="restart"/>
            <w:noWrap w:val="0"/>
            <w:vAlign w:val="center"/>
          </w:tcPr>
          <w:p w14:paraId="0F210832">
            <w:pPr>
              <w:jc w:val="center"/>
              <w:rPr>
                <w:sz w:val="21"/>
                <w:szCs w:val="21"/>
                <w:highlight w:val="none"/>
              </w:rPr>
            </w:pPr>
            <w:r>
              <w:rPr>
                <w:sz w:val="21"/>
                <w:szCs w:val="21"/>
                <w:highlight w:val="none"/>
              </w:rPr>
              <w:t>烟气量</w:t>
            </w:r>
          </w:p>
          <w:p w14:paraId="3C55BE1D">
            <w:pPr>
              <w:pStyle w:val="12"/>
              <w:ind w:firstLine="0" w:firstLineChars="0"/>
              <w:jc w:val="center"/>
              <w:rPr>
                <w:rFonts w:ascii="Times New Roman"/>
                <w:sz w:val="21"/>
                <w:szCs w:val="21"/>
                <w:highlight w:val="none"/>
              </w:rPr>
            </w:pPr>
            <w:r>
              <w:rPr>
                <w:rFonts w:ascii="Times New Roman"/>
                <w:kern w:val="2"/>
                <w:sz w:val="21"/>
                <w:szCs w:val="21"/>
                <w:highlight w:val="none"/>
              </w:rPr>
              <w:t>m</w:t>
            </w:r>
            <w:r>
              <w:rPr>
                <w:rFonts w:ascii="Times New Roman"/>
                <w:kern w:val="2"/>
                <w:sz w:val="21"/>
                <w:szCs w:val="21"/>
                <w:highlight w:val="none"/>
                <w:vertAlign w:val="superscript"/>
              </w:rPr>
              <w:t>3</w:t>
            </w:r>
            <w:r>
              <w:rPr>
                <w:rFonts w:ascii="Times New Roman"/>
                <w:kern w:val="2"/>
                <w:sz w:val="21"/>
                <w:szCs w:val="21"/>
                <w:highlight w:val="none"/>
              </w:rPr>
              <w:t>/h</w:t>
            </w:r>
          </w:p>
        </w:tc>
        <w:tc>
          <w:tcPr>
            <w:tcW w:w="262" w:type="pct"/>
            <w:vMerge w:val="restart"/>
            <w:noWrap w:val="0"/>
            <w:vAlign w:val="center"/>
          </w:tcPr>
          <w:p w14:paraId="5A55E3C9">
            <w:pPr>
              <w:jc w:val="center"/>
              <w:rPr>
                <w:sz w:val="21"/>
                <w:szCs w:val="21"/>
                <w:highlight w:val="none"/>
              </w:rPr>
            </w:pPr>
            <w:r>
              <w:rPr>
                <w:sz w:val="21"/>
                <w:szCs w:val="21"/>
                <w:highlight w:val="none"/>
              </w:rPr>
              <w:t>浓度</w:t>
            </w:r>
          </w:p>
          <w:p w14:paraId="4E44E88B">
            <w:pPr>
              <w:pStyle w:val="12"/>
              <w:ind w:firstLine="0" w:firstLineChars="0"/>
              <w:jc w:val="center"/>
              <w:rPr>
                <w:rFonts w:ascii="Times New Roman"/>
                <w:sz w:val="21"/>
                <w:szCs w:val="21"/>
                <w:highlight w:val="none"/>
              </w:rPr>
            </w:pPr>
            <w:r>
              <w:rPr>
                <w:rFonts w:ascii="Times New Roman"/>
                <w:kern w:val="2"/>
                <w:sz w:val="21"/>
                <w:szCs w:val="21"/>
                <w:highlight w:val="none"/>
              </w:rPr>
              <w:t>mg/m</w:t>
            </w:r>
            <w:r>
              <w:rPr>
                <w:rFonts w:ascii="Times New Roman"/>
                <w:kern w:val="2"/>
                <w:sz w:val="21"/>
                <w:szCs w:val="21"/>
                <w:highlight w:val="none"/>
                <w:vertAlign w:val="superscript"/>
              </w:rPr>
              <w:t>3</w:t>
            </w:r>
          </w:p>
        </w:tc>
        <w:tc>
          <w:tcPr>
            <w:tcW w:w="373" w:type="pct"/>
            <w:vMerge w:val="restart"/>
            <w:noWrap w:val="0"/>
            <w:vAlign w:val="center"/>
          </w:tcPr>
          <w:p w14:paraId="343F007F">
            <w:pPr>
              <w:jc w:val="center"/>
              <w:rPr>
                <w:sz w:val="21"/>
                <w:szCs w:val="21"/>
                <w:highlight w:val="none"/>
              </w:rPr>
            </w:pPr>
            <w:r>
              <w:rPr>
                <w:sz w:val="21"/>
                <w:szCs w:val="21"/>
                <w:highlight w:val="none"/>
              </w:rPr>
              <w:t>速率</w:t>
            </w:r>
          </w:p>
          <w:p w14:paraId="685F9183">
            <w:pPr>
              <w:pStyle w:val="12"/>
              <w:ind w:firstLine="0" w:firstLineChars="0"/>
              <w:jc w:val="center"/>
              <w:rPr>
                <w:rFonts w:ascii="Times New Roman"/>
                <w:sz w:val="21"/>
                <w:szCs w:val="21"/>
                <w:highlight w:val="none"/>
              </w:rPr>
            </w:pPr>
            <w:r>
              <w:rPr>
                <w:rFonts w:ascii="Times New Roman"/>
                <w:kern w:val="2"/>
                <w:sz w:val="21"/>
                <w:szCs w:val="21"/>
                <w:highlight w:val="none"/>
              </w:rPr>
              <w:t>kg/h</w:t>
            </w:r>
          </w:p>
        </w:tc>
        <w:tc>
          <w:tcPr>
            <w:tcW w:w="149" w:type="pct"/>
            <w:vMerge w:val="restart"/>
            <w:noWrap w:val="0"/>
            <w:vAlign w:val="center"/>
          </w:tcPr>
          <w:p w14:paraId="647A73FC">
            <w:pPr>
              <w:pStyle w:val="12"/>
              <w:ind w:firstLine="0" w:firstLineChars="0"/>
              <w:jc w:val="center"/>
              <w:rPr>
                <w:rFonts w:ascii="Times New Roman"/>
                <w:sz w:val="21"/>
                <w:szCs w:val="21"/>
                <w:highlight w:val="none"/>
              </w:rPr>
            </w:pPr>
            <w:r>
              <w:rPr>
                <w:rFonts w:ascii="Times New Roman"/>
                <w:kern w:val="2"/>
                <w:sz w:val="21"/>
                <w:szCs w:val="21"/>
                <w:highlight w:val="none"/>
              </w:rPr>
              <w:t>个数</w:t>
            </w:r>
          </w:p>
        </w:tc>
        <w:tc>
          <w:tcPr>
            <w:tcW w:w="200" w:type="pct"/>
            <w:vMerge w:val="restart"/>
            <w:noWrap w:val="0"/>
            <w:vAlign w:val="center"/>
          </w:tcPr>
          <w:p w14:paraId="5624DE97">
            <w:pPr>
              <w:jc w:val="center"/>
              <w:rPr>
                <w:sz w:val="21"/>
                <w:szCs w:val="21"/>
                <w:highlight w:val="none"/>
              </w:rPr>
            </w:pPr>
            <w:r>
              <w:rPr>
                <w:sz w:val="21"/>
                <w:szCs w:val="21"/>
                <w:highlight w:val="none"/>
              </w:rPr>
              <w:t>高度</w:t>
            </w:r>
          </w:p>
          <w:p w14:paraId="5A8AC67D">
            <w:pPr>
              <w:pStyle w:val="12"/>
              <w:ind w:firstLine="0" w:firstLineChars="0"/>
              <w:jc w:val="center"/>
              <w:rPr>
                <w:rFonts w:ascii="Times New Roman"/>
                <w:sz w:val="21"/>
                <w:szCs w:val="21"/>
                <w:highlight w:val="none"/>
              </w:rPr>
            </w:pPr>
            <w:r>
              <w:rPr>
                <w:rFonts w:ascii="Times New Roman"/>
                <w:kern w:val="2"/>
                <w:sz w:val="21"/>
                <w:szCs w:val="21"/>
                <w:highlight w:val="none"/>
              </w:rPr>
              <w:t>m</w:t>
            </w:r>
          </w:p>
        </w:tc>
        <w:tc>
          <w:tcPr>
            <w:tcW w:w="271" w:type="pct"/>
            <w:vMerge w:val="restart"/>
            <w:noWrap w:val="0"/>
            <w:vAlign w:val="center"/>
          </w:tcPr>
          <w:p w14:paraId="0A514656">
            <w:pPr>
              <w:jc w:val="center"/>
              <w:rPr>
                <w:sz w:val="21"/>
                <w:szCs w:val="21"/>
                <w:highlight w:val="none"/>
              </w:rPr>
            </w:pPr>
            <w:r>
              <w:rPr>
                <w:sz w:val="21"/>
                <w:szCs w:val="21"/>
                <w:highlight w:val="none"/>
              </w:rPr>
              <w:t>直径</w:t>
            </w:r>
          </w:p>
          <w:p w14:paraId="34D33435">
            <w:pPr>
              <w:pStyle w:val="12"/>
              <w:ind w:firstLine="0" w:firstLineChars="0"/>
              <w:jc w:val="center"/>
              <w:rPr>
                <w:rFonts w:ascii="Times New Roman"/>
                <w:sz w:val="21"/>
                <w:szCs w:val="21"/>
                <w:highlight w:val="none"/>
              </w:rPr>
            </w:pPr>
            <w:r>
              <w:rPr>
                <w:rFonts w:ascii="Times New Roman"/>
                <w:kern w:val="2"/>
                <w:sz w:val="21"/>
                <w:szCs w:val="21"/>
                <w:highlight w:val="none"/>
              </w:rPr>
              <w:t>m</w:t>
            </w:r>
          </w:p>
        </w:tc>
        <w:tc>
          <w:tcPr>
            <w:tcW w:w="681" w:type="pct"/>
            <w:gridSpan w:val="2"/>
            <w:noWrap w:val="0"/>
            <w:vAlign w:val="center"/>
          </w:tcPr>
          <w:p w14:paraId="32F25AA8">
            <w:pPr>
              <w:pStyle w:val="12"/>
              <w:ind w:firstLine="0" w:firstLineChars="0"/>
              <w:jc w:val="center"/>
              <w:rPr>
                <w:rFonts w:ascii="Times New Roman"/>
                <w:sz w:val="21"/>
                <w:szCs w:val="21"/>
                <w:highlight w:val="none"/>
              </w:rPr>
            </w:pPr>
            <w:r>
              <w:rPr>
                <w:rFonts w:ascii="Times New Roman"/>
                <w:kern w:val="2"/>
                <w:sz w:val="21"/>
                <w:szCs w:val="21"/>
                <w:highlight w:val="none"/>
              </w:rPr>
              <w:t>排放标准</w:t>
            </w:r>
          </w:p>
        </w:tc>
        <w:tc>
          <w:tcPr>
            <w:tcW w:w="260" w:type="pct"/>
            <w:vMerge w:val="restart"/>
            <w:noWrap w:val="0"/>
            <w:vAlign w:val="center"/>
          </w:tcPr>
          <w:p w14:paraId="7F207392">
            <w:pPr>
              <w:pStyle w:val="12"/>
              <w:ind w:firstLine="0" w:firstLineChars="0"/>
              <w:jc w:val="center"/>
              <w:rPr>
                <w:rFonts w:ascii="Times New Roman"/>
                <w:sz w:val="21"/>
                <w:szCs w:val="21"/>
                <w:highlight w:val="none"/>
              </w:rPr>
            </w:pPr>
            <w:r>
              <w:rPr>
                <w:rFonts w:ascii="Times New Roman"/>
                <w:kern w:val="2"/>
                <w:sz w:val="21"/>
                <w:szCs w:val="21"/>
                <w:highlight w:val="none"/>
              </w:rPr>
              <w:t>达标情况</w:t>
            </w:r>
          </w:p>
        </w:tc>
        <w:tc>
          <w:tcPr>
            <w:tcW w:w="1160" w:type="pct"/>
            <w:vMerge w:val="restart"/>
            <w:noWrap w:val="0"/>
            <w:vAlign w:val="center"/>
          </w:tcPr>
          <w:p w14:paraId="6236D656">
            <w:pPr>
              <w:pStyle w:val="12"/>
              <w:ind w:firstLine="0" w:firstLineChars="0"/>
              <w:jc w:val="center"/>
              <w:rPr>
                <w:rFonts w:ascii="Times New Roman"/>
                <w:sz w:val="21"/>
                <w:szCs w:val="21"/>
                <w:highlight w:val="none"/>
              </w:rPr>
            </w:pPr>
            <w:r>
              <w:rPr>
                <w:rFonts w:ascii="Times New Roman"/>
                <w:kern w:val="2"/>
                <w:sz w:val="21"/>
                <w:szCs w:val="21"/>
                <w:highlight w:val="none"/>
              </w:rPr>
              <w:t>执行标准</w:t>
            </w:r>
          </w:p>
        </w:tc>
      </w:tr>
      <w:tr w14:paraId="3A00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3CDB594F">
            <w:pPr>
              <w:pStyle w:val="12"/>
              <w:ind w:firstLine="0" w:firstLineChars="0"/>
              <w:jc w:val="center"/>
              <w:rPr>
                <w:rFonts w:ascii="Times New Roman"/>
                <w:sz w:val="21"/>
                <w:szCs w:val="21"/>
                <w:highlight w:val="none"/>
              </w:rPr>
            </w:pPr>
          </w:p>
        </w:tc>
        <w:tc>
          <w:tcPr>
            <w:tcW w:w="454" w:type="pct"/>
            <w:gridSpan w:val="2"/>
            <w:vMerge w:val="continue"/>
            <w:noWrap w:val="0"/>
            <w:vAlign w:val="center"/>
          </w:tcPr>
          <w:p w14:paraId="2C7F53B3">
            <w:pPr>
              <w:pStyle w:val="12"/>
              <w:ind w:firstLine="0" w:firstLineChars="0"/>
              <w:jc w:val="center"/>
              <w:rPr>
                <w:rFonts w:ascii="Times New Roman"/>
                <w:sz w:val="21"/>
                <w:szCs w:val="21"/>
                <w:highlight w:val="none"/>
              </w:rPr>
            </w:pPr>
          </w:p>
        </w:tc>
        <w:tc>
          <w:tcPr>
            <w:tcW w:w="294" w:type="pct"/>
            <w:vMerge w:val="continue"/>
            <w:noWrap w:val="0"/>
            <w:vAlign w:val="center"/>
          </w:tcPr>
          <w:p w14:paraId="5F9D0CBA">
            <w:pPr>
              <w:pStyle w:val="12"/>
              <w:ind w:firstLine="0" w:firstLineChars="0"/>
              <w:jc w:val="center"/>
              <w:rPr>
                <w:rFonts w:ascii="Times New Roman"/>
                <w:sz w:val="21"/>
                <w:szCs w:val="21"/>
                <w:highlight w:val="none"/>
              </w:rPr>
            </w:pPr>
          </w:p>
        </w:tc>
        <w:tc>
          <w:tcPr>
            <w:tcW w:w="401" w:type="pct"/>
            <w:vMerge w:val="continue"/>
            <w:noWrap w:val="0"/>
            <w:vAlign w:val="center"/>
          </w:tcPr>
          <w:p w14:paraId="1E5E617E">
            <w:pPr>
              <w:pStyle w:val="12"/>
              <w:ind w:firstLine="0" w:firstLineChars="0"/>
              <w:jc w:val="center"/>
              <w:rPr>
                <w:rFonts w:ascii="Times New Roman"/>
                <w:sz w:val="21"/>
                <w:szCs w:val="21"/>
                <w:highlight w:val="none"/>
              </w:rPr>
            </w:pPr>
          </w:p>
        </w:tc>
        <w:tc>
          <w:tcPr>
            <w:tcW w:w="262" w:type="pct"/>
            <w:vMerge w:val="continue"/>
            <w:noWrap w:val="0"/>
            <w:vAlign w:val="center"/>
          </w:tcPr>
          <w:p w14:paraId="67EE61BC">
            <w:pPr>
              <w:pStyle w:val="12"/>
              <w:ind w:firstLine="0" w:firstLineChars="0"/>
              <w:jc w:val="center"/>
              <w:rPr>
                <w:rFonts w:ascii="Times New Roman"/>
                <w:sz w:val="21"/>
                <w:szCs w:val="21"/>
                <w:highlight w:val="none"/>
              </w:rPr>
            </w:pPr>
          </w:p>
        </w:tc>
        <w:tc>
          <w:tcPr>
            <w:tcW w:w="373" w:type="pct"/>
            <w:vMerge w:val="continue"/>
            <w:noWrap w:val="0"/>
            <w:vAlign w:val="center"/>
          </w:tcPr>
          <w:p w14:paraId="04CA4870">
            <w:pPr>
              <w:pStyle w:val="12"/>
              <w:ind w:firstLine="0" w:firstLineChars="0"/>
              <w:jc w:val="center"/>
              <w:rPr>
                <w:rFonts w:ascii="Times New Roman"/>
                <w:sz w:val="21"/>
                <w:szCs w:val="21"/>
                <w:highlight w:val="none"/>
              </w:rPr>
            </w:pPr>
          </w:p>
        </w:tc>
        <w:tc>
          <w:tcPr>
            <w:tcW w:w="149" w:type="pct"/>
            <w:vMerge w:val="continue"/>
            <w:noWrap w:val="0"/>
            <w:vAlign w:val="center"/>
          </w:tcPr>
          <w:p w14:paraId="67F53331">
            <w:pPr>
              <w:pStyle w:val="12"/>
              <w:ind w:firstLine="0" w:firstLineChars="0"/>
              <w:jc w:val="center"/>
              <w:rPr>
                <w:rFonts w:ascii="Times New Roman"/>
                <w:sz w:val="21"/>
                <w:szCs w:val="21"/>
                <w:highlight w:val="none"/>
              </w:rPr>
            </w:pPr>
          </w:p>
        </w:tc>
        <w:tc>
          <w:tcPr>
            <w:tcW w:w="200" w:type="pct"/>
            <w:vMerge w:val="continue"/>
            <w:noWrap w:val="0"/>
            <w:vAlign w:val="center"/>
          </w:tcPr>
          <w:p w14:paraId="680919C5">
            <w:pPr>
              <w:pStyle w:val="12"/>
              <w:ind w:firstLine="0" w:firstLineChars="0"/>
              <w:jc w:val="center"/>
              <w:rPr>
                <w:rFonts w:ascii="Times New Roman"/>
                <w:sz w:val="21"/>
                <w:szCs w:val="21"/>
                <w:highlight w:val="none"/>
              </w:rPr>
            </w:pPr>
          </w:p>
        </w:tc>
        <w:tc>
          <w:tcPr>
            <w:tcW w:w="271" w:type="pct"/>
            <w:vMerge w:val="continue"/>
            <w:noWrap w:val="0"/>
            <w:vAlign w:val="center"/>
          </w:tcPr>
          <w:p w14:paraId="0CC4EF85">
            <w:pPr>
              <w:pStyle w:val="12"/>
              <w:ind w:firstLine="0" w:firstLineChars="0"/>
              <w:jc w:val="center"/>
              <w:rPr>
                <w:rFonts w:ascii="Times New Roman"/>
                <w:sz w:val="21"/>
                <w:szCs w:val="21"/>
                <w:highlight w:val="none"/>
              </w:rPr>
            </w:pPr>
          </w:p>
        </w:tc>
        <w:tc>
          <w:tcPr>
            <w:tcW w:w="262" w:type="pct"/>
            <w:noWrap w:val="0"/>
            <w:vAlign w:val="center"/>
          </w:tcPr>
          <w:p w14:paraId="59911D01">
            <w:pPr>
              <w:jc w:val="center"/>
              <w:rPr>
                <w:sz w:val="21"/>
                <w:szCs w:val="21"/>
                <w:highlight w:val="none"/>
              </w:rPr>
            </w:pPr>
            <w:r>
              <w:rPr>
                <w:sz w:val="21"/>
                <w:szCs w:val="21"/>
                <w:highlight w:val="none"/>
              </w:rPr>
              <w:t>浓度</w:t>
            </w:r>
          </w:p>
          <w:p w14:paraId="6B59A728">
            <w:pPr>
              <w:pStyle w:val="12"/>
              <w:ind w:firstLine="0" w:firstLineChars="0"/>
              <w:jc w:val="center"/>
              <w:rPr>
                <w:rFonts w:ascii="Times New Roman"/>
                <w:sz w:val="21"/>
                <w:szCs w:val="21"/>
                <w:highlight w:val="none"/>
              </w:rPr>
            </w:pPr>
            <w:r>
              <w:rPr>
                <w:rFonts w:ascii="Times New Roman"/>
                <w:kern w:val="2"/>
                <w:sz w:val="21"/>
                <w:szCs w:val="21"/>
                <w:highlight w:val="none"/>
              </w:rPr>
              <w:t>mg/m</w:t>
            </w:r>
            <w:r>
              <w:rPr>
                <w:rFonts w:ascii="Times New Roman"/>
                <w:kern w:val="2"/>
                <w:sz w:val="21"/>
                <w:szCs w:val="21"/>
                <w:highlight w:val="none"/>
                <w:vertAlign w:val="superscript"/>
              </w:rPr>
              <w:t>3</w:t>
            </w:r>
          </w:p>
        </w:tc>
        <w:tc>
          <w:tcPr>
            <w:tcW w:w="418" w:type="pct"/>
            <w:noWrap w:val="0"/>
            <w:vAlign w:val="center"/>
          </w:tcPr>
          <w:p w14:paraId="61C93F39">
            <w:pPr>
              <w:jc w:val="center"/>
              <w:rPr>
                <w:sz w:val="21"/>
                <w:szCs w:val="21"/>
                <w:highlight w:val="none"/>
              </w:rPr>
            </w:pPr>
            <w:r>
              <w:rPr>
                <w:sz w:val="21"/>
                <w:szCs w:val="21"/>
                <w:highlight w:val="none"/>
              </w:rPr>
              <w:t>速率</w:t>
            </w:r>
          </w:p>
          <w:p w14:paraId="661D891F">
            <w:pPr>
              <w:pStyle w:val="12"/>
              <w:ind w:firstLine="0" w:firstLineChars="0"/>
              <w:jc w:val="center"/>
              <w:rPr>
                <w:rFonts w:ascii="Times New Roman"/>
                <w:sz w:val="21"/>
                <w:szCs w:val="21"/>
                <w:highlight w:val="none"/>
              </w:rPr>
            </w:pPr>
            <w:r>
              <w:rPr>
                <w:rFonts w:ascii="Times New Roman"/>
                <w:kern w:val="2"/>
                <w:sz w:val="21"/>
                <w:szCs w:val="21"/>
                <w:highlight w:val="none"/>
              </w:rPr>
              <w:t>kg/h</w:t>
            </w:r>
          </w:p>
        </w:tc>
        <w:tc>
          <w:tcPr>
            <w:tcW w:w="260" w:type="pct"/>
            <w:vMerge w:val="continue"/>
            <w:noWrap w:val="0"/>
            <w:vAlign w:val="center"/>
          </w:tcPr>
          <w:p w14:paraId="1E3BF2D1">
            <w:pPr>
              <w:pStyle w:val="12"/>
              <w:ind w:firstLine="0" w:firstLineChars="0"/>
              <w:jc w:val="center"/>
              <w:rPr>
                <w:rFonts w:ascii="Times New Roman"/>
                <w:sz w:val="21"/>
                <w:szCs w:val="21"/>
                <w:highlight w:val="none"/>
              </w:rPr>
            </w:pPr>
          </w:p>
        </w:tc>
        <w:tc>
          <w:tcPr>
            <w:tcW w:w="1160" w:type="pct"/>
            <w:vMerge w:val="continue"/>
            <w:noWrap w:val="0"/>
            <w:vAlign w:val="center"/>
          </w:tcPr>
          <w:p w14:paraId="144627EE">
            <w:pPr>
              <w:pStyle w:val="12"/>
              <w:ind w:firstLine="0" w:firstLineChars="0"/>
              <w:jc w:val="center"/>
              <w:rPr>
                <w:rFonts w:ascii="Times New Roman"/>
                <w:sz w:val="21"/>
                <w:szCs w:val="21"/>
                <w:highlight w:val="none"/>
              </w:rPr>
            </w:pPr>
          </w:p>
        </w:tc>
      </w:tr>
      <w:tr w14:paraId="5416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restart"/>
            <w:noWrap w:val="0"/>
            <w:vAlign w:val="center"/>
          </w:tcPr>
          <w:p w14:paraId="169904D3">
            <w:pPr>
              <w:widowControl/>
              <w:snapToGrid w:val="0"/>
              <w:jc w:val="center"/>
              <w:rPr>
                <w:sz w:val="21"/>
                <w:szCs w:val="21"/>
                <w:highlight w:val="none"/>
              </w:rPr>
            </w:pPr>
            <w:r>
              <w:rPr>
                <w:sz w:val="21"/>
                <w:szCs w:val="21"/>
                <w:highlight w:val="none"/>
              </w:rPr>
              <w:t>煤气化</w:t>
            </w:r>
          </w:p>
          <w:p w14:paraId="5959F9C7">
            <w:pPr>
              <w:pStyle w:val="12"/>
              <w:ind w:firstLine="0" w:firstLineChars="0"/>
              <w:jc w:val="center"/>
              <w:rPr>
                <w:rFonts w:ascii="Times New Roman"/>
                <w:sz w:val="21"/>
                <w:szCs w:val="21"/>
                <w:highlight w:val="none"/>
              </w:rPr>
            </w:pPr>
            <w:r>
              <w:rPr>
                <w:rFonts w:ascii="Times New Roman"/>
                <w:kern w:val="2"/>
                <w:sz w:val="21"/>
                <w:szCs w:val="21"/>
                <w:highlight w:val="none"/>
              </w:rPr>
              <w:t>装置</w:t>
            </w:r>
          </w:p>
        </w:tc>
        <w:tc>
          <w:tcPr>
            <w:tcW w:w="149" w:type="pct"/>
            <w:vMerge w:val="restart"/>
            <w:noWrap w:val="0"/>
            <w:vAlign w:val="center"/>
          </w:tcPr>
          <w:p w14:paraId="3F9C4234">
            <w:pPr>
              <w:pStyle w:val="12"/>
              <w:ind w:firstLine="0" w:firstLineChars="0"/>
              <w:jc w:val="center"/>
              <w:rPr>
                <w:rFonts w:ascii="Times New Roman"/>
                <w:sz w:val="21"/>
                <w:szCs w:val="21"/>
                <w:highlight w:val="none"/>
              </w:rPr>
            </w:pPr>
            <w:r>
              <w:rPr>
                <w:rFonts w:ascii="Times New Roman"/>
                <w:kern w:val="2"/>
                <w:sz w:val="21"/>
                <w:szCs w:val="21"/>
                <w:highlight w:val="none"/>
              </w:rPr>
              <w:t>干粉煤气化</w:t>
            </w:r>
          </w:p>
        </w:tc>
        <w:tc>
          <w:tcPr>
            <w:tcW w:w="190" w:type="pct"/>
            <w:vMerge w:val="restart"/>
            <w:noWrap w:val="0"/>
            <w:vAlign w:val="center"/>
          </w:tcPr>
          <w:p w14:paraId="307B750A">
            <w:pPr>
              <w:pStyle w:val="12"/>
              <w:ind w:firstLine="0" w:firstLineChars="0"/>
              <w:jc w:val="center"/>
              <w:rPr>
                <w:rFonts w:ascii="Times New Roman"/>
                <w:sz w:val="21"/>
                <w:szCs w:val="21"/>
                <w:highlight w:val="none"/>
              </w:rPr>
            </w:pPr>
            <w:r>
              <w:rPr>
                <w:rFonts w:ascii="Times New Roman"/>
                <w:kern w:val="2"/>
                <w:sz w:val="21"/>
                <w:szCs w:val="21"/>
                <w:highlight w:val="none"/>
              </w:rPr>
              <w:t>预干燥单元</w:t>
            </w:r>
          </w:p>
        </w:tc>
        <w:tc>
          <w:tcPr>
            <w:tcW w:w="277" w:type="pct"/>
            <w:noWrap w:val="0"/>
            <w:vAlign w:val="center"/>
          </w:tcPr>
          <w:p w14:paraId="6834E5DD">
            <w:pPr>
              <w:pStyle w:val="12"/>
              <w:ind w:firstLine="0" w:firstLineChars="0"/>
              <w:jc w:val="center"/>
              <w:rPr>
                <w:rFonts w:ascii="Times New Roman"/>
                <w:sz w:val="21"/>
                <w:szCs w:val="21"/>
                <w:highlight w:val="none"/>
              </w:rPr>
            </w:pPr>
            <w:r>
              <w:rPr>
                <w:rFonts w:ascii="Times New Roman"/>
                <w:kern w:val="2"/>
                <w:sz w:val="21"/>
                <w:szCs w:val="21"/>
                <w:highlight w:val="none"/>
              </w:rPr>
              <w:t>转运站废气</w:t>
            </w:r>
          </w:p>
        </w:tc>
        <w:tc>
          <w:tcPr>
            <w:tcW w:w="176" w:type="pct"/>
            <w:noWrap w:val="0"/>
            <w:vAlign w:val="center"/>
          </w:tcPr>
          <w:p w14:paraId="4D168EC6">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w:t>
            </w:r>
          </w:p>
        </w:tc>
        <w:tc>
          <w:tcPr>
            <w:tcW w:w="294" w:type="pct"/>
            <w:noWrap w:val="0"/>
            <w:vAlign w:val="center"/>
          </w:tcPr>
          <w:p w14:paraId="53ADC31F">
            <w:pPr>
              <w:pStyle w:val="12"/>
              <w:ind w:firstLine="0" w:firstLineChars="0"/>
              <w:jc w:val="center"/>
              <w:rPr>
                <w:rFonts w:ascii="Times New Roman"/>
                <w:sz w:val="21"/>
                <w:szCs w:val="21"/>
                <w:highlight w:val="none"/>
              </w:rPr>
            </w:pPr>
            <w:r>
              <w:rPr>
                <w:rFonts w:ascii="Times New Roman"/>
                <w:kern w:val="2"/>
                <w:sz w:val="21"/>
                <w:szCs w:val="21"/>
                <w:highlight w:val="none"/>
              </w:rPr>
              <w:t>颗粒物</w:t>
            </w:r>
          </w:p>
        </w:tc>
        <w:tc>
          <w:tcPr>
            <w:tcW w:w="401" w:type="pct"/>
            <w:noWrap w:val="0"/>
            <w:vAlign w:val="center"/>
          </w:tcPr>
          <w:p w14:paraId="4459F81C">
            <w:pPr>
              <w:pStyle w:val="12"/>
              <w:ind w:firstLine="0" w:firstLineChars="0"/>
              <w:jc w:val="center"/>
              <w:rPr>
                <w:rFonts w:ascii="Times New Roman"/>
                <w:sz w:val="21"/>
                <w:szCs w:val="21"/>
                <w:highlight w:val="none"/>
              </w:rPr>
            </w:pPr>
            <w:r>
              <w:rPr>
                <w:rFonts w:ascii="Times New Roman"/>
                <w:kern w:val="2"/>
                <w:sz w:val="21"/>
                <w:szCs w:val="21"/>
                <w:highlight w:val="none"/>
              </w:rPr>
              <w:t>3×8716</w:t>
            </w:r>
          </w:p>
        </w:tc>
        <w:tc>
          <w:tcPr>
            <w:tcW w:w="262" w:type="pct"/>
            <w:noWrap w:val="0"/>
            <w:vAlign w:val="center"/>
          </w:tcPr>
          <w:p w14:paraId="16D03BE8">
            <w:pPr>
              <w:pStyle w:val="12"/>
              <w:ind w:firstLine="0" w:firstLineChars="0"/>
              <w:jc w:val="center"/>
              <w:rPr>
                <w:rFonts w:ascii="Times New Roman"/>
                <w:sz w:val="21"/>
                <w:szCs w:val="21"/>
                <w:highlight w:val="none"/>
              </w:rPr>
            </w:pPr>
            <w:r>
              <w:rPr>
                <w:rFonts w:ascii="Times New Roman"/>
                <w:kern w:val="2"/>
                <w:sz w:val="21"/>
                <w:szCs w:val="21"/>
                <w:highlight w:val="none"/>
              </w:rPr>
              <w:t>44.3</w:t>
            </w:r>
          </w:p>
        </w:tc>
        <w:tc>
          <w:tcPr>
            <w:tcW w:w="373" w:type="pct"/>
            <w:noWrap w:val="0"/>
            <w:vAlign w:val="center"/>
          </w:tcPr>
          <w:p w14:paraId="40D8FBCF">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noWrap w:val="0"/>
            <w:vAlign w:val="center"/>
          </w:tcPr>
          <w:p w14:paraId="73B6F775">
            <w:pPr>
              <w:pStyle w:val="12"/>
              <w:ind w:firstLine="0" w:firstLineChars="0"/>
              <w:jc w:val="center"/>
              <w:rPr>
                <w:rFonts w:ascii="Times New Roman"/>
                <w:sz w:val="21"/>
                <w:szCs w:val="21"/>
                <w:highlight w:val="none"/>
              </w:rPr>
            </w:pPr>
            <w:r>
              <w:rPr>
                <w:rFonts w:ascii="Times New Roman"/>
                <w:kern w:val="2"/>
                <w:sz w:val="21"/>
                <w:szCs w:val="21"/>
                <w:highlight w:val="none"/>
              </w:rPr>
              <w:t>3</w:t>
            </w:r>
          </w:p>
        </w:tc>
        <w:tc>
          <w:tcPr>
            <w:tcW w:w="200" w:type="pct"/>
            <w:noWrap w:val="0"/>
            <w:vAlign w:val="center"/>
          </w:tcPr>
          <w:p w14:paraId="76018B19">
            <w:pPr>
              <w:pStyle w:val="12"/>
              <w:ind w:firstLine="0" w:firstLineChars="0"/>
              <w:jc w:val="center"/>
              <w:rPr>
                <w:rFonts w:ascii="Times New Roman"/>
                <w:sz w:val="21"/>
                <w:szCs w:val="21"/>
                <w:highlight w:val="none"/>
              </w:rPr>
            </w:pPr>
            <w:r>
              <w:rPr>
                <w:rFonts w:ascii="Times New Roman"/>
                <w:kern w:val="2"/>
                <w:sz w:val="21"/>
                <w:szCs w:val="21"/>
                <w:highlight w:val="none"/>
              </w:rPr>
              <w:t>20</w:t>
            </w:r>
          </w:p>
        </w:tc>
        <w:tc>
          <w:tcPr>
            <w:tcW w:w="271" w:type="pct"/>
            <w:noWrap w:val="0"/>
            <w:vAlign w:val="center"/>
          </w:tcPr>
          <w:p w14:paraId="02A46E1E">
            <w:pPr>
              <w:pStyle w:val="12"/>
              <w:ind w:firstLine="0" w:firstLineChars="0"/>
              <w:jc w:val="center"/>
              <w:rPr>
                <w:rFonts w:ascii="Times New Roman"/>
                <w:sz w:val="21"/>
                <w:szCs w:val="21"/>
                <w:highlight w:val="none"/>
              </w:rPr>
            </w:pPr>
            <w:r>
              <w:rPr>
                <w:rFonts w:ascii="Times New Roman"/>
                <w:kern w:val="2"/>
                <w:sz w:val="21"/>
                <w:szCs w:val="21"/>
                <w:highlight w:val="none"/>
              </w:rPr>
              <w:t>0.3</w:t>
            </w:r>
          </w:p>
        </w:tc>
        <w:tc>
          <w:tcPr>
            <w:tcW w:w="262" w:type="pct"/>
            <w:noWrap w:val="0"/>
            <w:vAlign w:val="center"/>
          </w:tcPr>
          <w:p w14:paraId="38F7826D">
            <w:pPr>
              <w:pStyle w:val="12"/>
              <w:ind w:firstLine="0" w:firstLineChars="0"/>
              <w:jc w:val="center"/>
              <w:rPr>
                <w:rFonts w:ascii="Times New Roman"/>
                <w:sz w:val="21"/>
                <w:szCs w:val="21"/>
                <w:highlight w:val="none"/>
              </w:rPr>
            </w:pPr>
            <w:r>
              <w:rPr>
                <w:rFonts w:ascii="Times New Roman"/>
                <w:kern w:val="2"/>
                <w:sz w:val="21"/>
                <w:szCs w:val="21"/>
                <w:highlight w:val="none"/>
              </w:rPr>
              <w:t>120</w:t>
            </w:r>
          </w:p>
        </w:tc>
        <w:tc>
          <w:tcPr>
            <w:tcW w:w="418" w:type="pct"/>
            <w:noWrap w:val="0"/>
            <w:vAlign w:val="center"/>
          </w:tcPr>
          <w:p w14:paraId="419BE3D4">
            <w:pPr>
              <w:pStyle w:val="12"/>
              <w:ind w:firstLine="0" w:firstLineChars="0"/>
              <w:jc w:val="center"/>
              <w:rPr>
                <w:rFonts w:ascii="Times New Roman"/>
                <w:sz w:val="21"/>
                <w:szCs w:val="21"/>
                <w:highlight w:val="none"/>
              </w:rPr>
            </w:pPr>
            <w:r>
              <w:rPr>
                <w:rFonts w:ascii="Times New Roman"/>
                <w:kern w:val="2"/>
                <w:sz w:val="21"/>
                <w:szCs w:val="21"/>
                <w:highlight w:val="none"/>
              </w:rPr>
              <w:t>5.9</w:t>
            </w:r>
          </w:p>
        </w:tc>
        <w:tc>
          <w:tcPr>
            <w:tcW w:w="260" w:type="pct"/>
            <w:noWrap w:val="0"/>
            <w:vAlign w:val="center"/>
          </w:tcPr>
          <w:p w14:paraId="76E55A76">
            <w:pPr>
              <w:pStyle w:val="12"/>
              <w:ind w:firstLine="0" w:firstLineChars="0"/>
              <w:jc w:val="center"/>
              <w:rPr>
                <w:rFonts w:ascii="Times New Roman"/>
                <w:sz w:val="21"/>
                <w:szCs w:val="21"/>
                <w:highlight w:val="none"/>
              </w:rPr>
            </w:pPr>
            <w:r>
              <w:rPr>
                <w:rFonts w:ascii="Times New Roman"/>
                <w:kern w:val="2"/>
                <w:sz w:val="21"/>
                <w:szCs w:val="21"/>
                <w:highlight w:val="none"/>
              </w:rPr>
              <w:t>达标</w:t>
            </w:r>
          </w:p>
        </w:tc>
        <w:tc>
          <w:tcPr>
            <w:tcW w:w="1160" w:type="pct"/>
            <w:noWrap w:val="0"/>
            <w:vAlign w:val="center"/>
          </w:tcPr>
          <w:p w14:paraId="17A18E79">
            <w:pPr>
              <w:pStyle w:val="12"/>
              <w:ind w:firstLine="0" w:firstLineChars="0"/>
              <w:jc w:val="center"/>
              <w:rPr>
                <w:rFonts w:ascii="Times New Roman"/>
                <w:sz w:val="21"/>
                <w:szCs w:val="21"/>
                <w:highlight w:val="none"/>
              </w:rPr>
            </w:pPr>
            <w:r>
              <w:rPr>
                <w:rFonts w:ascii="Times New Roman"/>
                <w:kern w:val="2"/>
                <w:sz w:val="21"/>
                <w:szCs w:val="21"/>
                <w:highlight w:val="none"/>
              </w:rPr>
              <w:t>《大气污染物综合排放标准》（GB16297-1996）表2二级标准</w:t>
            </w:r>
          </w:p>
        </w:tc>
      </w:tr>
      <w:tr w14:paraId="7955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01B1401">
            <w:pPr>
              <w:widowControl/>
              <w:snapToGrid w:val="0"/>
              <w:jc w:val="center"/>
              <w:rPr>
                <w:sz w:val="21"/>
                <w:szCs w:val="21"/>
                <w:highlight w:val="none"/>
              </w:rPr>
            </w:pPr>
          </w:p>
        </w:tc>
        <w:tc>
          <w:tcPr>
            <w:tcW w:w="149" w:type="pct"/>
            <w:vMerge w:val="continue"/>
            <w:noWrap w:val="0"/>
            <w:vAlign w:val="center"/>
          </w:tcPr>
          <w:p w14:paraId="5795E8A8">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3C8FB83C">
            <w:pPr>
              <w:pStyle w:val="12"/>
              <w:ind w:firstLine="0" w:firstLineChars="0"/>
              <w:jc w:val="center"/>
              <w:rPr>
                <w:rFonts w:ascii="Times New Roman"/>
                <w:kern w:val="2"/>
                <w:sz w:val="21"/>
                <w:szCs w:val="21"/>
                <w:highlight w:val="none"/>
              </w:rPr>
            </w:pPr>
          </w:p>
        </w:tc>
        <w:tc>
          <w:tcPr>
            <w:tcW w:w="277" w:type="pct"/>
            <w:noWrap w:val="0"/>
            <w:vAlign w:val="center"/>
          </w:tcPr>
          <w:p w14:paraId="4B45E924">
            <w:pPr>
              <w:pStyle w:val="12"/>
              <w:ind w:firstLine="0" w:firstLineChars="0"/>
              <w:jc w:val="center"/>
              <w:rPr>
                <w:rFonts w:ascii="Times New Roman"/>
                <w:kern w:val="2"/>
                <w:sz w:val="21"/>
                <w:szCs w:val="21"/>
                <w:highlight w:val="none"/>
              </w:rPr>
            </w:pPr>
            <w:r>
              <w:rPr>
                <w:rFonts w:ascii="Times New Roman"/>
                <w:kern w:val="2"/>
                <w:sz w:val="21"/>
                <w:szCs w:val="21"/>
                <w:highlight w:val="none"/>
              </w:rPr>
              <w:t>干燥机出料口废气</w:t>
            </w:r>
          </w:p>
        </w:tc>
        <w:tc>
          <w:tcPr>
            <w:tcW w:w="176" w:type="pct"/>
            <w:noWrap w:val="0"/>
            <w:vAlign w:val="center"/>
          </w:tcPr>
          <w:p w14:paraId="61391900">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w:t>
            </w:r>
          </w:p>
        </w:tc>
        <w:tc>
          <w:tcPr>
            <w:tcW w:w="294" w:type="pct"/>
            <w:noWrap w:val="0"/>
            <w:vAlign w:val="center"/>
          </w:tcPr>
          <w:p w14:paraId="686C1A1F">
            <w:pPr>
              <w:pStyle w:val="12"/>
              <w:ind w:firstLine="0" w:firstLineChars="0"/>
              <w:jc w:val="center"/>
              <w:rPr>
                <w:rFonts w:ascii="Times New Roman"/>
                <w:kern w:val="2"/>
                <w:sz w:val="21"/>
                <w:szCs w:val="21"/>
                <w:highlight w:val="none"/>
              </w:rPr>
            </w:pPr>
            <w:r>
              <w:rPr>
                <w:rFonts w:ascii="Times New Roman"/>
                <w:kern w:val="2"/>
                <w:sz w:val="21"/>
                <w:szCs w:val="21"/>
                <w:highlight w:val="none"/>
              </w:rPr>
              <w:t>颗粒物</w:t>
            </w:r>
          </w:p>
        </w:tc>
        <w:tc>
          <w:tcPr>
            <w:tcW w:w="401" w:type="pct"/>
            <w:noWrap w:val="0"/>
            <w:vAlign w:val="center"/>
          </w:tcPr>
          <w:p w14:paraId="3508275C">
            <w:pPr>
              <w:pStyle w:val="12"/>
              <w:ind w:firstLine="0" w:firstLineChars="0"/>
              <w:jc w:val="center"/>
              <w:rPr>
                <w:rFonts w:ascii="Times New Roman"/>
                <w:kern w:val="2"/>
                <w:sz w:val="21"/>
                <w:szCs w:val="21"/>
                <w:highlight w:val="none"/>
              </w:rPr>
            </w:pPr>
            <w:r>
              <w:rPr>
                <w:rFonts w:ascii="Times New Roman"/>
                <w:kern w:val="2"/>
                <w:sz w:val="21"/>
                <w:szCs w:val="21"/>
                <w:highlight w:val="none"/>
              </w:rPr>
              <w:t>4×8148</w:t>
            </w:r>
          </w:p>
        </w:tc>
        <w:tc>
          <w:tcPr>
            <w:tcW w:w="262" w:type="pct"/>
            <w:noWrap w:val="0"/>
            <w:vAlign w:val="center"/>
          </w:tcPr>
          <w:p w14:paraId="380E3E37">
            <w:pPr>
              <w:pStyle w:val="12"/>
              <w:ind w:firstLine="0" w:firstLineChars="0"/>
              <w:jc w:val="center"/>
              <w:rPr>
                <w:rFonts w:ascii="Times New Roman"/>
                <w:kern w:val="2"/>
                <w:sz w:val="21"/>
                <w:szCs w:val="21"/>
                <w:highlight w:val="none"/>
              </w:rPr>
            </w:pPr>
            <w:r>
              <w:rPr>
                <w:rFonts w:ascii="Times New Roman"/>
                <w:kern w:val="2"/>
                <w:sz w:val="21"/>
                <w:szCs w:val="21"/>
                <w:highlight w:val="none"/>
              </w:rPr>
              <w:t>40.3</w:t>
            </w:r>
          </w:p>
        </w:tc>
        <w:tc>
          <w:tcPr>
            <w:tcW w:w="373" w:type="pct"/>
            <w:noWrap w:val="0"/>
            <w:vAlign w:val="center"/>
          </w:tcPr>
          <w:p w14:paraId="18A20058">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noWrap w:val="0"/>
            <w:vAlign w:val="center"/>
          </w:tcPr>
          <w:p w14:paraId="280C31F8">
            <w:pPr>
              <w:pStyle w:val="12"/>
              <w:ind w:firstLine="0" w:firstLineChars="0"/>
              <w:jc w:val="center"/>
              <w:rPr>
                <w:rFonts w:ascii="Times New Roman"/>
                <w:kern w:val="2"/>
                <w:sz w:val="21"/>
                <w:szCs w:val="21"/>
                <w:highlight w:val="none"/>
              </w:rPr>
            </w:pPr>
            <w:r>
              <w:rPr>
                <w:rFonts w:ascii="Times New Roman"/>
                <w:kern w:val="2"/>
                <w:sz w:val="21"/>
                <w:szCs w:val="21"/>
                <w:highlight w:val="none"/>
              </w:rPr>
              <w:t>4</w:t>
            </w:r>
          </w:p>
        </w:tc>
        <w:tc>
          <w:tcPr>
            <w:tcW w:w="200" w:type="pct"/>
            <w:noWrap w:val="0"/>
            <w:vAlign w:val="center"/>
          </w:tcPr>
          <w:p w14:paraId="5600B20A">
            <w:pPr>
              <w:pStyle w:val="12"/>
              <w:ind w:firstLine="0" w:firstLineChars="0"/>
              <w:jc w:val="center"/>
              <w:rPr>
                <w:rFonts w:ascii="Times New Roman"/>
                <w:kern w:val="2"/>
                <w:sz w:val="21"/>
                <w:szCs w:val="21"/>
                <w:highlight w:val="none"/>
              </w:rPr>
            </w:pPr>
            <w:r>
              <w:rPr>
                <w:rFonts w:ascii="Times New Roman"/>
                <w:kern w:val="2"/>
                <w:sz w:val="21"/>
                <w:szCs w:val="21"/>
                <w:highlight w:val="none"/>
              </w:rPr>
              <w:t>20</w:t>
            </w:r>
          </w:p>
        </w:tc>
        <w:tc>
          <w:tcPr>
            <w:tcW w:w="271" w:type="pct"/>
            <w:noWrap w:val="0"/>
            <w:vAlign w:val="center"/>
          </w:tcPr>
          <w:p w14:paraId="7261314C">
            <w:pPr>
              <w:pStyle w:val="12"/>
              <w:ind w:firstLine="0" w:firstLineChars="0"/>
              <w:jc w:val="center"/>
              <w:rPr>
                <w:rFonts w:ascii="Times New Roman"/>
                <w:kern w:val="2"/>
                <w:sz w:val="21"/>
                <w:szCs w:val="21"/>
                <w:highlight w:val="none"/>
              </w:rPr>
            </w:pPr>
            <w:r>
              <w:rPr>
                <w:rFonts w:ascii="Times New Roman"/>
                <w:kern w:val="2"/>
                <w:sz w:val="21"/>
                <w:szCs w:val="21"/>
                <w:highlight w:val="none"/>
              </w:rPr>
              <w:t>0.3</w:t>
            </w:r>
          </w:p>
        </w:tc>
        <w:tc>
          <w:tcPr>
            <w:tcW w:w="262" w:type="pct"/>
            <w:noWrap w:val="0"/>
            <w:vAlign w:val="center"/>
          </w:tcPr>
          <w:p w14:paraId="48796663">
            <w:pPr>
              <w:pStyle w:val="12"/>
              <w:ind w:firstLine="0" w:firstLineChars="0"/>
              <w:jc w:val="center"/>
              <w:rPr>
                <w:rFonts w:ascii="Times New Roman"/>
                <w:kern w:val="2"/>
                <w:sz w:val="21"/>
                <w:szCs w:val="21"/>
                <w:highlight w:val="none"/>
              </w:rPr>
            </w:pPr>
            <w:r>
              <w:rPr>
                <w:rFonts w:ascii="Times New Roman"/>
                <w:kern w:val="2"/>
                <w:sz w:val="21"/>
                <w:szCs w:val="21"/>
                <w:highlight w:val="none"/>
              </w:rPr>
              <w:t>120</w:t>
            </w:r>
          </w:p>
        </w:tc>
        <w:tc>
          <w:tcPr>
            <w:tcW w:w="418" w:type="pct"/>
            <w:noWrap w:val="0"/>
            <w:vAlign w:val="center"/>
          </w:tcPr>
          <w:p w14:paraId="5FC90A5C">
            <w:pPr>
              <w:pStyle w:val="12"/>
              <w:ind w:firstLine="0" w:firstLineChars="0"/>
              <w:jc w:val="center"/>
              <w:rPr>
                <w:rFonts w:ascii="Times New Roman"/>
                <w:kern w:val="2"/>
                <w:sz w:val="21"/>
                <w:szCs w:val="21"/>
                <w:highlight w:val="none"/>
              </w:rPr>
            </w:pPr>
            <w:r>
              <w:rPr>
                <w:rFonts w:ascii="Times New Roman"/>
                <w:kern w:val="2"/>
                <w:sz w:val="21"/>
                <w:szCs w:val="21"/>
                <w:highlight w:val="none"/>
              </w:rPr>
              <w:t>5.9</w:t>
            </w:r>
          </w:p>
        </w:tc>
        <w:tc>
          <w:tcPr>
            <w:tcW w:w="260" w:type="pct"/>
            <w:noWrap w:val="0"/>
            <w:vAlign w:val="center"/>
          </w:tcPr>
          <w:p w14:paraId="18EB85E4">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4C9B0B31">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1692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2DFBC5B0">
            <w:pPr>
              <w:widowControl/>
              <w:snapToGrid w:val="0"/>
              <w:jc w:val="center"/>
              <w:rPr>
                <w:sz w:val="21"/>
                <w:szCs w:val="21"/>
                <w:highlight w:val="none"/>
              </w:rPr>
            </w:pPr>
          </w:p>
        </w:tc>
        <w:tc>
          <w:tcPr>
            <w:tcW w:w="149" w:type="pct"/>
            <w:vMerge w:val="continue"/>
            <w:noWrap w:val="0"/>
            <w:vAlign w:val="center"/>
          </w:tcPr>
          <w:p w14:paraId="12D9FDCC">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0EEAECA6">
            <w:pPr>
              <w:pStyle w:val="12"/>
              <w:ind w:firstLine="0" w:firstLineChars="0"/>
              <w:jc w:val="center"/>
              <w:rPr>
                <w:rFonts w:ascii="Times New Roman"/>
                <w:kern w:val="2"/>
                <w:sz w:val="21"/>
                <w:szCs w:val="21"/>
                <w:highlight w:val="none"/>
              </w:rPr>
            </w:pPr>
          </w:p>
        </w:tc>
        <w:tc>
          <w:tcPr>
            <w:tcW w:w="277" w:type="pct"/>
            <w:noWrap w:val="0"/>
            <w:vAlign w:val="center"/>
          </w:tcPr>
          <w:p w14:paraId="67BDDC7C">
            <w:pPr>
              <w:pStyle w:val="12"/>
              <w:ind w:firstLine="0" w:firstLineChars="0"/>
              <w:jc w:val="center"/>
              <w:rPr>
                <w:rFonts w:ascii="Times New Roman"/>
                <w:kern w:val="2"/>
                <w:sz w:val="21"/>
                <w:szCs w:val="21"/>
                <w:highlight w:val="none"/>
              </w:rPr>
            </w:pPr>
            <w:r>
              <w:rPr>
                <w:rFonts w:ascii="Times New Roman"/>
                <w:kern w:val="2"/>
                <w:sz w:val="21"/>
                <w:szCs w:val="21"/>
                <w:highlight w:val="none"/>
              </w:rPr>
              <w:t>煤干燥置换气</w:t>
            </w:r>
          </w:p>
        </w:tc>
        <w:tc>
          <w:tcPr>
            <w:tcW w:w="176" w:type="pct"/>
            <w:noWrap w:val="0"/>
            <w:vAlign w:val="center"/>
          </w:tcPr>
          <w:p w14:paraId="1FB0B382">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w:t>
            </w:r>
          </w:p>
        </w:tc>
        <w:tc>
          <w:tcPr>
            <w:tcW w:w="294" w:type="pct"/>
            <w:noWrap w:val="0"/>
            <w:vAlign w:val="center"/>
          </w:tcPr>
          <w:p w14:paraId="40375BF3">
            <w:pPr>
              <w:pStyle w:val="12"/>
              <w:ind w:firstLine="0" w:firstLineChars="0"/>
              <w:jc w:val="center"/>
              <w:rPr>
                <w:rFonts w:ascii="Times New Roman"/>
                <w:kern w:val="2"/>
                <w:sz w:val="21"/>
                <w:szCs w:val="21"/>
                <w:highlight w:val="none"/>
              </w:rPr>
            </w:pPr>
            <w:r>
              <w:rPr>
                <w:rFonts w:ascii="Times New Roman"/>
                <w:kern w:val="2"/>
                <w:sz w:val="21"/>
                <w:szCs w:val="21"/>
                <w:highlight w:val="none"/>
              </w:rPr>
              <w:t>颗粒物</w:t>
            </w:r>
          </w:p>
        </w:tc>
        <w:tc>
          <w:tcPr>
            <w:tcW w:w="401" w:type="pct"/>
            <w:noWrap w:val="0"/>
            <w:vAlign w:val="center"/>
          </w:tcPr>
          <w:p w14:paraId="26836492">
            <w:pPr>
              <w:pStyle w:val="12"/>
              <w:ind w:firstLine="0" w:firstLineChars="0"/>
              <w:jc w:val="center"/>
              <w:rPr>
                <w:rFonts w:ascii="Times New Roman"/>
                <w:kern w:val="2"/>
                <w:sz w:val="21"/>
                <w:szCs w:val="21"/>
                <w:highlight w:val="none"/>
              </w:rPr>
            </w:pPr>
            <w:r>
              <w:rPr>
                <w:rFonts w:ascii="Times New Roman"/>
                <w:kern w:val="2"/>
                <w:sz w:val="21"/>
                <w:szCs w:val="21"/>
                <w:highlight w:val="none"/>
              </w:rPr>
              <w:t>9043</w:t>
            </w:r>
          </w:p>
        </w:tc>
        <w:tc>
          <w:tcPr>
            <w:tcW w:w="262" w:type="pct"/>
            <w:noWrap w:val="0"/>
            <w:vAlign w:val="center"/>
          </w:tcPr>
          <w:p w14:paraId="19910C3A">
            <w:pPr>
              <w:pStyle w:val="12"/>
              <w:ind w:firstLine="0" w:firstLineChars="0"/>
              <w:jc w:val="center"/>
              <w:rPr>
                <w:rFonts w:ascii="Times New Roman"/>
                <w:kern w:val="2"/>
                <w:sz w:val="21"/>
                <w:szCs w:val="21"/>
                <w:highlight w:val="none"/>
              </w:rPr>
            </w:pPr>
            <w:r>
              <w:rPr>
                <w:rFonts w:ascii="Times New Roman"/>
                <w:kern w:val="2"/>
                <w:sz w:val="21"/>
                <w:szCs w:val="21"/>
                <w:highlight w:val="none"/>
              </w:rPr>
              <w:t>33.7</w:t>
            </w:r>
          </w:p>
        </w:tc>
        <w:tc>
          <w:tcPr>
            <w:tcW w:w="373" w:type="pct"/>
            <w:noWrap w:val="0"/>
            <w:vAlign w:val="center"/>
          </w:tcPr>
          <w:p w14:paraId="31D1B289">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noWrap w:val="0"/>
            <w:vAlign w:val="center"/>
          </w:tcPr>
          <w:p w14:paraId="346F2F8E">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4861CC1F">
            <w:pPr>
              <w:pStyle w:val="12"/>
              <w:ind w:firstLine="0" w:firstLineChars="0"/>
              <w:jc w:val="center"/>
              <w:rPr>
                <w:rFonts w:ascii="Times New Roman"/>
                <w:kern w:val="2"/>
                <w:sz w:val="21"/>
                <w:szCs w:val="21"/>
                <w:highlight w:val="none"/>
              </w:rPr>
            </w:pPr>
            <w:r>
              <w:rPr>
                <w:rFonts w:ascii="Times New Roman"/>
                <w:kern w:val="2"/>
                <w:sz w:val="21"/>
                <w:szCs w:val="21"/>
                <w:highlight w:val="none"/>
              </w:rPr>
              <w:t>50</w:t>
            </w:r>
          </w:p>
        </w:tc>
        <w:tc>
          <w:tcPr>
            <w:tcW w:w="271" w:type="pct"/>
            <w:noWrap w:val="0"/>
            <w:vAlign w:val="center"/>
          </w:tcPr>
          <w:p w14:paraId="2CE72473">
            <w:pPr>
              <w:pStyle w:val="12"/>
              <w:ind w:firstLine="0" w:firstLineChars="0"/>
              <w:jc w:val="center"/>
              <w:rPr>
                <w:rFonts w:ascii="Times New Roman"/>
                <w:kern w:val="2"/>
                <w:sz w:val="21"/>
                <w:szCs w:val="21"/>
                <w:highlight w:val="none"/>
              </w:rPr>
            </w:pPr>
            <w:r>
              <w:rPr>
                <w:rFonts w:ascii="Times New Roman"/>
                <w:kern w:val="2"/>
                <w:sz w:val="21"/>
                <w:szCs w:val="21"/>
                <w:highlight w:val="none"/>
              </w:rPr>
              <w:t>2</w:t>
            </w:r>
          </w:p>
        </w:tc>
        <w:tc>
          <w:tcPr>
            <w:tcW w:w="262" w:type="pct"/>
            <w:noWrap w:val="0"/>
            <w:vAlign w:val="center"/>
          </w:tcPr>
          <w:p w14:paraId="2E1EF1F0">
            <w:pPr>
              <w:pStyle w:val="12"/>
              <w:ind w:firstLine="0" w:firstLineChars="0"/>
              <w:jc w:val="center"/>
              <w:rPr>
                <w:rFonts w:ascii="Times New Roman"/>
                <w:kern w:val="2"/>
                <w:sz w:val="21"/>
                <w:szCs w:val="21"/>
                <w:highlight w:val="none"/>
              </w:rPr>
            </w:pPr>
            <w:r>
              <w:rPr>
                <w:rFonts w:ascii="Times New Roman"/>
                <w:kern w:val="2"/>
                <w:sz w:val="21"/>
                <w:szCs w:val="21"/>
                <w:highlight w:val="none"/>
              </w:rPr>
              <w:t>120</w:t>
            </w:r>
          </w:p>
        </w:tc>
        <w:tc>
          <w:tcPr>
            <w:tcW w:w="418" w:type="pct"/>
            <w:noWrap w:val="0"/>
            <w:vAlign w:val="center"/>
          </w:tcPr>
          <w:p w14:paraId="0A93E831">
            <w:pPr>
              <w:pStyle w:val="12"/>
              <w:ind w:firstLine="0" w:firstLineChars="0"/>
              <w:jc w:val="center"/>
              <w:rPr>
                <w:rFonts w:ascii="Times New Roman"/>
                <w:kern w:val="2"/>
                <w:sz w:val="21"/>
                <w:szCs w:val="21"/>
                <w:highlight w:val="none"/>
              </w:rPr>
            </w:pPr>
            <w:r>
              <w:rPr>
                <w:rFonts w:ascii="Times New Roman"/>
                <w:kern w:val="2"/>
                <w:sz w:val="21"/>
                <w:szCs w:val="21"/>
                <w:highlight w:val="none"/>
              </w:rPr>
              <w:t>60</w:t>
            </w:r>
          </w:p>
        </w:tc>
        <w:tc>
          <w:tcPr>
            <w:tcW w:w="260" w:type="pct"/>
            <w:noWrap w:val="0"/>
            <w:vAlign w:val="center"/>
          </w:tcPr>
          <w:p w14:paraId="669038AA">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2EE6920E">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4876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149" w:type="pct"/>
            <w:vMerge w:val="continue"/>
            <w:noWrap w:val="0"/>
            <w:vAlign w:val="center"/>
          </w:tcPr>
          <w:p w14:paraId="3AE9DF53">
            <w:pPr>
              <w:widowControl/>
              <w:snapToGrid w:val="0"/>
              <w:jc w:val="center"/>
              <w:rPr>
                <w:sz w:val="21"/>
                <w:szCs w:val="21"/>
                <w:highlight w:val="none"/>
              </w:rPr>
            </w:pPr>
          </w:p>
        </w:tc>
        <w:tc>
          <w:tcPr>
            <w:tcW w:w="149" w:type="pct"/>
            <w:vMerge w:val="continue"/>
            <w:noWrap w:val="0"/>
            <w:vAlign w:val="center"/>
          </w:tcPr>
          <w:p w14:paraId="45C590B5">
            <w:pPr>
              <w:pStyle w:val="12"/>
              <w:ind w:firstLine="0" w:firstLineChars="0"/>
              <w:jc w:val="center"/>
              <w:rPr>
                <w:rFonts w:ascii="Times New Roman"/>
                <w:kern w:val="2"/>
                <w:sz w:val="21"/>
                <w:szCs w:val="21"/>
                <w:highlight w:val="none"/>
              </w:rPr>
            </w:pPr>
          </w:p>
        </w:tc>
        <w:tc>
          <w:tcPr>
            <w:tcW w:w="190" w:type="pct"/>
            <w:vMerge w:val="restart"/>
            <w:noWrap w:val="0"/>
            <w:vAlign w:val="center"/>
          </w:tcPr>
          <w:p w14:paraId="1C113455">
            <w:pPr>
              <w:pStyle w:val="12"/>
              <w:ind w:firstLine="0" w:firstLineChars="0"/>
              <w:jc w:val="center"/>
              <w:rPr>
                <w:rFonts w:ascii="Times New Roman"/>
                <w:kern w:val="2"/>
                <w:sz w:val="21"/>
                <w:szCs w:val="21"/>
                <w:highlight w:val="none"/>
              </w:rPr>
            </w:pPr>
            <w:r>
              <w:rPr>
                <w:rFonts w:ascii="Times New Roman"/>
                <w:kern w:val="2"/>
                <w:sz w:val="21"/>
                <w:szCs w:val="21"/>
                <w:highlight w:val="none"/>
              </w:rPr>
              <w:t>磨煤及干燥单元</w:t>
            </w:r>
          </w:p>
        </w:tc>
        <w:tc>
          <w:tcPr>
            <w:tcW w:w="277" w:type="pct"/>
            <w:vMerge w:val="restart"/>
            <w:noWrap w:val="0"/>
            <w:vAlign w:val="center"/>
          </w:tcPr>
          <w:p w14:paraId="776C7130">
            <w:pPr>
              <w:pStyle w:val="12"/>
              <w:ind w:firstLine="0" w:firstLineChars="0"/>
              <w:jc w:val="center"/>
              <w:rPr>
                <w:rFonts w:hint="default" w:ascii="Times New Roman" w:eastAsia="宋体"/>
                <w:kern w:val="2"/>
                <w:sz w:val="21"/>
                <w:szCs w:val="21"/>
                <w:highlight w:val="none"/>
                <w:lang w:val="en-US" w:eastAsia="zh-CN"/>
              </w:rPr>
            </w:pPr>
            <w:r>
              <w:rPr>
                <w:rFonts w:ascii="Times New Roman"/>
                <w:kern w:val="2"/>
                <w:sz w:val="21"/>
                <w:szCs w:val="21"/>
                <w:highlight w:val="none"/>
              </w:rPr>
              <w:t>原煤储仓过滤器排放气</w:t>
            </w:r>
          </w:p>
        </w:tc>
        <w:tc>
          <w:tcPr>
            <w:tcW w:w="176" w:type="pct"/>
            <w:noWrap w:val="0"/>
            <w:vAlign w:val="center"/>
          </w:tcPr>
          <w:p w14:paraId="55F76497">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1#</w:t>
            </w:r>
          </w:p>
        </w:tc>
        <w:tc>
          <w:tcPr>
            <w:tcW w:w="294" w:type="pct"/>
            <w:vMerge w:val="restart"/>
            <w:noWrap w:val="0"/>
            <w:vAlign w:val="center"/>
          </w:tcPr>
          <w:p w14:paraId="3B2F6E74">
            <w:pPr>
              <w:pStyle w:val="12"/>
              <w:ind w:firstLine="0" w:firstLineChars="0"/>
              <w:jc w:val="center"/>
              <w:rPr>
                <w:rFonts w:ascii="Times New Roman"/>
                <w:kern w:val="2"/>
                <w:sz w:val="21"/>
                <w:szCs w:val="21"/>
                <w:highlight w:val="none"/>
              </w:rPr>
            </w:pPr>
            <w:r>
              <w:rPr>
                <w:rFonts w:ascii="Times New Roman"/>
                <w:kern w:val="2"/>
                <w:sz w:val="21"/>
                <w:szCs w:val="21"/>
                <w:highlight w:val="none"/>
              </w:rPr>
              <w:t>颗粒物</w:t>
            </w:r>
          </w:p>
        </w:tc>
        <w:tc>
          <w:tcPr>
            <w:tcW w:w="401" w:type="pct"/>
            <w:noWrap w:val="0"/>
            <w:vAlign w:val="center"/>
          </w:tcPr>
          <w:p w14:paraId="3B16647D">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6687</w:t>
            </w:r>
          </w:p>
        </w:tc>
        <w:tc>
          <w:tcPr>
            <w:tcW w:w="262" w:type="pct"/>
            <w:noWrap w:val="0"/>
            <w:vAlign w:val="center"/>
          </w:tcPr>
          <w:p w14:paraId="62B6A59C">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9</w:t>
            </w:r>
          </w:p>
        </w:tc>
        <w:tc>
          <w:tcPr>
            <w:tcW w:w="373" w:type="pct"/>
            <w:noWrap w:val="0"/>
            <w:vAlign w:val="center"/>
          </w:tcPr>
          <w:p w14:paraId="4808A86E">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0.058</w:t>
            </w:r>
          </w:p>
        </w:tc>
        <w:tc>
          <w:tcPr>
            <w:tcW w:w="149" w:type="pct"/>
            <w:vMerge w:val="restart"/>
            <w:noWrap w:val="0"/>
            <w:vAlign w:val="center"/>
          </w:tcPr>
          <w:p w14:paraId="2832158C">
            <w:pPr>
              <w:pStyle w:val="12"/>
              <w:ind w:firstLine="0" w:firstLineChars="0"/>
              <w:jc w:val="center"/>
              <w:rPr>
                <w:rFonts w:ascii="Times New Roman"/>
                <w:kern w:val="2"/>
                <w:sz w:val="21"/>
                <w:szCs w:val="21"/>
                <w:highlight w:val="none"/>
              </w:rPr>
            </w:pPr>
            <w:r>
              <w:rPr>
                <w:rFonts w:ascii="Times New Roman"/>
                <w:kern w:val="2"/>
                <w:sz w:val="21"/>
                <w:szCs w:val="21"/>
                <w:highlight w:val="none"/>
              </w:rPr>
              <w:t>5</w:t>
            </w:r>
          </w:p>
        </w:tc>
        <w:tc>
          <w:tcPr>
            <w:tcW w:w="200" w:type="pct"/>
            <w:vMerge w:val="restart"/>
            <w:noWrap w:val="0"/>
            <w:vAlign w:val="center"/>
          </w:tcPr>
          <w:p w14:paraId="6C40F3FD">
            <w:pPr>
              <w:pStyle w:val="12"/>
              <w:ind w:firstLine="0" w:firstLineChars="0"/>
              <w:jc w:val="center"/>
              <w:rPr>
                <w:rFonts w:ascii="Times New Roman"/>
                <w:kern w:val="2"/>
                <w:sz w:val="21"/>
                <w:szCs w:val="21"/>
                <w:highlight w:val="none"/>
              </w:rPr>
            </w:pPr>
            <w:r>
              <w:rPr>
                <w:rFonts w:ascii="Times New Roman"/>
                <w:kern w:val="2"/>
                <w:sz w:val="21"/>
                <w:szCs w:val="21"/>
                <w:highlight w:val="none"/>
              </w:rPr>
              <w:t>57</w:t>
            </w:r>
          </w:p>
        </w:tc>
        <w:tc>
          <w:tcPr>
            <w:tcW w:w="271" w:type="pct"/>
            <w:vMerge w:val="restart"/>
            <w:noWrap w:val="0"/>
            <w:vAlign w:val="center"/>
          </w:tcPr>
          <w:p w14:paraId="6558A2D8">
            <w:pPr>
              <w:pStyle w:val="12"/>
              <w:ind w:firstLine="0" w:firstLineChars="0"/>
              <w:jc w:val="center"/>
              <w:rPr>
                <w:rFonts w:ascii="Times New Roman"/>
                <w:kern w:val="2"/>
                <w:sz w:val="21"/>
                <w:szCs w:val="21"/>
                <w:highlight w:val="none"/>
              </w:rPr>
            </w:pPr>
            <w:r>
              <w:rPr>
                <w:rFonts w:ascii="Times New Roman"/>
                <w:kern w:val="2"/>
                <w:sz w:val="21"/>
                <w:szCs w:val="21"/>
                <w:highlight w:val="none"/>
              </w:rPr>
              <w:t>0.2</w:t>
            </w:r>
          </w:p>
        </w:tc>
        <w:tc>
          <w:tcPr>
            <w:tcW w:w="262" w:type="pct"/>
            <w:vMerge w:val="restart"/>
            <w:noWrap w:val="0"/>
            <w:vAlign w:val="center"/>
          </w:tcPr>
          <w:p w14:paraId="3FF95761">
            <w:pPr>
              <w:pStyle w:val="12"/>
              <w:ind w:firstLine="0" w:firstLineChars="0"/>
              <w:jc w:val="center"/>
              <w:rPr>
                <w:rFonts w:ascii="Times New Roman"/>
                <w:kern w:val="2"/>
                <w:sz w:val="21"/>
                <w:szCs w:val="21"/>
                <w:highlight w:val="none"/>
              </w:rPr>
            </w:pPr>
            <w:r>
              <w:rPr>
                <w:rFonts w:ascii="Times New Roman"/>
                <w:kern w:val="2"/>
                <w:sz w:val="21"/>
                <w:szCs w:val="21"/>
                <w:highlight w:val="none"/>
              </w:rPr>
              <w:t>120</w:t>
            </w:r>
          </w:p>
        </w:tc>
        <w:tc>
          <w:tcPr>
            <w:tcW w:w="418" w:type="pct"/>
            <w:vMerge w:val="restart"/>
            <w:noWrap w:val="0"/>
            <w:vAlign w:val="center"/>
          </w:tcPr>
          <w:p w14:paraId="5A6FB219">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102.5</w:t>
            </w:r>
          </w:p>
        </w:tc>
        <w:tc>
          <w:tcPr>
            <w:tcW w:w="260" w:type="pct"/>
            <w:noWrap w:val="0"/>
            <w:vAlign w:val="center"/>
          </w:tcPr>
          <w:p w14:paraId="799C507F">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2B83D4F9">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730A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70D4F3B">
            <w:pPr>
              <w:widowControl/>
              <w:snapToGrid w:val="0"/>
              <w:jc w:val="center"/>
              <w:rPr>
                <w:sz w:val="21"/>
                <w:szCs w:val="21"/>
                <w:highlight w:val="none"/>
              </w:rPr>
            </w:pPr>
          </w:p>
        </w:tc>
        <w:tc>
          <w:tcPr>
            <w:tcW w:w="149" w:type="pct"/>
            <w:vMerge w:val="continue"/>
            <w:noWrap w:val="0"/>
            <w:vAlign w:val="center"/>
          </w:tcPr>
          <w:p w14:paraId="5DF80691">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6491D4D6">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50668B11">
            <w:pPr>
              <w:pStyle w:val="12"/>
              <w:ind w:firstLine="0" w:firstLineChars="0"/>
              <w:jc w:val="center"/>
              <w:rPr>
                <w:rFonts w:hint="default" w:ascii="Times New Roman" w:eastAsia="宋体"/>
                <w:kern w:val="2"/>
                <w:sz w:val="21"/>
                <w:szCs w:val="21"/>
                <w:highlight w:val="none"/>
                <w:lang w:val="en-US" w:eastAsia="zh-CN"/>
              </w:rPr>
            </w:pPr>
          </w:p>
        </w:tc>
        <w:tc>
          <w:tcPr>
            <w:tcW w:w="176" w:type="pct"/>
            <w:noWrap w:val="0"/>
            <w:vAlign w:val="center"/>
          </w:tcPr>
          <w:p w14:paraId="2CD23FDA">
            <w:pPr>
              <w:pStyle w:val="12"/>
              <w:ind w:firstLine="0" w:firstLineChars="0"/>
              <w:jc w:val="center"/>
              <w:rPr>
                <w:rFonts w:hint="eastAsia" w:ascii="Times New Roman"/>
                <w:kern w:val="2"/>
                <w:sz w:val="21"/>
                <w:szCs w:val="21"/>
                <w:highlight w:val="none"/>
                <w:lang w:val="en-US" w:eastAsia="zh-CN"/>
              </w:rPr>
            </w:pPr>
            <w:r>
              <w:rPr>
                <w:rFonts w:hint="eastAsia" w:ascii="Times New Roman"/>
                <w:kern w:val="2"/>
                <w:sz w:val="21"/>
                <w:szCs w:val="21"/>
                <w:highlight w:val="none"/>
                <w:lang w:val="en-US" w:eastAsia="zh-CN"/>
              </w:rPr>
              <w:t>2#</w:t>
            </w:r>
          </w:p>
        </w:tc>
        <w:tc>
          <w:tcPr>
            <w:tcW w:w="294" w:type="pct"/>
            <w:vMerge w:val="continue"/>
            <w:noWrap w:val="0"/>
            <w:vAlign w:val="center"/>
          </w:tcPr>
          <w:p w14:paraId="2C83C5F6">
            <w:pPr>
              <w:pStyle w:val="12"/>
              <w:ind w:firstLine="0" w:firstLineChars="0"/>
              <w:jc w:val="center"/>
              <w:rPr>
                <w:rFonts w:ascii="Times New Roman"/>
                <w:kern w:val="2"/>
                <w:sz w:val="21"/>
                <w:szCs w:val="21"/>
                <w:highlight w:val="none"/>
              </w:rPr>
            </w:pPr>
          </w:p>
        </w:tc>
        <w:tc>
          <w:tcPr>
            <w:tcW w:w="401" w:type="pct"/>
            <w:noWrap w:val="0"/>
            <w:vAlign w:val="center"/>
          </w:tcPr>
          <w:p w14:paraId="2F2A5B4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6449</w:t>
            </w:r>
          </w:p>
        </w:tc>
        <w:tc>
          <w:tcPr>
            <w:tcW w:w="262" w:type="pct"/>
            <w:noWrap w:val="0"/>
            <w:vAlign w:val="center"/>
          </w:tcPr>
          <w:p w14:paraId="31CF299C">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10</w:t>
            </w:r>
          </w:p>
        </w:tc>
        <w:tc>
          <w:tcPr>
            <w:tcW w:w="373" w:type="pct"/>
            <w:noWrap w:val="0"/>
            <w:vAlign w:val="center"/>
          </w:tcPr>
          <w:p w14:paraId="31681033">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0.067</w:t>
            </w:r>
          </w:p>
        </w:tc>
        <w:tc>
          <w:tcPr>
            <w:tcW w:w="149" w:type="pct"/>
            <w:vMerge w:val="continue"/>
            <w:noWrap w:val="0"/>
            <w:vAlign w:val="center"/>
          </w:tcPr>
          <w:p w14:paraId="053472E7">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538BE55F">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16B22B20">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78A4FDC6">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66BDD099">
            <w:pPr>
              <w:pStyle w:val="12"/>
              <w:ind w:firstLine="0" w:firstLineChars="0"/>
              <w:jc w:val="center"/>
              <w:rPr>
                <w:rFonts w:ascii="Times New Roman"/>
                <w:kern w:val="2"/>
                <w:sz w:val="21"/>
                <w:szCs w:val="21"/>
                <w:highlight w:val="none"/>
              </w:rPr>
            </w:pPr>
          </w:p>
        </w:tc>
        <w:tc>
          <w:tcPr>
            <w:tcW w:w="260" w:type="pct"/>
            <w:noWrap w:val="0"/>
            <w:vAlign w:val="center"/>
          </w:tcPr>
          <w:p w14:paraId="47B76BA3">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6F5D1E24">
            <w:pPr>
              <w:pStyle w:val="12"/>
              <w:ind w:firstLine="0" w:firstLineChars="0"/>
              <w:jc w:val="center"/>
              <w:rPr>
                <w:rFonts w:ascii="Times New Roman"/>
                <w:kern w:val="2"/>
                <w:sz w:val="21"/>
                <w:szCs w:val="21"/>
                <w:highlight w:val="none"/>
              </w:rPr>
            </w:pPr>
          </w:p>
        </w:tc>
      </w:tr>
      <w:tr w14:paraId="4B15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8C2B1EB">
            <w:pPr>
              <w:widowControl/>
              <w:snapToGrid w:val="0"/>
              <w:jc w:val="center"/>
              <w:rPr>
                <w:sz w:val="21"/>
                <w:szCs w:val="21"/>
                <w:highlight w:val="none"/>
              </w:rPr>
            </w:pPr>
          </w:p>
        </w:tc>
        <w:tc>
          <w:tcPr>
            <w:tcW w:w="149" w:type="pct"/>
            <w:vMerge w:val="continue"/>
            <w:noWrap w:val="0"/>
            <w:vAlign w:val="center"/>
          </w:tcPr>
          <w:p w14:paraId="35129FD3">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2A11F782">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48B2CB31">
            <w:pPr>
              <w:ind w:firstLine="0" w:firstLineChars="0"/>
              <w:jc w:val="center"/>
              <w:rPr>
                <w:rFonts w:ascii="Times New Roman"/>
                <w:kern w:val="2"/>
                <w:sz w:val="21"/>
                <w:szCs w:val="21"/>
                <w:highlight w:val="none"/>
              </w:rPr>
            </w:pPr>
          </w:p>
        </w:tc>
        <w:tc>
          <w:tcPr>
            <w:tcW w:w="176" w:type="pct"/>
            <w:noWrap w:val="0"/>
            <w:vAlign w:val="center"/>
          </w:tcPr>
          <w:p w14:paraId="3F83383B">
            <w:pPr>
              <w:ind w:firstLine="0" w:firstLineChars="0"/>
              <w:jc w:val="center"/>
              <w:rPr>
                <w:rFonts w:hint="eastAsia" w:ascii="Times New Roman"/>
                <w:kern w:val="2"/>
                <w:sz w:val="21"/>
                <w:szCs w:val="21"/>
                <w:highlight w:val="none"/>
                <w:lang w:val="en-US" w:eastAsia="zh-CN"/>
              </w:rPr>
            </w:pPr>
            <w:r>
              <w:rPr>
                <w:rFonts w:hint="eastAsia" w:ascii="Times New Roman"/>
                <w:kern w:val="2"/>
                <w:sz w:val="21"/>
                <w:szCs w:val="21"/>
                <w:highlight w:val="none"/>
                <w:lang w:val="en-US" w:eastAsia="zh-CN"/>
              </w:rPr>
              <w:t>3#</w:t>
            </w:r>
          </w:p>
        </w:tc>
        <w:tc>
          <w:tcPr>
            <w:tcW w:w="294" w:type="pct"/>
            <w:vMerge w:val="continue"/>
            <w:noWrap w:val="0"/>
            <w:vAlign w:val="center"/>
          </w:tcPr>
          <w:p w14:paraId="2F18093E">
            <w:pPr>
              <w:pStyle w:val="12"/>
              <w:ind w:firstLine="0" w:firstLineChars="0"/>
              <w:jc w:val="center"/>
              <w:rPr>
                <w:rFonts w:ascii="Times New Roman"/>
                <w:kern w:val="2"/>
                <w:sz w:val="21"/>
                <w:szCs w:val="21"/>
                <w:highlight w:val="none"/>
              </w:rPr>
            </w:pPr>
          </w:p>
        </w:tc>
        <w:tc>
          <w:tcPr>
            <w:tcW w:w="401" w:type="pct"/>
            <w:noWrap w:val="0"/>
            <w:vAlign w:val="center"/>
          </w:tcPr>
          <w:p w14:paraId="6402A761">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6496</w:t>
            </w:r>
          </w:p>
        </w:tc>
        <w:tc>
          <w:tcPr>
            <w:tcW w:w="262" w:type="pct"/>
            <w:noWrap w:val="0"/>
            <w:vAlign w:val="center"/>
          </w:tcPr>
          <w:p w14:paraId="385C8E89">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8</w:t>
            </w:r>
          </w:p>
        </w:tc>
        <w:tc>
          <w:tcPr>
            <w:tcW w:w="373" w:type="pct"/>
            <w:noWrap w:val="0"/>
            <w:vAlign w:val="center"/>
          </w:tcPr>
          <w:p w14:paraId="4475C326">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0.054</w:t>
            </w:r>
          </w:p>
        </w:tc>
        <w:tc>
          <w:tcPr>
            <w:tcW w:w="149" w:type="pct"/>
            <w:vMerge w:val="continue"/>
            <w:noWrap w:val="0"/>
            <w:vAlign w:val="center"/>
          </w:tcPr>
          <w:p w14:paraId="549BE8D7">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1DB65A38">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3CD5A56A">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760067A9">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10F7F2EF">
            <w:pPr>
              <w:pStyle w:val="12"/>
              <w:ind w:firstLine="0" w:firstLineChars="0"/>
              <w:jc w:val="center"/>
              <w:rPr>
                <w:rFonts w:ascii="Times New Roman"/>
                <w:kern w:val="2"/>
                <w:sz w:val="21"/>
                <w:szCs w:val="21"/>
                <w:highlight w:val="none"/>
              </w:rPr>
            </w:pPr>
          </w:p>
        </w:tc>
        <w:tc>
          <w:tcPr>
            <w:tcW w:w="260" w:type="pct"/>
            <w:noWrap w:val="0"/>
            <w:vAlign w:val="center"/>
          </w:tcPr>
          <w:p w14:paraId="25D0095C">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44C23D57">
            <w:pPr>
              <w:pStyle w:val="12"/>
              <w:ind w:firstLine="0" w:firstLineChars="0"/>
              <w:jc w:val="center"/>
              <w:rPr>
                <w:rFonts w:ascii="Times New Roman"/>
                <w:kern w:val="2"/>
                <w:sz w:val="21"/>
                <w:szCs w:val="21"/>
                <w:highlight w:val="none"/>
              </w:rPr>
            </w:pPr>
          </w:p>
        </w:tc>
      </w:tr>
      <w:tr w14:paraId="4A99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7D7DAB9">
            <w:pPr>
              <w:widowControl/>
              <w:snapToGrid w:val="0"/>
              <w:jc w:val="center"/>
              <w:rPr>
                <w:sz w:val="21"/>
                <w:szCs w:val="21"/>
                <w:highlight w:val="none"/>
              </w:rPr>
            </w:pPr>
          </w:p>
        </w:tc>
        <w:tc>
          <w:tcPr>
            <w:tcW w:w="149" w:type="pct"/>
            <w:vMerge w:val="continue"/>
            <w:noWrap w:val="0"/>
            <w:vAlign w:val="center"/>
          </w:tcPr>
          <w:p w14:paraId="6658D3C6">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5B51D8EA">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180DA75A">
            <w:pPr>
              <w:ind w:firstLine="0" w:firstLineChars="0"/>
              <w:jc w:val="center"/>
              <w:rPr>
                <w:rFonts w:ascii="Times New Roman"/>
                <w:kern w:val="2"/>
                <w:sz w:val="21"/>
                <w:szCs w:val="21"/>
                <w:highlight w:val="none"/>
              </w:rPr>
            </w:pPr>
          </w:p>
        </w:tc>
        <w:tc>
          <w:tcPr>
            <w:tcW w:w="176" w:type="pct"/>
            <w:noWrap w:val="0"/>
            <w:vAlign w:val="center"/>
          </w:tcPr>
          <w:p w14:paraId="1FFE6A2F">
            <w:pPr>
              <w:ind w:firstLine="0" w:firstLineChars="0"/>
              <w:jc w:val="center"/>
              <w:rPr>
                <w:rFonts w:hint="eastAsia" w:ascii="Times New Roman"/>
                <w:kern w:val="2"/>
                <w:sz w:val="21"/>
                <w:szCs w:val="21"/>
                <w:highlight w:val="none"/>
                <w:lang w:val="en-US" w:eastAsia="zh-CN"/>
              </w:rPr>
            </w:pPr>
            <w:r>
              <w:rPr>
                <w:rFonts w:hint="eastAsia" w:ascii="Times New Roman"/>
                <w:kern w:val="2"/>
                <w:sz w:val="21"/>
                <w:szCs w:val="21"/>
                <w:highlight w:val="none"/>
                <w:lang w:val="en-US" w:eastAsia="zh-CN"/>
              </w:rPr>
              <w:t>4#</w:t>
            </w:r>
          </w:p>
        </w:tc>
        <w:tc>
          <w:tcPr>
            <w:tcW w:w="294" w:type="pct"/>
            <w:vMerge w:val="continue"/>
            <w:noWrap w:val="0"/>
            <w:vAlign w:val="center"/>
          </w:tcPr>
          <w:p w14:paraId="15DCD037">
            <w:pPr>
              <w:pStyle w:val="12"/>
              <w:ind w:firstLine="0" w:firstLineChars="0"/>
              <w:jc w:val="center"/>
              <w:rPr>
                <w:rFonts w:ascii="Times New Roman"/>
                <w:kern w:val="2"/>
                <w:sz w:val="21"/>
                <w:szCs w:val="21"/>
                <w:highlight w:val="none"/>
              </w:rPr>
            </w:pPr>
          </w:p>
        </w:tc>
        <w:tc>
          <w:tcPr>
            <w:tcW w:w="401" w:type="pct"/>
            <w:noWrap w:val="0"/>
            <w:vAlign w:val="center"/>
          </w:tcPr>
          <w:p w14:paraId="2E58DF42">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7324</w:t>
            </w:r>
          </w:p>
        </w:tc>
        <w:tc>
          <w:tcPr>
            <w:tcW w:w="262" w:type="pct"/>
            <w:noWrap w:val="0"/>
            <w:vAlign w:val="center"/>
          </w:tcPr>
          <w:p w14:paraId="65FFB51E">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26</w:t>
            </w:r>
          </w:p>
        </w:tc>
        <w:tc>
          <w:tcPr>
            <w:tcW w:w="373" w:type="pct"/>
            <w:noWrap w:val="0"/>
            <w:vAlign w:val="center"/>
          </w:tcPr>
          <w:p w14:paraId="13E695B8">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0.19</w:t>
            </w:r>
          </w:p>
        </w:tc>
        <w:tc>
          <w:tcPr>
            <w:tcW w:w="149" w:type="pct"/>
            <w:vMerge w:val="continue"/>
            <w:noWrap w:val="0"/>
            <w:vAlign w:val="center"/>
          </w:tcPr>
          <w:p w14:paraId="40270597">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037957B1">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5BC49C1A">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622F8BE8">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18CE1CE8">
            <w:pPr>
              <w:pStyle w:val="12"/>
              <w:ind w:firstLine="0" w:firstLineChars="0"/>
              <w:jc w:val="center"/>
              <w:rPr>
                <w:rFonts w:ascii="Times New Roman"/>
                <w:kern w:val="2"/>
                <w:sz w:val="21"/>
                <w:szCs w:val="21"/>
                <w:highlight w:val="none"/>
              </w:rPr>
            </w:pPr>
          </w:p>
        </w:tc>
        <w:tc>
          <w:tcPr>
            <w:tcW w:w="260" w:type="pct"/>
            <w:noWrap w:val="0"/>
            <w:vAlign w:val="center"/>
          </w:tcPr>
          <w:p w14:paraId="2BA1CA6D">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36D46EF7">
            <w:pPr>
              <w:pStyle w:val="12"/>
              <w:ind w:firstLine="0" w:firstLineChars="0"/>
              <w:jc w:val="center"/>
              <w:rPr>
                <w:rFonts w:ascii="Times New Roman"/>
                <w:kern w:val="2"/>
                <w:sz w:val="21"/>
                <w:szCs w:val="21"/>
                <w:highlight w:val="none"/>
              </w:rPr>
            </w:pPr>
          </w:p>
        </w:tc>
      </w:tr>
      <w:tr w14:paraId="57A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21F4A1F5">
            <w:pPr>
              <w:widowControl/>
              <w:snapToGrid w:val="0"/>
              <w:jc w:val="center"/>
              <w:rPr>
                <w:sz w:val="21"/>
                <w:szCs w:val="21"/>
                <w:highlight w:val="none"/>
              </w:rPr>
            </w:pPr>
          </w:p>
        </w:tc>
        <w:tc>
          <w:tcPr>
            <w:tcW w:w="149" w:type="pct"/>
            <w:vMerge w:val="continue"/>
            <w:noWrap w:val="0"/>
            <w:vAlign w:val="center"/>
          </w:tcPr>
          <w:p w14:paraId="450ABBCC">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64F943E6">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6F11B7B0">
            <w:pPr>
              <w:ind w:firstLine="0" w:firstLineChars="0"/>
              <w:jc w:val="center"/>
              <w:rPr>
                <w:rFonts w:ascii="Times New Roman"/>
                <w:kern w:val="2"/>
                <w:sz w:val="21"/>
                <w:szCs w:val="21"/>
                <w:highlight w:val="none"/>
              </w:rPr>
            </w:pPr>
          </w:p>
        </w:tc>
        <w:tc>
          <w:tcPr>
            <w:tcW w:w="176" w:type="pct"/>
            <w:noWrap w:val="0"/>
            <w:vAlign w:val="center"/>
          </w:tcPr>
          <w:p w14:paraId="4BBA0B80">
            <w:pPr>
              <w:ind w:firstLine="0" w:firstLineChars="0"/>
              <w:jc w:val="center"/>
              <w:rPr>
                <w:rFonts w:hint="eastAsia" w:ascii="Times New Roman"/>
                <w:kern w:val="2"/>
                <w:sz w:val="21"/>
                <w:szCs w:val="21"/>
                <w:highlight w:val="none"/>
                <w:lang w:val="en-US" w:eastAsia="zh-CN"/>
              </w:rPr>
            </w:pPr>
            <w:r>
              <w:rPr>
                <w:rFonts w:hint="eastAsia" w:ascii="Times New Roman"/>
                <w:kern w:val="2"/>
                <w:sz w:val="21"/>
                <w:szCs w:val="21"/>
                <w:highlight w:val="none"/>
                <w:lang w:val="en-US" w:eastAsia="zh-CN"/>
              </w:rPr>
              <w:t>5#</w:t>
            </w:r>
          </w:p>
        </w:tc>
        <w:tc>
          <w:tcPr>
            <w:tcW w:w="294" w:type="pct"/>
            <w:vMerge w:val="continue"/>
            <w:noWrap w:val="0"/>
            <w:vAlign w:val="center"/>
          </w:tcPr>
          <w:p w14:paraId="1FCF743A">
            <w:pPr>
              <w:pStyle w:val="12"/>
              <w:ind w:firstLine="0" w:firstLineChars="0"/>
              <w:jc w:val="center"/>
              <w:rPr>
                <w:rFonts w:ascii="Times New Roman"/>
                <w:kern w:val="2"/>
                <w:sz w:val="21"/>
                <w:szCs w:val="21"/>
                <w:highlight w:val="none"/>
              </w:rPr>
            </w:pPr>
          </w:p>
        </w:tc>
        <w:tc>
          <w:tcPr>
            <w:tcW w:w="401" w:type="pct"/>
            <w:noWrap w:val="0"/>
            <w:vAlign w:val="center"/>
          </w:tcPr>
          <w:p w14:paraId="1C530F09">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7407</w:t>
            </w:r>
          </w:p>
        </w:tc>
        <w:tc>
          <w:tcPr>
            <w:tcW w:w="262" w:type="pct"/>
            <w:noWrap w:val="0"/>
            <w:vAlign w:val="center"/>
          </w:tcPr>
          <w:p w14:paraId="67860C32">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38</w:t>
            </w:r>
          </w:p>
        </w:tc>
        <w:tc>
          <w:tcPr>
            <w:tcW w:w="373" w:type="pct"/>
            <w:noWrap w:val="0"/>
            <w:vAlign w:val="center"/>
          </w:tcPr>
          <w:p w14:paraId="31ACD276">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0.28</w:t>
            </w:r>
          </w:p>
        </w:tc>
        <w:tc>
          <w:tcPr>
            <w:tcW w:w="149" w:type="pct"/>
            <w:vMerge w:val="continue"/>
            <w:noWrap w:val="0"/>
            <w:vAlign w:val="center"/>
          </w:tcPr>
          <w:p w14:paraId="4F4BABD7">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4BE5C612">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27B3DE86">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461909DC">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3F6721F3">
            <w:pPr>
              <w:pStyle w:val="12"/>
              <w:ind w:firstLine="0" w:firstLineChars="0"/>
              <w:jc w:val="center"/>
              <w:rPr>
                <w:rFonts w:ascii="Times New Roman"/>
                <w:kern w:val="2"/>
                <w:sz w:val="21"/>
                <w:szCs w:val="21"/>
                <w:highlight w:val="none"/>
              </w:rPr>
            </w:pPr>
          </w:p>
        </w:tc>
        <w:tc>
          <w:tcPr>
            <w:tcW w:w="260" w:type="pct"/>
            <w:noWrap w:val="0"/>
            <w:vAlign w:val="center"/>
          </w:tcPr>
          <w:p w14:paraId="0CBBCDA1">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47A6F6AD">
            <w:pPr>
              <w:pStyle w:val="12"/>
              <w:ind w:firstLine="0" w:firstLineChars="0"/>
              <w:jc w:val="center"/>
              <w:rPr>
                <w:rFonts w:ascii="Times New Roman"/>
                <w:kern w:val="2"/>
                <w:sz w:val="21"/>
                <w:szCs w:val="21"/>
                <w:highlight w:val="none"/>
              </w:rPr>
            </w:pPr>
          </w:p>
        </w:tc>
      </w:tr>
      <w:tr w14:paraId="3B78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9" w:type="pct"/>
            <w:vMerge w:val="continue"/>
            <w:noWrap w:val="0"/>
            <w:vAlign w:val="center"/>
          </w:tcPr>
          <w:p w14:paraId="26B56B32">
            <w:pPr>
              <w:widowControl/>
              <w:snapToGrid w:val="0"/>
              <w:jc w:val="center"/>
              <w:rPr>
                <w:sz w:val="21"/>
                <w:szCs w:val="21"/>
                <w:highlight w:val="none"/>
              </w:rPr>
            </w:pPr>
          </w:p>
        </w:tc>
        <w:tc>
          <w:tcPr>
            <w:tcW w:w="149" w:type="pct"/>
            <w:vMerge w:val="continue"/>
            <w:noWrap w:val="0"/>
            <w:vAlign w:val="center"/>
          </w:tcPr>
          <w:p w14:paraId="1F653E05">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77A913B5">
            <w:pPr>
              <w:pStyle w:val="12"/>
              <w:ind w:firstLine="0" w:firstLineChars="0"/>
              <w:jc w:val="center"/>
              <w:rPr>
                <w:rFonts w:ascii="Times New Roman"/>
                <w:kern w:val="2"/>
                <w:sz w:val="21"/>
                <w:szCs w:val="21"/>
                <w:highlight w:val="none"/>
              </w:rPr>
            </w:pPr>
          </w:p>
        </w:tc>
        <w:tc>
          <w:tcPr>
            <w:tcW w:w="277" w:type="pct"/>
            <w:vMerge w:val="restart"/>
            <w:noWrap w:val="0"/>
            <w:vAlign w:val="center"/>
          </w:tcPr>
          <w:p w14:paraId="28FF4DAD">
            <w:pPr>
              <w:pStyle w:val="12"/>
              <w:ind w:firstLine="0" w:firstLineChars="0"/>
              <w:jc w:val="center"/>
              <w:rPr>
                <w:rFonts w:hint="default" w:ascii="Times New Roman"/>
                <w:kern w:val="2"/>
                <w:sz w:val="21"/>
                <w:szCs w:val="21"/>
                <w:highlight w:val="none"/>
                <w:lang w:val="en-US" w:eastAsia="zh-CN"/>
              </w:rPr>
            </w:pPr>
            <w:r>
              <w:rPr>
                <w:rFonts w:ascii="Times New Roman"/>
                <w:kern w:val="2"/>
                <w:sz w:val="21"/>
                <w:szCs w:val="21"/>
                <w:highlight w:val="none"/>
              </w:rPr>
              <w:t>磨煤废气</w:t>
            </w:r>
          </w:p>
        </w:tc>
        <w:tc>
          <w:tcPr>
            <w:tcW w:w="176" w:type="pct"/>
            <w:noWrap w:val="0"/>
            <w:vAlign w:val="center"/>
          </w:tcPr>
          <w:p w14:paraId="53C26928">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1#</w:t>
            </w:r>
          </w:p>
        </w:tc>
        <w:tc>
          <w:tcPr>
            <w:tcW w:w="294" w:type="pct"/>
            <w:vMerge w:val="restart"/>
            <w:noWrap w:val="0"/>
            <w:vAlign w:val="center"/>
          </w:tcPr>
          <w:p w14:paraId="59843CA3">
            <w:pPr>
              <w:pStyle w:val="12"/>
              <w:ind w:firstLine="0" w:firstLineChars="0"/>
              <w:jc w:val="center"/>
              <w:rPr>
                <w:rFonts w:ascii="Times New Roman"/>
                <w:kern w:val="2"/>
                <w:sz w:val="21"/>
                <w:szCs w:val="21"/>
                <w:highlight w:val="none"/>
              </w:rPr>
            </w:pPr>
            <w:r>
              <w:rPr>
                <w:rFonts w:ascii="Times New Roman"/>
                <w:kern w:val="2"/>
                <w:sz w:val="21"/>
                <w:szCs w:val="21"/>
                <w:highlight w:val="none"/>
              </w:rPr>
              <w:t>颗粒物</w:t>
            </w:r>
          </w:p>
        </w:tc>
        <w:tc>
          <w:tcPr>
            <w:tcW w:w="401" w:type="pct"/>
            <w:noWrap w:val="0"/>
            <w:vAlign w:val="center"/>
          </w:tcPr>
          <w:p w14:paraId="690F5F86">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43894</w:t>
            </w:r>
          </w:p>
        </w:tc>
        <w:tc>
          <w:tcPr>
            <w:tcW w:w="262" w:type="pct"/>
            <w:noWrap w:val="0"/>
            <w:vAlign w:val="center"/>
          </w:tcPr>
          <w:p w14:paraId="38F6C7FF">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13</w:t>
            </w:r>
          </w:p>
        </w:tc>
        <w:tc>
          <w:tcPr>
            <w:tcW w:w="373" w:type="pct"/>
            <w:noWrap w:val="0"/>
            <w:vAlign w:val="center"/>
          </w:tcPr>
          <w:p w14:paraId="668D566F">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0.57</w:t>
            </w:r>
          </w:p>
        </w:tc>
        <w:tc>
          <w:tcPr>
            <w:tcW w:w="149" w:type="pct"/>
            <w:vMerge w:val="restart"/>
            <w:noWrap w:val="0"/>
            <w:vAlign w:val="center"/>
          </w:tcPr>
          <w:p w14:paraId="77733B7A">
            <w:pPr>
              <w:pStyle w:val="12"/>
              <w:ind w:firstLine="0" w:firstLineChars="0"/>
              <w:jc w:val="center"/>
              <w:rPr>
                <w:rFonts w:ascii="Times New Roman"/>
                <w:kern w:val="2"/>
                <w:sz w:val="21"/>
                <w:szCs w:val="21"/>
                <w:highlight w:val="none"/>
              </w:rPr>
            </w:pPr>
            <w:r>
              <w:rPr>
                <w:rFonts w:ascii="Times New Roman"/>
                <w:kern w:val="2"/>
                <w:sz w:val="21"/>
                <w:szCs w:val="21"/>
                <w:highlight w:val="none"/>
              </w:rPr>
              <w:t>6</w:t>
            </w:r>
          </w:p>
        </w:tc>
        <w:tc>
          <w:tcPr>
            <w:tcW w:w="200" w:type="pct"/>
            <w:vMerge w:val="restart"/>
            <w:noWrap w:val="0"/>
            <w:vAlign w:val="center"/>
          </w:tcPr>
          <w:p w14:paraId="03CBEF61">
            <w:pPr>
              <w:pStyle w:val="12"/>
              <w:ind w:firstLine="0" w:firstLineChars="0"/>
              <w:jc w:val="center"/>
              <w:rPr>
                <w:rFonts w:ascii="Times New Roman"/>
                <w:kern w:val="2"/>
                <w:sz w:val="21"/>
                <w:szCs w:val="21"/>
                <w:highlight w:val="none"/>
              </w:rPr>
            </w:pPr>
            <w:r>
              <w:rPr>
                <w:rFonts w:ascii="Times New Roman"/>
                <w:kern w:val="2"/>
                <w:sz w:val="21"/>
                <w:szCs w:val="21"/>
                <w:highlight w:val="none"/>
              </w:rPr>
              <w:t>95</w:t>
            </w:r>
          </w:p>
        </w:tc>
        <w:tc>
          <w:tcPr>
            <w:tcW w:w="271" w:type="pct"/>
            <w:vMerge w:val="restart"/>
            <w:noWrap w:val="0"/>
            <w:vAlign w:val="center"/>
          </w:tcPr>
          <w:p w14:paraId="1D459389">
            <w:pPr>
              <w:pStyle w:val="12"/>
              <w:ind w:firstLine="0" w:firstLineChars="0"/>
              <w:jc w:val="center"/>
              <w:rPr>
                <w:rFonts w:ascii="Times New Roman"/>
                <w:kern w:val="2"/>
                <w:sz w:val="21"/>
                <w:szCs w:val="21"/>
                <w:highlight w:val="none"/>
              </w:rPr>
            </w:pPr>
            <w:r>
              <w:rPr>
                <w:rFonts w:ascii="Times New Roman"/>
                <w:kern w:val="2"/>
                <w:sz w:val="21"/>
                <w:szCs w:val="21"/>
                <w:highlight w:val="none"/>
              </w:rPr>
              <w:t>0.9</w:t>
            </w:r>
          </w:p>
        </w:tc>
        <w:tc>
          <w:tcPr>
            <w:tcW w:w="262" w:type="pct"/>
            <w:vMerge w:val="restart"/>
            <w:noWrap w:val="0"/>
            <w:vAlign w:val="center"/>
          </w:tcPr>
          <w:p w14:paraId="2A3611B2">
            <w:pPr>
              <w:pStyle w:val="12"/>
              <w:ind w:firstLine="0" w:firstLineChars="0"/>
              <w:jc w:val="center"/>
              <w:rPr>
                <w:rFonts w:ascii="Times New Roman"/>
                <w:kern w:val="2"/>
                <w:sz w:val="21"/>
                <w:szCs w:val="21"/>
                <w:highlight w:val="none"/>
              </w:rPr>
            </w:pPr>
            <w:r>
              <w:rPr>
                <w:rFonts w:ascii="Times New Roman"/>
                <w:kern w:val="2"/>
                <w:sz w:val="21"/>
                <w:szCs w:val="21"/>
                <w:highlight w:val="none"/>
              </w:rPr>
              <w:t>120</w:t>
            </w:r>
          </w:p>
        </w:tc>
        <w:tc>
          <w:tcPr>
            <w:tcW w:w="418" w:type="pct"/>
            <w:vMerge w:val="restart"/>
            <w:noWrap w:val="0"/>
            <w:vAlign w:val="center"/>
          </w:tcPr>
          <w:p w14:paraId="27CFFE83">
            <w:pPr>
              <w:pStyle w:val="12"/>
              <w:ind w:firstLine="0" w:firstLineChars="0"/>
              <w:jc w:val="center"/>
              <w:rPr>
                <w:rFonts w:ascii="Times New Roman"/>
                <w:kern w:val="2"/>
                <w:sz w:val="21"/>
                <w:szCs w:val="21"/>
                <w:highlight w:val="none"/>
              </w:rPr>
            </w:pPr>
            <w:r>
              <w:rPr>
                <w:rFonts w:ascii="Times New Roman"/>
                <w:kern w:val="2"/>
                <w:sz w:val="21"/>
                <w:szCs w:val="21"/>
                <w:highlight w:val="none"/>
              </w:rPr>
              <w:t>213</w:t>
            </w:r>
          </w:p>
        </w:tc>
        <w:tc>
          <w:tcPr>
            <w:tcW w:w="260" w:type="pct"/>
            <w:noWrap w:val="0"/>
            <w:vAlign w:val="center"/>
          </w:tcPr>
          <w:p w14:paraId="66D836C8">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7E9676BF">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6D75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B69764A">
            <w:pPr>
              <w:widowControl/>
              <w:snapToGrid w:val="0"/>
              <w:jc w:val="center"/>
              <w:rPr>
                <w:sz w:val="21"/>
                <w:szCs w:val="21"/>
                <w:highlight w:val="none"/>
              </w:rPr>
            </w:pPr>
          </w:p>
        </w:tc>
        <w:tc>
          <w:tcPr>
            <w:tcW w:w="149" w:type="pct"/>
            <w:vMerge w:val="continue"/>
            <w:noWrap w:val="0"/>
            <w:vAlign w:val="center"/>
          </w:tcPr>
          <w:p w14:paraId="6901520E">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6E0CC733">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1ED4EE7C">
            <w:pPr>
              <w:pStyle w:val="12"/>
              <w:ind w:firstLine="0" w:firstLineChars="0"/>
              <w:jc w:val="center"/>
              <w:rPr>
                <w:rFonts w:hint="default" w:ascii="Times New Roman" w:eastAsia="宋体"/>
                <w:kern w:val="2"/>
                <w:sz w:val="21"/>
                <w:szCs w:val="21"/>
                <w:highlight w:val="none"/>
                <w:lang w:val="en-US" w:eastAsia="zh-CN"/>
              </w:rPr>
            </w:pPr>
          </w:p>
        </w:tc>
        <w:tc>
          <w:tcPr>
            <w:tcW w:w="176" w:type="pct"/>
            <w:noWrap w:val="0"/>
            <w:vAlign w:val="center"/>
          </w:tcPr>
          <w:p w14:paraId="09254C4E">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2#</w:t>
            </w:r>
          </w:p>
        </w:tc>
        <w:tc>
          <w:tcPr>
            <w:tcW w:w="294" w:type="pct"/>
            <w:vMerge w:val="continue"/>
            <w:noWrap w:val="0"/>
            <w:vAlign w:val="center"/>
          </w:tcPr>
          <w:p w14:paraId="06C2B254">
            <w:pPr>
              <w:pStyle w:val="12"/>
              <w:ind w:firstLine="0" w:firstLineChars="0"/>
              <w:jc w:val="center"/>
              <w:rPr>
                <w:rFonts w:ascii="Times New Roman"/>
                <w:kern w:val="2"/>
                <w:sz w:val="21"/>
                <w:szCs w:val="21"/>
                <w:highlight w:val="none"/>
              </w:rPr>
            </w:pPr>
          </w:p>
        </w:tc>
        <w:tc>
          <w:tcPr>
            <w:tcW w:w="401" w:type="pct"/>
            <w:noWrap w:val="0"/>
            <w:vAlign w:val="center"/>
          </w:tcPr>
          <w:p w14:paraId="7E64A08E">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43372</w:t>
            </w:r>
          </w:p>
        </w:tc>
        <w:tc>
          <w:tcPr>
            <w:tcW w:w="262" w:type="pct"/>
            <w:noWrap w:val="0"/>
            <w:vAlign w:val="center"/>
          </w:tcPr>
          <w:p w14:paraId="72A24985">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20</w:t>
            </w:r>
          </w:p>
        </w:tc>
        <w:tc>
          <w:tcPr>
            <w:tcW w:w="373" w:type="pct"/>
            <w:noWrap w:val="0"/>
            <w:vAlign w:val="center"/>
          </w:tcPr>
          <w:p w14:paraId="37BC2278">
            <w:pPr>
              <w:pStyle w:val="12"/>
              <w:ind w:firstLine="0" w:firstLineChars="0"/>
              <w:jc w:val="center"/>
              <w:rPr>
                <w:rFonts w:hint="default" w:ascii="Times New Roman"/>
                <w:sz w:val="21"/>
                <w:szCs w:val="21"/>
                <w:highlight w:val="none"/>
                <w:lang w:val="en-US" w:eastAsia="zh-CN"/>
              </w:rPr>
            </w:pPr>
            <w:r>
              <w:rPr>
                <w:rFonts w:hint="eastAsia" w:ascii="Times New Roman"/>
                <w:sz w:val="21"/>
                <w:szCs w:val="21"/>
                <w:highlight w:val="none"/>
                <w:lang w:val="en-US" w:eastAsia="zh-CN"/>
              </w:rPr>
              <w:t>0.87</w:t>
            </w:r>
          </w:p>
        </w:tc>
        <w:tc>
          <w:tcPr>
            <w:tcW w:w="149" w:type="pct"/>
            <w:vMerge w:val="continue"/>
            <w:noWrap w:val="0"/>
            <w:vAlign w:val="center"/>
          </w:tcPr>
          <w:p w14:paraId="3647F22F">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6907E830">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7B349947">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16B7C889">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57DC3FE9">
            <w:pPr>
              <w:pStyle w:val="12"/>
              <w:ind w:firstLine="0" w:firstLineChars="0"/>
              <w:jc w:val="center"/>
              <w:rPr>
                <w:rFonts w:ascii="Times New Roman"/>
                <w:kern w:val="2"/>
                <w:sz w:val="21"/>
                <w:szCs w:val="21"/>
                <w:highlight w:val="none"/>
              </w:rPr>
            </w:pPr>
          </w:p>
        </w:tc>
        <w:tc>
          <w:tcPr>
            <w:tcW w:w="260" w:type="pct"/>
            <w:noWrap w:val="0"/>
            <w:vAlign w:val="center"/>
          </w:tcPr>
          <w:p w14:paraId="09C76635">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07A3FE17">
            <w:pPr>
              <w:pStyle w:val="12"/>
              <w:ind w:firstLine="0" w:firstLineChars="0"/>
              <w:jc w:val="center"/>
              <w:rPr>
                <w:rFonts w:ascii="Times New Roman"/>
                <w:kern w:val="2"/>
                <w:sz w:val="21"/>
                <w:szCs w:val="21"/>
                <w:highlight w:val="none"/>
              </w:rPr>
            </w:pPr>
          </w:p>
        </w:tc>
      </w:tr>
      <w:tr w14:paraId="734D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61E258B">
            <w:pPr>
              <w:widowControl/>
              <w:snapToGrid w:val="0"/>
              <w:jc w:val="center"/>
              <w:rPr>
                <w:sz w:val="21"/>
                <w:szCs w:val="21"/>
                <w:highlight w:val="none"/>
              </w:rPr>
            </w:pPr>
          </w:p>
        </w:tc>
        <w:tc>
          <w:tcPr>
            <w:tcW w:w="149" w:type="pct"/>
            <w:vMerge w:val="continue"/>
            <w:noWrap w:val="0"/>
            <w:vAlign w:val="center"/>
          </w:tcPr>
          <w:p w14:paraId="341AABBF">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6391E292">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5379E380">
            <w:pPr>
              <w:pStyle w:val="12"/>
              <w:ind w:firstLine="0" w:firstLineChars="0"/>
              <w:jc w:val="center"/>
              <w:rPr>
                <w:rFonts w:hint="default" w:ascii="Times New Roman"/>
                <w:kern w:val="2"/>
                <w:sz w:val="21"/>
                <w:szCs w:val="21"/>
                <w:highlight w:val="none"/>
                <w:lang w:val="en-US" w:eastAsia="zh-CN"/>
              </w:rPr>
            </w:pPr>
          </w:p>
        </w:tc>
        <w:tc>
          <w:tcPr>
            <w:tcW w:w="176" w:type="pct"/>
            <w:noWrap w:val="0"/>
            <w:vAlign w:val="center"/>
          </w:tcPr>
          <w:p w14:paraId="7DE8846F">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3#</w:t>
            </w:r>
          </w:p>
        </w:tc>
        <w:tc>
          <w:tcPr>
            <w:tcW w:w="294" w:type="pct"/>
            <w:vMerge w:val="continue"/>
            <w:noWrap w:val="0"/>
            <w:vAlign w:val="center"/>
          </w:tcPr>
          <w:p w14:paraId="61376D3E">
            <w:pPr>
              <w:pStyle w:val="12"/>
              <w:ind w:firstLine="0" w:firstLineChars="0"/>
              <w:jc w:val="center"/>
              <w:rPr>
                <w:rFonts w:ascii="Times New Roman"/>
                <w:kern w:val="2"/>
                <w:sz w:val="21"/>
                <w:szCs w:val="21"/>
                <w:highlight w:val="none"/>
              </w:rPr>
            </w:pPr>
          </w:p>
        </w:tc>
        <w:tc>
          <w:tcPr>
            <w:tcW w:w="401" w:type="pct"/>
            <w:noWrap w:val="0"/>
            <w:vAlign w:val="center"/>
          </w:tcPr>
          <w:p w14:paraId="2FC4F173">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42054</w:t>
            </w:r>
          </w:p>
        </w:tc>
        <w:tc>
          <w:tcPr>
            <w:tcW w:w="262" w:type="pct"/>
            <w:noWrap w:val="0"/>
            <w:vAlign w:val="center"/>
          </w:tcPr>
          <w:p w14:paraId="33758F92">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23</w:t>
            </w:r>
          </w:p>
        </w:tc>
        <w:tc>
          <w:tcPr>
            <w:tcW w:w="373" w:type="pct"/>
            <w:noWrap w:val="0"/>
            <w:vAlign w:val="center"/>
          </w:tcPr>
          <w:p w14:paraId="1E450BDE">
            <w:pPr>
              <w:pStyle w:val="12"/>
              <w:ind w:firstLine="0" w:firstLineChars="0"/>
              <w:jc w:val="center"/>
              <w:rPr>
                <w:rFonts w:hint="default" w:ascii="Times New Roman"/>
                <w:sz w:val="21"/>
                <w:szCs w:val="21"/>
                <w:highlight w:val="none"/>
                <w:lang w:val="en-US" w:eastAsia="zh-CN"/>
              </w:rPr>
            </w:pPr>
            <w:r>
              <w:rPr>
                <w:rFonts w:hint="eastAsia" w:ascii="Times New Roman"/>
                <w:sz w:val="21"/>
                <w:szCs w:val="21"/>
                <w:highlight w:val="none"/>
                <w:lang w:val="en-US" w:eastAsia="zh-CN"/>
              </w:rPr>
              <w:t>0.96</w:t>
            </w:r>
          </w:p>
        </w:tc>
        <w:tc>
          <w:tcPr>
            <w:tcW w:w="149" w:type="pct"/>
            <w:vMerge w:val="continue"/>
            <w:noWrap w:val="0"/>
            <w:vAlign w:val="center"/>
          </w:tcPr>
          <w:p w14:paraId="44FA9F8F">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235FE7EC">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44D7B031">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715B53CB">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219E0111">
            <w:pPr>
              <w:pStyle w:val="12"/>
              <w:ind w:firstLine="0" w:firstLineChars="0"/>
              <w:jc w:val="center"/>
              <w:rPr>
                <w:rFonts w:ascii="Times New Roman"/>
                <w:kern w:val="2"/>
                <w:sz w:val="21"/>
                <w:szCs w:val="21"/>
                <w:highlight w:val="none"/>
              </w:rPr>
            </w:pPr>
          </w:p>
        </w:tc>
        <w:tc>
          <w:tcPr>
            <w:tcW w:w="260" w:type="pct"/>
            <w:noWrap w:val="0"/>
            <w:vAlign w:val="center"/>
          </w:tcPr>
          <w:p w14:paraId="1587E182">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4972A1C8">
            <w:pPr>
              <w:pStyle w:val="12"/>
              <w:ind w:firstLine="0" w:firstLineChars="0"/>
              <w:jc w:val="center"/>
              <w:rPr>
                <w:rFonts w:ascii="Times New Roman"/>
                <w:kern w:val="2"/>
                <w:sz w:val="21"/>
                <w:szCs w:val="21"/>
                <w:highlight w:val="none"/>
              </w:rPr>
            </w:pPr>
          </w:p>
        </w:tc>
      </w:tr>
      <w:tr w14:paraId="76CE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1068385B">
            <w:pPr>
              <w:widowControl/>
              <w:snapToGrid w:val="0"/>
              <w:jc w:val="center"/>
              <w:rPr>
                <w:sz w:val="21"/>
                <w:szCs w:val="21"/>
                <w:highlight w:val="none"/>
              </w:rPr>
            </w:pPr>
          </w:p>
        </w:tc>
        <w:tc>
          <w:tcPr>
            <w:tcW w:w="149" w:type="pct"/>
            <w:vMerge w:val="continue"/>
            <w:noWrap w:val="0"/>
            <w:vAlign w:val="center"/>
          </w:tcPr>
          <w:p w14:paraId="5AFDD631">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73AE4A0F">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16C91073">
            <w:pPr>
              <w:pStyle w:val="12"/>
              <w:ind w:firstLine="0" w:firstLineChars="0"/>
              <w:jc w:val="center"/>
              <w:rPr>
                <w:rFonts w:hint="default" w:ascii="Times New Roman"/>
                <w:kern w:val="2"/>
                <w:sz w:val="21"/>
                <w:szCs w:val="21"/>
                <w:highlight w:val="none"/>
                <w:lang w:val="en-US" w:eastAsia="zh-CN"/>
              </w:rPr>
            </w:pPr>
          </w:p>
        </w:tc>
        <w:tc>
          <w:tcPr>
            <w:tcW w:w="176" w:type="pct"/>
            <w:noWrap w:val="0"/>
            <w:vAlign w:val="center"/>
          </w:tcPr>
          <w:p w14:paraId="1405E017">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6#</w:t>
            </w:r>
          </w:p>
        </w:tc>
        <w:tc>
          <w:tcPr>
            <w:tcW w:w="294" w:type="pct"/>
            <w:vMerge w:val="continue"/>
            <w:noWrap w:val="0"/>
            <w:vAlign w:val="center"/>
          </w:tcPr>
          <w:p w14:paraId="0F1796A5">
            <w:pPr>
              <w:pStyle w:val="12"/>
              <w:ind w:firstLine="0" w:firstLineChars="0"/>
              <w:jc w:val="center"/>
              <w:rPr>
                <w:rFonts w:ascii="Times New Roman"/>
                <w:kern w:val="2"/>
                <w:sz w:val="21"/>
                <w:szCs w:val="21"/>
                <w:highlight w:val="none"/>
              </w:rPr>
            </w:pPr>
          </w:p>
        </w:tc>
        <w:tc>
          <w:tcPr>
            <w:tcW w:w="401" w:type="pct"/>
            <w:noWrap w:val="0"/>
            <w:vAlign w:val="center"/>
          </w:tcPr>
          <w:p w14:paraId="2A7378B4">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30327</w:t>
            </w:r>
          </w:p>
        </w:tc>
        <w:tc>
          <w:tcPr>
            <w:tcW w:w="262" w:type="pct"/>
            <w:noWrap w:val="0"/>
            <w:vAlign w:val="center"/>
          </w:tcPr>
          <w:p w14:paraId="257AE636">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12</w:t>
            </w:r>
          </w:p>
        </w:tc>
        <w:tc>
          <w:tcPr>
            <w:tcW w:w="373" w:type="pct"/>
            <w:noWrap w:val="0"/>
            <w:vAlign w:val="center"/>
          </w:tcPr>
          <w:p w14:paraId="5F2A7C22">
            <w:pPr>
              <w:pStyle w:val="12"/>
              <w:ind w:firstLine="0" w:firstLineChars="0"/>
              <w:jc w:val="center"/>
              <w:rPr>
                <w:rFonts w:hint="default" w:ascii="Times New Roman"/>
                <w:sz w:val="21"/>
                <w:szCs w:val="21"/>
                <w:highlight w:val="none"/>
                <w:lang w:val="en-US" w:eastAsia="zh-CN"/>
              </w:rPr>
            </w:pPr>
            <w:r>
              <w:rPr>
                <w:rFonts w:hint="eastAsia" w:ascii="Times New Roman"/>
                <w:sz w:val="21"/>
                <w:szCs w:val="21"/>
                <w:highlight w:val="none"/>
                <w:lang w:val="en-US" w:eastAsia="zh-CN"/>
              </w:rPr>
              <w:t>0.38</w:t>
            </w:r>
          </w:p>
        </w:tc>
        <w:tc>
          <w:tcPr>
            <w:tcW w:w="149" w:type="pct"/>
            <w:vMerge w:val="continue"/>
            <w:noWrap w:val="0"/>
            <w:vAlign w:val="center"/>
          </w:tcPr>
          <w:p w14:paraId="6618F5AC">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173A55C0">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46CBCC51">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675C75F1">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35818D79">
            <w:pPr>
              <w:pStyle w:val="12"/>
              <w:ind w:firstLine="0" w:firstLineChars="0"/>
              <w:jc w:val="center"/>
              <w:rPr>
                <w:rFonts w:ascii="Times New Roman"/>
                <w:kern w:val="2"/>
                <w:sz w:val="21"/>
                <w:szCs w:val="21"/>
                <w:highlight w:val="none"/>
              </w:rPr>
            </w:pPr>
          </w:p>
        </w:tc>
        <w:tc>
          <w:tcPr>
            <w:tcW w:w="260" w:type="pct"/>
            <w:noWrap w:val="0"/>
            <w:vAlign w:val="center"/>
          </w:tcPr>
          <w:p w14:paraId="22C92B92">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14216A83">
            <w:pPr>
              <w:pStyle w:val="12"/>
              <w:ind w:firstLine="0" w:firstLineChars="0"/>
              <w:jc w:val="center"/>
              <w:rPr>
                <w:rFonts w:ascii="Times New Roman"/>
                <w:kern w:val="2"/>
                <w:sz w:val="21"/>
                <w:szCs w:val="21"/>
                <w:highlight w:val="none"/>
              </w:rPr>
            </w:pPr>
          </w:p>
        </w:tc>
      </w:tr>
      <w:tr w14:paraId="7BAE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0070B1DA">
            <w:pPr>
              <w:widowControl/>
              <w:snapToGrid w:val="0"/>
              <w:jc w:val="center"/>
              <w:rPr>
                <w:sz w:val="21"/>
                <w:szCs w:val="21"/>
                <w:highlight w:val="none"/>
              </w:rPr>
            </w:pPr>
          </w:p>
        </w:tc>
        <w:tc>
          <w:tcPr>
            <w:tcW w:w="149" w:type="pct"/>
            <w:vMerge w:val="continue"/>
            <w:noWrap w:val="0"/>
            <w:vAlign w:val="center"/>
          </w:tcPr>
          <w:p w14:paraId="7CD0FACF">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66686B06">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579FF00F">
            <w:pPr>
              <w:pStyle w:val="12"/>
              <w:ind w:firstLine="0" w:firstLineChars="0"/>
              <w:jc w:val="center"/>
              <w:rPr>
                <w:rFonts w:hint="default" w:ascii="Times New Roman"/>
                <w:kern w:val="2"/>
                <w:sz w:val="21"/>
                <w:szCs w:val="21"/>
                <w:highlight w:val="none"/>
                <w:lang w:val="en-US" w:eastAsia="zh-CN"/>
              </w:rPr>
            </w:pPr>
          </w:p>
        </w:tc>
        <w:tc>
          <w:tcPr>
            <w:tcW w:w="176" w:type="pct"/>
            <w:noWrap w:val="0"/>
            <w:vAlign w:val="center"/>
          </w:tcPr>
          <w:p w14:paraId="3B82AFF2">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7#</w:t>
            </w:r>
          </w:p>
        </w:tc>
        <w:tc>
          <w:tcPr>
            <w:tcW w:w="294" w:type="pct"/>
            <w:vMerge w:val="continue"/>
            <w:noWrap w:val="0"/>
            <w:vAlign w:val="center"/>
          </w:tcPr>
          <w:p w14:paraId="18A39C3A">
            <w:pPr>
              <w:pStyle w:val="12"/>
              <w:ind w:firstLine="0" w:firstLineChars="0"/>
              <w:jc w:val="center"/>
              <w:rPr>
                <w:rFonts w:ascii="Times New Roman"/>
                <w:kern w:val="2"/>
                <w:sz w:val="21"/>
                <w:szCs w:val="21"/>
                <w:highlight w:val="none"/>
              </w:rPr>
            </w:pPr>
          </w:p>
        </w:tc>
        <w:tc>
          <w:tcPr>
            <w:tcW w:w="401" w:type="pct"/>
            <w:noWrap w:val="0"/>
            <w:vAlign w:val="center"/>
          </w:tcPr>
          <w:p w14:paraId="4BD655E5">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43227</w:t>
            </w:r>
          </w:p>
        </w:tc>
        <w:tc>
          <w:tcPr>
            <w:tcW w:w="262" w:type="pct"/>
            <w:noWrap w:val="0"/>
            <w:vAlign w:val="center"/>
          </w:tcPr>
          <w:p w14:paraId="304AEF9A">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35</w:t>
            </w:r>
          </w:p>
        </w:tc>
        <w:tc>
          <w:tcPr>
            <w:tcW w:w="373" w:type="pct"/>
            <w:noWrap w:val="0"/>
            <w:vAlign w:val="center"/>
          </w:tcPr>
          <w:p w14:paraId="50298635">
            <w:pPr>
              <w:pStyle w:val="12"/>
              <w:ind w:firstLine="0" w:firstLineChars="0"/>
              <w:jc w:val="center"/>
              <w:rPr>
                <w:rFonts w:hint="default" w:ascii="Times New Roman"/>
                <w:sz w:val="21"/>
                <w:szCs w:val="21"/>
                <w:highlight w:val="none"/>
                <w:lang w:val="en-US" w:eastAsia="zh-CN"/>
              </w:rPr>
            </w:pPr>
            <w:r>
              <w:rPr>
                <w:rFonts w:hint="eastAsia" w:ascii="Times New Roman"/>
                <w:sz w:val="21"/>
                <w:szCs w:val="21"/>
                <w:highlight w:val="none"/>
                <w:lang w:val="en-US" w:eastAsia="zh-CN"/>
              </w:rPr>
              <w:t>1.53</w:t>
            </w:r>
          </w:p>
        </w:tc>
        <w:tc>
          <w:tcPr>
            <w:tcW w:w="149" w:type="pct"/>
            <w:vMerge w:val="continue"/>
            <w:noWrap w:val="0"/>
            <w:vAlign w:val="center"/>
          </w:tcPr>
          <w:p w14:paraId="69FE22B6">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32B28C9D">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334CBB3B">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4C37DA40">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38F6A7F4">
            <w:pPr>
              <w:pStyle w:val="12"/>
              <w:ind w:firstLine="0" w:firstLineChars="0"/>
              <w:jc w:val="center"/>
              <w:rPr>
                <w:rFonts w:ascii="Times New Roman"/>
                <w:kern w:val="2"/>
                <w:sz w:val="21"/>
                <w:szCs w:val="21"/>
                <w:highlight w:val="none"/>
              </w:rPr>
            </w:pPr>
          </w:p>
        </w:tc>
        <w:tc>
          <w:tcPr>
            <w:tcW w:w="260" w:type="pct"/>
            <w:noWrap w:val="0"/>
            <w:vAlign w:val="center"/>
          </w:tcPr>
          <w:p w14:paraId="73A33874">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1648B8EC">
            <w:pPr>
              <w:pStyle w:val="12"/>
              <w:ind w:firstLine="0" w:firstLineChars="0"/>
              <w:jc w:val="center"/>
              <w:rPr>
                <w:rFonts w:ascii="Times New Roman"/>
                <w:kern w:val="2"/>
                <w:sz w:val="21"/>
                <w:szCs w:val="21"/>
                <w:highlight w:val="none"/>
              </w:rPr>
            </w:pPr>
          </w:p>
        </w:tc>
      </w:tr>
      <w:tr w14:paraId="0F1D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149" w:type="pct"/>
            <w:vMerge w:val="continue"/>
            <w:noWrap w:val="0"/>
            <w:vAlign w:val="center"/>
          </w:tcPr>
          <w:p w14:paraId="47282F43">
            <w:pPr>
              <w:widowControl/>
              <w:snapToGrid w:val="0"/>
              <w:jc w:val="center"/>
              <w:rPr>
                <w:sz w:val="21"/>
                <w:szCs w:val="21"/>
                <w:highlight w:val="none"/>
              </w:rPr>
            </w:pPr>
          </w:p>
        </w:tc>
        <w:tc>
          <w:tcPr>
            <w:tcW w:w="149" w:type="pct"/>
            <w:vMerge w:val="continue"/>
            <w:noWrap w:val="0"/>
            <w:vAlign w:val="center"/>
          </w:tcPr>
          <w:p w14:paraId="2B10851C">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3B3BAE94">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03CB4654">
            <w:pPr>
              <w:pStyle w:val="12"/>
              <w:ind w:firstLine="0" w:firstLineChars="0"/>
              <w:jc w:val="center"/>
              <w:rPr>
                <w:rFonts w:hint="default" w:ascii="Times New Roman"/>
                <w:kern w:val="2"/>
                <w:sz w:val="21"/>
                <w:szCs w:val="21"/>
                <w:highlight w:val="none"/>
                <w:lang w:val="en-US" w:eastAsia="zh-CN"/>
              </w:rPr>
            </w:pPr>
          </w:p>
        </w:tc>
        <w:tc>
          <w:tcPr>
            <w:tcW w:w="176" w:type="pct"/>
            <w:noWrap w:val="0"/>
            <w:vAlign w:val="center"/>
          </w:tcPr>
          <w:p w14:paraId="648A8E13">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8#</w:t>
            </w:r>
          </w:p>
        </w:tc>
        <w:tc>
          <w:tcPr>
            <w:tcW w:w="294" w:type="pct"/>
            <w:vMerge w:val="continue"/>
            <w:noWrap w:val="0"/>
            <w:vAlign w:val="center"/>
          </w:tcPr>
          <w:p w14:paraId="3C556654">
            <w:pPr>
              <w:pStyle w:val="12"/>
              <w:ind w:firstLine="0" w:firstLineChars="0"/>
              <w:jc w:val="center"/>
              <w:rPr>
                <w:rFonts w:ascii="Times New Roman"/>
                <w:kern w:val="2"/>
                <w:sz w:val="21"/>
                <w:szCs w:val="21"/>
                <w:highlight w:val="none"/>
              </w:rPr>
            </w:pPr>
          </w:p>
        </w:tc>
        <w:tc>
          <w:tcPr>
            <w:tcW w:w="401" w:type="pct"/>
            <w:noWrap w:val="0"/>
            <w:vAlign w:val="center"/>
          </w:tcPr>
          <w:p w14:paraId="701D0E3B">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44675</w:t>
            </w:r>
          </w:p>
        </w:tc>
        <w:tc>
          <w:tcPr>
            <w:tcW w:w="262" w:type="pct"/>
            <w:noWrap w:val="0"/>
            <w:vAlign w:val="center"/>
          </w:tcPr>
          <w:p w14:paraId="6952A0BB">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17</w:t>
            </w:r>
          </w:p>
        </w:tc>
        <w:tc>
          <w:tcPr>
            <w:tcW w:w="373" w:type="pct"/>
            <w:noWrap w:val="0"/>
            <w:vAlign w:val="center"/>
          </w:tcPr>
          <w:p w14:paraId="19122D6B">
            <w:pPr>
              <w:pStyle w:val="12"/>
              <w:ind w:firstLine="0" w:firstLineChars="0"/>
              <w:jc w:val="center"/>
              <w:rPr>
                <w:rFonts w:hint="default" w:ascii="Times New Roman"/>
                <w:sz w:val="21"/>
                <w:szCs w:val="21"/>
                <w:highlight w:val="none"/>
                <w:lang w:val="en-US" w:eastAsia="zh-CN"/>
              </w:rPr>
            </w:pPr>
            <w:r>
              <w:rPr>
                <w:rFonts w:hint="eastAsia" w:ascii="Times New Roman"/>
                <w:sz w:val="21"/>
                <w:szCs w:val="21"/>
                <w:highlight w:val="none"/>
                <w:lang w:val="en-US" w:eastAsia="zh-CN"/>
              </w:rPr>
              <w:t>0.74</w:t>
            </w:r>
          </w:p>
        </w:tc>
        <w:tc>
          <w:tcPr>
            <w:tcW w:w="149" w:type="pct"/>
            <w:vMerge w:val="continue"/>
            <w:noWrap w:val="0"/>
            <w:vAlign w:val="center"/>
          </w:tcPr>
          <w:p w14:paraId="1874B0F7">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2702F9F8">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12EFC782">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60B937F7">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1AF9817D">
            <w:pPr>
              <w:pStyle w:val="12"/>
              <w:ind w:firstLine="0" w:firstLineChars="0"/>
              <w:jc w:val="center"/>
              <w:rPr>
                <w:rFonts w:ascii="Times New Roman"/>
                <w:kern w:val="2"/>
                <w:sz w:val="21"/>
                <w:szCs w:val="21"/>
                <w:highlight w:val="none"/>
              </w:rPr>
            </w:pPr>
          </w:p>
        </w:tc>
        <w:tc>
          <w:tcPr>
            <w:tcW w:w="260" w:type="pct"/>
            <w:noWrap w:val="0"/>
            <w:vAlign w:val="center"/>
          </w:tcPr>
          <w:p w14:paraId="258CA777">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6BECC2C5">
            <w:pPr>
              <w:pStyle w:val="12"/>
              <w:ind w:firstLine="0" w:firstLineChars="0"/>
              <w:jc w:val="center"/>
              <w:rPr>
                <w:rFonts w:ascii="Times New Roman"/>
                <w:kern w:val="2"/>
                <w:sz w:val="21"/>
                <w:szCs w:val="21"/>
                <w:highlight w:val="none"/>
              </w:rPr>
            </w:pPr>
          </w:p>
        </w:tc>
      </w:tr>
      <w:tr w14:paraId="4EF3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59B0641">
            <w:pPr>
              <w:widowControl/>
              <w:snapToGrid w:val="0"/>
              <w:jc w:val="center"/>
              <w:rPr>
                <w:sz w:val="21"/>
                <w:szCs w:val="21"/>
                <w:highlight w:val="none"/>
              </w:rPr>
            </w:pPr>
          </w:p>
        </w:tc>
        <w:tc>
          <w:tcPr>
            <w:tcW w:w="149" w:type="pct"/>
            <w:vMerge w:val="continue"/>
            <w:noWrap w:val="0"/>
            <w:vAlign w:val="center"/>
          </w:tcPr>
          <w:p w14:paraId="647A66F2">
            <w:pPr>
              <w:pStyle w:val="12"/>
              <w:ind w:firstLine="0" w:firstLineChars="0"/>
              <w:jc w:val="center"/>
              <w:rPr>
                <w:rFonts w:ascii="Times New Roman"/>
                <w:kern w:val="2"/>
                <w:sz w:val="21"/>
                <w:szCs w:val="21"/>
                <w:highlight w:val="none"/>
              </w:rPr>
            </w:pPr>
          </w:p>
        </w:tc>
        <w:tc>
          <w:tcPr>
            <w:tcW w:w="190" w:type="pct"/>
            <w:vMerge w:val="restart"/>
            <w:noWrap w:val="0"/>
            <w:vAlign w:val="center"/>
          </w:tcPr>
          <w:p w14:paraId="5BF3136F">
            <w:pPr>
              <w:pStyle w:val="12"/>
              <w:ind w:firstLine="0" w:firstLineChars="0"/>
              <w:jc w:val="center"/>
              <w:rPr>
                <w:rFonts w:ascii="Times New Roman"/>
                <w:kern w:val="2"/>
                <w:sz w:val="21"/>
                <w:szCs w:val="21"/>
                <w:highlight w:val="none"/>
              </w:rPr>
            </w:pPr>
            <w:r>
              <w:rPr>
                <w:rFonts w:ascii="Times New Roman"/>
                <w:kern w:val="2"/>
                <w:sz w:val="21"/>
                <w:szCs w:val="21"/>
                <w:highlight w:val="none"/>
              </w:rPr>
              <w:t>煤加压及进煤单元</w:t>
            </w:r>
          </w:p>
        </w:tc>
        <w:tc>
          <w:tcPr>
            <w:tcW w:w="277" w:type="pct"/>
            <w:vMerge w:val="restart"/>
            <w:noWrap w:val="0"/>
            <w:vAlign w:val="center"/>
          </w:tcPr>
          <w:p w14:paraId="1181D694">
            <w:pPr>
              <w:pStyle w:val="12"/>
              <w:ind w:firstLine="0" w:firstLineChars="0"/>
              <w:jc w:val="center"/>
              <w:rPr>
                <w:rFonts w:ascii="Times New Roman"/>
                <w:kern w:val="2"/>
                <w:sz w:val="21"/>
                <w:szCs w:val="21"/>
                <w:highlight w:val="none"/>
              </w:rPr>
            </w:pPr>
            <w:r>
              <w:rPr>
                <w:rFonts w:ascii="Times New Roman"/>
                <w:kern w:val="2"/>
                <w:sz w:val="21"/>
                <w:szCs w:val="21"/>
                <w:highlight w:val="none"/>
              </w:rPr>
              <w:t>粉煤贮罐过滤器排放气</w:t>
            </w:r>
          </w:p>
        </w:tc>
        <w:tc>
          <w:tcPr>
            <w:tcW w:w="176" w:type="pct"/>
            <w:noWrap w:val="0"/>
            <w:vAlign w:val="center"/>
          </w:tcPr>
          <w:p w14:paraId="204876A4">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1#</w:t>
            </w:r>
          </w:p>
        </w:tc>
        <w:tc>
          <w:tcPr>
            <w:tcW w:w="294" w:type="pct"/>
            <w:vMerge w:val="restart"/>
            <w:noWrap w:val="0"/>
            <w:vAlign w:val="center"/>
          </w:tcPr>
          <w:p w14:paraId="273439E2">
            <w:pPr>
              <w:pStyle w:val="12"/>
              <w:ind w:firstLine="0" w:firstLineChars="0"/>
              <w:jc w:val="center"/>
              <w:rPr>
                <w:rFonts w:ascii="Times New Roman"/>
                <w:kern w:val="2"/>
                <w:sz w:val="21"/>
                <w:szCs w:val="21"/>
                <w:highlight w:val="none"/>
              </w:rPr>
            </w:pPr>
            <w:r>
              <w:rPr>
                <w:rFonts w:ascii="Times New Roman"/>
                <w:kern w:val="2"/>
                <w:sz w:val="21"/>
                <w:szCs w:val="21"/>
                <w:highlight w:val="none"/>
              </w:rPr>
              <w:t>颗粒物</w:t>
            </w:r>
          </w:p>
        </w:tc>
        <w:tc>
          <w:tcPr>
            <w:tcW w:w="401" w:type="pct"/>
            <w:noWrap w:val="0"/>
            <w:vAlign w:val="center"/>
          </w:tcPr>
          <w:p w14:paraId="55D68FC7">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21878</w:t>
            </w:r>
          </w:p>
        </w:tc>
        <w:tc>
          <w:tcPr>
            <w:tcW w:w="262" w:type="pct"/>
            <w:noWrap w:val="0"/>
            <w:vAlign w:val="center"/>
          </w:tcPr>
          <w:p w14:paraId="78DA7942">
            <w:pPr>
              <w:pStyle w:val="12"/>
              <w:ind w:firstLine="0" w:firstLineChars="0"/>
              <w:jc w:val="center"/>
              <w:rPr>
                <w:rFonts w:hint="eastAsia" w:ascii="Times New Roman" w:eastAsia="宋体"/>
                <w:kern w:val="2"/>
                <w:sz w:val="21"/>
                <w:szCs w:val="21"/>
                <w:highlight w:val="none"/>
                <w:lang w:eastAsia="zh-CN"/>
              </w:rPr>
            </w:pPr>
            <w:r>
              <w:rPr>
                <w:rFonts w:hint="eastAsia" w:ascii="Times New Roman"/>
                <w:kern w:val="2"/>
                <w:sz w:val="21"/>
                <w:szCs w:val="21"/>
                <w:highlight w:val="none"/>
                <w:lang w:val="en-US" w:eastAsia="zh-CN"/>
              </w:rPr>
              <w:t>6</w:t>
            </w:r>
          </w:p>
        </w:tc>
        <w:tc>
          <w:tcPr>
            <w:tcW w:w="373" w:type="pct"/>
            <w:noWrap w:val="0"/>
            <w:vAlign w:val="center"/>
          </w:tcPr>
          <w:p w14:paraId="21FC060A">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0.14</w:t>
            </w:r>
          </w:p>
        </w:tc>
        <w:tc>
          <w:tcPr>
            <w:tcW w:w="149" w:type="pct"/>
            <w:vMerge w:val="restart"/>
            <w:noWrap w:val="0"/>
            <w:vAlign w:val="center"/>
          </w:tcPr>
          <w:p w14:paraId="3BDAC01D">
            <w:pPr>
              <w:pStyle w:val="12"/>
              <w:ind w:firstLine="0" w:firstLineChars="0"/>
              <w:jc w:val="center"/>
              <w:rPr>
                <w:rFonts w:ascii="Times New Roman"/>
                <w:kern w:val="2"/>
                <w:sz w:val="21"/>
                <w:szCs w:val="21"/>
                <w:highlight w:val="none"/>
              </w:rPr>
            </w:pPr>
            <w:r>
              <w:rPr>
                <w:rFonts w:ascii="Times New Roman"/>
                <w:kern w:val="2"/>
                <w:sz w:val="21"/>
                <w:szCs w:val="21"/>
                <w:highlight w:val="none"/>
              </w:rPr>
              <w:t>6</w:t>
            </w:r>
          </w:p>
        </w:tc>
        <w:tc>
          <w:tcPr>
            <w:tcW w:w="200" w:type="pct"/>
            <w:vMerge w:val="restart"/>
            <w:noWrap w:val="0"/>
            <w:vAlign w:val="center"/>
          </w:tcPr>
          <w:p w14:paraId="4CDBF181">
            <w:pPr>
              <w:pStyle w:val="12"/>
              <w:ind w:firstLine="0" w:firstLineChars="0"/>
              <w:jc w:val="center"/>
              <w:rPr>
                <w:rFonts w:ascii="Times New Roman"/>
                <w:kern w:val="2"/>
                <w:sz w:val="21"/>
                <w:szCs w:val="21"/>
                <w:highlight w:val="none"/>
              </w:rPr>
            </w:pPr>
            <w:r>
              <w:rPr>
                <w:rFonts w:ascii="Times New Roman"/>
                <w:kern w:val="2"/>
                <w:sz w:val="21"/>
                <w:szCs w:val="21"/>
                <w:highlight w:val="none"/>
              </w:rPr>
              <w:t>105</w:t>
            </w:r>
          </w:p>
        </w:tc>
        <w:tc>
          <w:tcPr>
            <w:tcW w:w="271" w:type="pct"/>
            <w:vMerge w:val="restart"/>
            <w:noWrap w:val="0"/>
            <w:vAlign w:val="center"/>
          </w:tcPr>
          <w:p w14:paraId="5013F72F">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62" w:type="pct"/>
            <w:vMerge w:val="restart"/>
            <w:noWrap w:val="0"/>
            <w:vAlign w:val="center"/>
          </w:tcPr>
          <w:p w14:paraId="4D2B6853">
            <w:pPr>
              <w:pStyle w:val="12"/>
              <w:ind w:firstLine="0" w:firstLineChars="0"/>
              <w:jc w:val="center"/>
              <w:rPr>
                <w:rFonts w:ascii="Times New Roman"/>
                <w:kern w:val="2"/>
                <w:sz w:val="21"/>
                <w:szCs w:val="21"/>
                <w:highlight w:val="none"/>
              </w:rPr>
            </w:pPr>
            <w:r>
              <w:rPr>
                <w:rFonts w:ascii="Times New Roman"/>
                <w:kern w:val="2"/>
                <w:sz w:val="21"/>
                <w:szCs w:val="21"/>
                <w:highlight w:val="none"/>
              </w:rPr>
              <w:t>120</w:t>
            </w:r>
          </w:p>
        </w:tc>
        <w:tc>
          <w:tcPr>
            <w:tcW w:w="418" w:type="pct"/>
            <w:vMerge w:val="restart"/>
            <w:noWrap w:val="0"/>
            <w:vAlign w:val="center"/>
          </w:tcPr>
          <w:p w14:paraId="76522FAE">
            <w:pPr>
              <w:pStyle w:val="12"/>
              <w:ind w:firstLine="0" w:firstLineChars="0"/>
              <w:jc w:val="center"/>
              <w:rPr>
                <w:rFonts w:ascii="Times New Roman"/>
                <w:kern w:val="2"/>
                <w:sz w:val="21"/>
                <w:szCs w:val="21"/>
                <w:highlight w:val="none"/>
              </w:rPr>
            </w:pPr>
            <w:r>
              <w:rPr>
                <w:rFonts w:ascii="Times New Roman"/>
                <w:kern w:val="2"/>
                <w:sz w:val="21"/>
                <w:szCs w:val="21"/>
                <w:highlight w:val="none"/>
              </w:rPr>
              <w:t>260</w:t>
            </w:r>
          </w:p>
        </w:tc>
        <w:tc>
          <w:tcPr>
            <w:tcW w:w="260" w:type="pct"/>
            <w:noWrap w:val="0"/>
            <w:vAlign w:val="center"/>
          </w:tcPr>
          <w:p w14:paraId="7AE40C5D">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132ED241">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3C4B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09F1AF1">
            <w:pPr>
              <w:widowControl/>
              <w:snapToGrid w:val="0"/>
              <w:jc w:val="center"/>
              <w:rPr>
                <w:sz w:val="21"/>
                <w:szCs w:val="21"/>
                <w:highlight w:val="none"/>
              </w:rPr>
            </w:pPr>
          </w:p>
        </w:tc>
        <w:tc>
          <w:tcPr>
            <w:tcW w:w="149" w:type="pct"/>
            <w:vMerge w:val="continue"/>
            <w:noWrap w:val="0"/>
            <w:vAlign w:val="center"/>
          </w:tcPr>
          <w:p w14:paraId="6B0C7129">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6EC89361">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366206FE">
            <w:pPr>
              <w:pStyle w:val="12"/>
              <w:ind w:firstLine="0" w:firstLineChars="0"/>
              <w:jc w:val="center"/>
              <w:rPr>
                <w:rFonts w:ascii="Times New Roman"/>
                <w:kern w:val="2"/>
                <w:sz w:val="21"/>
                <w:szCs w:val="21"/>
                <w:highlight w:val="none"/>
              </w:rPr>
            </w:pPr>
          </w:p>
        </w:tc>
        <w:tc>
          <w:tcPr>
            <w:tcW w:w="176" w:type="pct"/>
            <w:noWrap w:val="0"/>
            <w:vAlign w:val="center"/>
          </w:tcPr>
          <w:p w14:paraId="07FDBD56">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2#</w:t>
            </w:r>
          </w:p>
        </w:tc>
        <w:tc>
          <w:tcPr>
            <w:tcW w:w="294" w:type="pct"/>
            <w:vMerge w:val="continue"/>
            <w:noWrap w:val="0"/>
            <w:vAlign w:val="center"/>
          </w:tcPr>
          <w:p w14:paraId="42E9BB42">
            <w:pPr>
              <w:pStyle w:val="12"/>
              <w:ind w:firstLine="0" w:firstLineChars="0"/>
              <w:jc w:val="center"/>
              <w:rPr>
                <w:rFonts w:ascii="Times New Roman"/>
                <w:kern w:val="2"/>
                <w:sz w:val="21"/>
                <w:szCs w:val="21"/>
                <w:highlight w:val="none"/>
              </w:rPr>
            </w:pPr>
          </w:p>
        </w:tc>
        <w:tc>
          <w:tcPr>
            <w:tcW w:w="401" w:type="pct"/>
            <w:noWrap w:val="0"/>
            <w:vAlign w:val="center"/>
          </w:tcPr>
          <w:p w14:paraId="2DBDAFAA">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31865</w:t>
            </w:r>
          </w:p>
        </w:tc>
        <w:tc>
          <w:tcPr>
            <w:tcW w:w="262" w:type="pct"/>
            <w:noWrap w:val="0"/>
            <w:vAlign w:val="center"/>
          </w:tcPr>
          <w:p w14:paraId="5CF16AF6">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5</w:t>
            </w:r>
          </w:p>
        </w:tc>
        <w:tc>
          <w:tcPr>
            <w:tcW w:w="373" w:type="pct"/>
            <w:noWrap w:val="0"/>
            <w:vAlign w:val="center"/>
          </w:tcPr>
          <w:p w14:paraId="5E14D223">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0.17</w:t>
            </w:r>
          </w:p>
        </w:tc>
        <w:tc>
          <w:tcPr>
            <w:tcW w:w="149" w:type="pct"/>
            <w:vMerge w:val="continue"/>
            <w:noWrap w:val="0"/>
            <w:vAlign w:val="center"/>
          </w:tcPr>
          <w:p w14:paraId="0659A921">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3D60D2EE">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66A11346">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5D655253">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032DF5D1">
            <w:pPr>
              <w:pStyle w:val="12"/>
              <w:ind w:firstLine="0" w:firstLineChars="0"/>
              <w:jc w:val="center"/>
              <w:rPr>
                <w:rFonts w:ascii="Times New Roman"/>
                <w:kern w:val="2"/>
                <w:sz w:val="21"/>
                <w:szCs w:val="21"/>
                <w:highlight w:val="none"/>
              </w:rPr>
            </w:pPr>
          </w:p>
        </w:tc>
        <w:tc>
          <w:tcPr>
            <w:tcW w:w="260" w:type="pct"/>
            <w:noWrap w:val="0"/>
            <w:vAlign w:val="center"/>
          </w:tcPr>
          <w:p w14:paraId="57E242B6">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6AA97704">
            <w:pPr>
              <w:pStyle w:val="12"/>
              <w:ind w:firstLine="0" w:firstLineChars="0"/>
              <w:jc w:val="center"/>
              <w:rPr>
                <w:rFonts w:ascii="Times New Roman"/>
                <w:kern w:val="2"/>
                <w:sz w:val="21"/>
                <w:szCs w:val="21"/>
                <w:highlight w:val="none"/>
              </w:rPr>
            </w:pPr>
          </w:p>
        </w:tc>
      </w:tr>
      <w:tr w14:paraId="0AB9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28DBCEBF">
            <w:pPr>
              <w:widowControl/>
              <w:snapToGrid w:val="0"/>
              <w:jc w:val="center"/>
              <w:rPr>
                <w:sz w:val="21"/>
                <w:szCs w:val="21"/>
                <w:highlight w:val="none"/>
              </w:rPr>
            </w:pPr>
          </w:p>
        </w:tc>
        <w:tc>
          <w:tcPr>
            <w:tcW w:w="149" w:type="pct"/>
            <w:vMerge w:val="continue"/>
            <w:noWrap w:val="0"/>
            <w:vAlign w:val="center"/>
          </w:tcPr>
          <w:p w14:paraId="53A46175">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37EF5E23">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4A037E9C">
            <w:pPr>
              <w:pStyle w:val="12"/>
              <w:ind w:firstLine="0" w:firstLineChars="0"/>
              <w:jc w:val="center"/>
              <w:rPr>
                <w:rFonts w:ascii="Times New Roman"/>
                <w:kern w:val="2"/>
                <w:sz w:val="21"/>
                <w:szCs w:val="21"/>
                <w:highlight w:val="none"/>
              </w:rPr>
            </w:pPr>
          </w:p>
        </w:tc>
        <w:tc>
          <w:tcPr>
            <w:tcW w:w="176" w:type="pct"/>
            <w:noWrap w:val="0"/>
            <w:vAlign w:val="center"/>
          </w:tcPr>
          <w:p w14:paraId="50D88A9F">
            <w:pPr>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3#</w:t>
            </w:r>
          </w:p>
        </w:tc>
        <w:tc>
          <w:tcPr>
            <w:tcW w:w="294" w:type="pct"/>
            <w:vMerge w:val="continue"/>
            <w:noWrap w:val="0"/>
            <w:vAlign w:val="center"/>
          </w:tcPr>
          <w:p w14:paraId="045382C5">
            <w:pPr>
              <w:pStyle w:val="12"/>
              <w:ind w:firstLine="0" w:firstLineChars="0"/>
              <w:jc w:val="center"/>
              <w:rPr>
                <w:rFonts w:ascii="Times New Roman"/>
                <w:kern w:val="2"/>
                <w:sz w:val="21"/>
                <w:szCs w:val="21"/>
                <w:highlight w:val="none"/>
              </w:rPr>
            </w:pPr>
          </w:p>
        </w:tc>
        <w:tc>
          <w:tcPr>
            <w:tcW w:w="401" w:type="pct"/>
            <w:noWrap w:val="0"/>
            <w:vAlign w:val="center"/>
          </w:tcPr>
          <w:p w14:paraId="5ABBD9B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20977</w:t>
            </w:r>
          </w:p>
        </w:tc>
        <w:tc>
          <w:tcPr>
            <w:tcW w:w="262" w:type="pct"/>
            <w:noWrap w:val="0"/>
            <w:vAlign w:val="center"/>
          </w:tcPr>
          <w:p w14:paraId="0C7F5881">
            <w:pPr>
              <w:pStyle w:val="12"/>
              <w:ind w:firstLine="0" w:firstLineChars="0"/>
              <w:jc w:val="center"/>
              <w:rPr>
                <w:rFonts w:hint="eastAsia" w:ascii="Times New Roman" w:eastAsia="宋体"/>
                <w:kern w:val="2"/>
                <w:sz w:val="21"/>
                <w:szCs w:val="21"/>
                <w:highlight w:val="none"/>
                <w:lang w:val="en-US" w:eastAsia="zh-CN"/>
              </w:rPr>
            </w:pPr>
            <w:r>
              <w:rPr>
                <w:rFonts w:hint="eastAsia" w:ascii="Times New Roman"/>
                <w:kern w:val="2"/>
                <w:sz w:val="21"/>
                <w:szCs w:val="21"/>
                <w:highlight w:val="none"/>
                <w:lang w:val="en-US" w:eastAsia="zh-CN"/>
              </w:rPr>
              <w:t>9</w:t>
            </w:r>
          </w:p>
        </w:tc>
        <w:tc>
          <w:tcPr>
            <w:tcW w:w="373" w:type="pct"/>
            <w:noWrap w:val="0"/>
            <w:vAlign w:val="center"/>
          </w:tcPr>
          <w:p w14:paraId="33C812DC">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0.19</w:t>
            </w:r>
          </w:p>
        </w:tc>
        <w:tc>
          <w:tcPr>
            <w:tcW w:w="149" w:type="pct"/>
            <w:vMerge w:val="continue"/>
            <w:noWrap w:val="0"/>
            <w:vAlign w:val="center"/>
          </w:tcPr>
          <w:p w14:paraId="6205401C">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5764100C">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62435C50">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0036042C">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4012733F">
            <w:pPr>
              <w:pStyle w:val="12"/>
              <w:ind w:firstLine="0" w:firstLineChars="0"/>
              <w:jc w:val="center"/>
              <w:rPr>
                <w:rFonts w:ascii="Times New Roman"/>
                <w:kern w:val="2"/>
                <w:sz w:val="21"/>
                <w:szCs w:val="21"/>
                <w:highlight w:val="none"/>
              </w:rPr>
            </w:pPr>
          </w:p>
        </w:tc>
        <w:tc>
          <w:tcPr>
            <w:tcW w:w="260" w:type="pct"/>
            <w:noWrap w:val="0"/>
            <w:vAlign w:val="center"/>
          </w:tcPr>
          <w:p w14:paraId="5ECB78CC">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188E825F">
            <w:pPr>
              <w:pStyle w:val="12"/>
              <w:ind w:firstLine="0" w:firstLineChars="0"/>
              <w:jc w:val="center"/>
              <w:rPr>
                <w:rFonts w:ascii="Times New Roman"/>
                <w:kern w:val="2"/>
                <w:sz w:val="21"/>
                <w:szCs w:val="21"/>
                <w:highlight w:val="none"/>
              </w:rPr>
            </w:pPr>
          </w:p>
        </w:tc>
      </w:tr>
      <w:tr w14:paraId="2103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22B986BA">
            <w:pPr>
              <w:widowControl/>
              <w:snapToGrid w:val="0"/>
              <w:jc w:val="center"/>
              <w:rPr>
                <w:sz w:val="21"/>
                <w:szCs w:val="21"/>
                <w:highlight w:val="none"/>
              </w:rPr>
            </w:pPr>
          </w:p>
        </w:tc>
        <w:tc>
          <w:tcPr>
            <w:tcW w:w="149" w:type="pct"/>
            <w:vMerge w:val="continue"/>
            <w:noWrap w:val="0"/>
            <w:vAlign w:val="center"/>
          </w:tcPr>
          <w:p w14:paraId="04C86176">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3939C8A3">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3A9A7814">
            <w:pPr>
              <w:pStyle w:val="12"/>
              <w:ind w:firstLine="0" w:firstLineChars="0"/>
              <w:jc w:val="center"/>
              <w:rPr>
                <w:rFonts w:ascii="Times New Roman"/>
                <w:kern w:val="2"/>
                <w:sz w:val="21"/>
                <w:szCs w:val="21"/>
                <w:highlight w:val="none"/>
              </w:rPr>
            </w:pPr>
          </w:p>
        </w:tc>
        <w:tc>
          <w:tcPr>
            <w:tcW w:w="176" w:type="pct"/>
            <w:noWrap w:val="0"/>
            <w:vAlign w:val="center"/>
          </w:tcPr>
          <w:p w14:paraId="58078E38">
            <w:pPr>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4#</w:t>
            </w:r>
          </w:p>
        </w:tc>
        <w:tc>
          <w:tcPr>
            <w:tcW w:w="294" w:type="pct"/>
            <w:vMerge w:val="continue"/>
            <w:noWrap w:val="0"/>
            <w:vAlign w:val="center"/>
          </w:tcPr>
          <w:p w14:paraId="1D455CD1">
            <w:pPr>
              <w:pStyle w:val="12"/>
              <w:ind w:firstLine="0" w:firstLineChars="0"/>
              <w:jc w:val="center"/>
              <w:rPr>
                <w:rFonts w:ascii="Times New Roman"/>
                <w:kern w:val="2"/>
                <w:sz w:val="21"/>
                <w:szCs w:val="21"/>
                <w:highlight w:val="none"/>
              </w:rPr>
            </w:pPr>
          </w:p>
        </w:tc>
        <w:tc>
          <w:tcPr>
            <w:tcW w:w="401" w:type="pct"/>
            <w:noWrap w:val="0"/>
            <w:vAlign w:val="center"/>
          </w:tcPr>
          <w:p w14:paraId="5F7F1EAC">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30794</w:t>
            </w:r>
          </w:p>
        </w:tc>
        <w:tc>
          <w:tcPr>
            <w:tcW w:w="262" w:type="pct"/>
            <w:noWrap w:val="0"/>
            <w:vAlign w:val="center"/>
          </w:tcPr>
          <w:p w14:paraId="14B4F653">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10</w:t>
            </w:r>
          </w:p>
        </w:tc>
        <w:tc>
          <w:tcPr>
            <w:tcW w:w="373" w:type="pct"/>
            <w:noWrap w:val="0"/>
            <w:vAlign w:val="center"/>
          </w:tcPr>
          <w:p w14:paraId="0BD761FF">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w:t>
            </w:r>
          </w:p>
        </w:tc>
        <w:tc>
          <w:tcPr>
            <w:tcW w:w="149" w:type="pct"/>
            <w:vMerge w:val="continue"/>
            <w:noWrap w:val="0"/>
            <w:vAlign w:val="center"/>
          </w:tcPr>
          <w:p w14:paraId="01AECC99">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301C91A9">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31594D10">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0C31D19D">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5BEBB16A">
            <w:pPr>
              <w:pStyle w:val="12"/>
              <w:ind w:firstLine="0" w:firstLineChars="0"/>
              <w:jc w:val="center"/>
              <w:rPr>
                <w:rFonts w:ascii="Times New Roman"/>
                <w:kern w:val="2"/>
                <w:sz w:val="21"/>
                <w:szCs w:val="21"/>
                <w:highlight w:val="none"/>
              </w:rPr>
            </w:pPr>
          </w:p>
        </w:tc>
        <w:tc>
          <w:tcPr>
            <w:tcW w:w="260" w:type="pct"/>
            <w:noWrap w:val="0"/>
            <w:vAlign w:val="center"/>
          </w:tcPr>
          <w:p w14:paraId="2BAC03A0">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0CF232D9">
            <w:pPr>
              <w:pStyle w:val="12"/>
              <w:ind w:firstLine="0" w:firstLineChars="0"/>
              <w:jc w:val="center"/>
              <w:rPr>
                <w:rFonts w:ascii="Times New Roman"/>
                <w:kern w:val="2"/>
                <w:sz w:val="21"/>
                <w:szCs w:val="21"/>
                <w:highlight w:val="none"/>
              </w:rPr>
            </w:pPr>
          </w:p>
        </w:tc>
      </w:tr>
      <w:tr w14:paraId="7D18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EB41200">
            <w:pPr>
              <w:widowControl/>
              <w:snapToGrid w:val="0"/>
              <w:jc w:val="center"/>
              <w:rPr>
                <w:sz w:val="21"/>
                <w:szCs w:val="21"/>
                <w:highlight w:val="none"/>
              </w:rPr>
            </w:pPr>
          </w:p>
        </w:tc>
        <w:tc>
          <w:tcPr>
            <w:tcW w:w="149" w:type="pct"/>
            <w:vMerge w:val="continue"/>
            <w:noWrap w:val="0"/>
            <w:vAlign w:val="center"/>
          </w:tcPr>
          <w:p w14:paraId="04570037">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2E3CC238">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74328BFA">
            <w:pPr>
              <w:pStyle w:val="12"/>
              <w:ind w:firstLine="0" w:firstLineChars="0"/>
              <w:jc w:val="center"/>
              <w:rPr>
                <w:rFonts w:ascii="Times New Roman"/>
                <w:kern w:val="2"/>
                <w:sz w:val="21"/>
                <w:szCs w:val="21"/>
                <w:highlight w:val="none"/>
              </w:rPr>
            </w:pPr>
          </w:p>
        </w:tc>
        <w:tc>
          <w:tcPr>
            <w:tcW w:w="176" w:type="pct"/>
            <w:noWrap w:val="0"/>
            <w:vAlign w:val="center"/>
          </w:tcPr>
          <w:p w14:paraId="37ED71C6">
            <w:pPr>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5#</w:t>
            </w:r>
          </w:p>
        </w:tc>
        <w:tc>
          <w:tcPr>
            <w:tcW w:w="294" w:type="pct"/>
            <w:vMerge w:val="continue"/>
            <w:noWrap w:val="0"/>
            <w:vAlign w:val="center"/>
          </w:tcPr>
          <w:p w14:paraId="5893FEE9">
            <w:pPr>
              <w:pStyle w:val="12"/>
              <w:ind w:firstLine="0" w:firstLineChars="0"/>
              <w:jc w:val="center"/>
              <w:rPr>
                <w:rFonts w:ascii="Times New Roman"/>
                <w:kern w:val="2"/>
                <w:sz w:val="21"/>
                <w:szCs w:val="21"/>
                <w:highlight w:val="none"/>
              </w:rPr>
            </w:pPr>
          </w:p>
        </w:tc>
        <w:tc>
          <w:tcPr>
            <w:tcW w:w="401" w:type="pct"/>
            <w:noWrap w:val="0"/>
            <w:vAlign w:val="center"/>
          </w:tcPr>
          <w:p w14:paraId="44AB2B81">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31359</w:t>
            </w:r>
          </w:p>
        </w:tc>
        <w:tc>
          <w:tcPr>
            <w:tcW w:w="262" w:type="pct"/>
            <w:noWrap w:val="0"/>
            <w:vAlign w:val="center"/>
          </w:tcPr>
          <w:p w14:paraId="4DA5CF8A">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11</w:t>
            </w:r>
          </w:p>
        </w:tc>
        <w:tc>
          <w:tcPr>
            <w:tcW w:w="373" w:type="pct"/>
            <w:noWrap w:val="0"/>
            <w:vAlign w:val="center"/>
          </w:tcPr>
          <w:p w14:paraId="0F6C290B">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0.35</w:t>
            </w:r>
          </w:p>
        </w:tc>
        <w:tc>
          <w:tcPr>
            <w:tcW w:w="149" w:type="pct"/>
            <w:vMerge w:val="continue"/>
            <w:noWrap w:val="0"/>
            <w:vAlign w:val="center"/>
          </w:tcPr>
          <w:p w14:paraId="13B4D477">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1481A6CF">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633E981B">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17262984">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39AAD86E">
            <w:pPr>
              <w:pStyle w:val="12"/>
              <w:ind w:firstLine="0" w:firstLineChars="0"/>
              <w:jc w:val="center"/>
              <w:rPr>
                <w:rFonts w:ascii="Times New Roman"/>
                <w:kern w:val="2"/>
                <w:sz w:val="21"/>
                <w:szCs w:val="21"/>
                <w:highlight w:val="none"/>
              </w:rPr>
            </w:pPr>
          </w:p>
        </w:tc>
        <w:tc>
          <w:tcPr>
            <w:tcW w:w="260" w:type="pct"/>
            <w:noWrap w:val="0"/>
            <w:vAlign w:val="center"/>
          </w:tcPr>
          <w:p w14:paraId="3BDC5AC0">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10486B44">
            <w:pPr>
              <w:pStyle w:val="12"/>
              <w:ind w:firstLine="0" w:firstLineChars="0"/>
              <w:jc w:val="center"/>
              <w:rPr>
                <w:rFonts w:ascii="Times New Roman"/>
                <w:kern w:val="2"/>
                <w:sz w:val="21"/>
                <w:szCs w:val="21"/>
                <w:highlight w:val="none"/>
              </w:rPr>
            </w:pPr>
          </w:p>
        </w:tc>
      </w:tr>
      <w:tr w14:paraId="64E0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27E4AE0F">
            <w:pPr>
              <w:widowControl/>
              <w:snapToGrid w:val="0"/>
              <w:jc w:val="center"/>
              <w:rPr>
                <w:sz w:val="21"/>
                <w:szCs w:val="21"/>
                <w:highlight w:val="none"/>
              </w:rPr>
            </w:pPr>
          </w:p>
        </w:tc>
        <w:tc>
          <w:tcPr>
            <w:tcW w:w="149" w:type="pct"/>
            <w:vMerge w:val="continue"/>
            <w:noWrap w:val="0"/>
            <w:vAlign w:val="center"/>
          </w:tcPr>
          <w:p w14:paraId="113758BB">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45DBE426">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633B77D0">
            <w:pPr>
              <w:pStyle w:val="12"/>
              <w:ind w:firstLine="0" w:firstLineChars="0"/>
              <w:jc w:val="center"/>
              <w:rPr>
                <w:rFonts w:ascii="Times New Roman"/>
                <w:kern w:val="2"/>
                <w:sz w:val="21"/>
                <w:szCs w:val="21"/>
                <w:highlight w:val="none"/>
              </w:rPr>
            </w:pPr>
          </w:p>
        </w:tc>
        <w:tc>
          <w:tcPr>
            <w:tcW w:w="176" w:type="pct"/>
            <w:noWrap w:val="0"/>
            <w:vAlign w:val="center"/>
          </w:tcPr>
          <w:p w14:paraId="0637BCDC">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6#</w:t>
            </w:r>
          </w:p>
        </w:tc>
        <w:tc>
          <w:tcPr>
            <w:tcW w:w="294" w:type="pct"/>
            <w:vMerge w:val="continue"/>
            <w:noWrap w:val="0"/>
            <w:vAlign w:val="center"/>
          </w:tcPr>
          <w:p w14:paraId="4B6D4336">
            <w:pPr>
              <w:pStyle w:val="12"/>
              <w:ind w:firstLine="0" w:firstLineChars="0"/>
              <w:jc w:val="center"/>
              <w:rPr>
                <w:rFonts w:ascii="Times New Roman"/>
                <w:kern w:val="2"/>
                <w:sz w:val="21"/>
                <w:szCs w:val="21"/>
                <w:highlight w:val="none"/>
              </w:rPr>
            </w:pPr>
          </w:p>
        </w:tc>
        <w:tc>
          <w:tcPr>
            <w:tcW w:w="401" w:type="pct"/>
            <w:noWrap w:val="0"/>
            <w:vAlign w:val="center"/>
          </w:tcPr>
          <w:p w14:paraId="3B70232E">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30919</w:t>
            </w:r>
          </w:p>
        </w:tc>
        <w:tc>
          <w:tcPr>
            <w:tcW w:w="262" w:type="pct"/>
            <w:noWrap w:val="0"/>
            <w:vAlign w:val="center"/>
          </w:tcPr>
          <w:p w14:paraId="2F9B14A2">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14</w:t>
            </w:r>
          </w:p>
        </w:tc>
        <w:tc>
          <w:tcPr>
            <w:tcW w:w="373" w:type="pct"/>
            <w:noWrap w:val="0"/>
            <w:vAlign w:val="center"/>
          </w:tcPr>
          <w:p w14:paraId="13B69BC3">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0.42</w:t>
            </w:r>
          </w:p>
        </w:tc>
        <w:tc>
          <w:tcPr>
            <w:tcW w:w="149" w:type="pct"/>
            <w:vMerge w:val="continue"/>
            <w:noWrap w:val="0"/>
            <w:vAlign w:val="center"/>
          </w:tcPr>
          <w:p w14:paraId="136B7659">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1A53D097">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5B3F8B1B">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17F823B2">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2BE594B0">
            <w:pPr>
              <w:pStyle w:val="12"/>
              <w:ind w:firstLine="0" w:firstLineChars="0"/>
              <w:jc w:val="center"/>
              <w:rPr>
                <w:rFonts w:ascii="Times New Roman"/>
                <w:kern w:val="2"/>
                <w:sz w:val="21"/>
                <w:szCs w:val="21"/>
                <w:highlight w:val="none"/>
              </w:rPr>
            </w:pPr>
          </w:p>
        </w:tc>
        <w:tc>
          <w:tcPr>
            <w:tcW w:w="260" w:type="pct"/>
            <w:noWrap w:val="0"/>
            <w:vAlign w:val="center"/>
          </w:tcPr>
          <w:p w14:paraId="366C679A">
            <w:pPr>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1FDAAB53">
            <w:pPr>
              <w:pStyle w:val="12"/>
              <w:ind w:firstLine="0" w:firstLineChars="0"/>
              <w:jc w:val="center"/>
              <w:rPr>
                <w:rFonts w:ascii="Times New Roman"/>
                <w:kern w:val="2"/>
                <w:sz w:val="21"/>
                <w:szCs w:val="21"/>
                <w:highlight w:val="none"/>
              </w:rPr>
            </w:pPr>
          </w:p>
        </w:tc>
      </w:tr>
      <w:tr w14:paraId="4517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5A75C05">
            <w:pPr>
              <w:widowControl/>
              <w:snapToGrid w:val="0"/>
              <w:jc w:val="center"/>
              <w:rPr>
                <w:sz w:val="21"/>
                <w:szCs w:val="21"/>
                <w:highlight w:val="none"/>
              </w:rPr>
            </w:pPr>
          </w:p>
        </w:tc>
        <w:tc>
          <w:tcPr>
            <w:tcW w:w="149" w:type="pct"/>
            <w:vMerge w:val="continue"/>
            <w:noWrap w:val="0"/>
            <w:vAlign w:val="center"/>
          </w:tcPr>
          <w:p w14:paraId="10C6FB73">
            <w:pPr>
              <w:pStyle w:val="12"/>
              <w:ind w:firstLine="0" w:firstLineChars="0"/>
              <w:jc w:val="center"/>
              <w:rPr>
                <w:rFonts w:ascii="Times New Roman"/>
                <w:kern w:val="2"/>
                <w:sz w:val="21"/>
                <w:szCs w:val="21"/>
                <w:highlight w:val="none"/>
              </w:rPr>
            </w:pPr>
          </w:p>
        </w:tc>
        <w:tc>
          <w:tcPr>
            <w:tcW w:w="190" w:type="pct"/>
            <w:vMerge w:val="restart"/>
            <w:noWrap w:val="0"/>
            <w:vAlign w:val="center"/>
          </w:tcPr>
          <w:p w14:paraId="189A205D">
            <w:pPr>
              <w:pStyle w:val="12"/>
              <w:ind w:firstLine="0" w:firstLineChars="0"/>
              <w:jc w:val="center"/>
              <w:rPr>
                <w:rFonts w:ascii="Times New Roman"/>
                <w:kern w:val="2"/>
                <w:sz w:val="21"/>
                <w:szCs w:val="21"/>
                <w:highlight w:val="none"/>
              </w:rPr>
            </w:pPr>
            <w:r>
              <w:rPr>
                <w:rFonts w:ascii="Times New Roman"/>
                <w:kern w:val="2"/>
                <w:sz w:val="21"/>
                <w:szCs w:val="21"/>
                <w:highlight w:val="none"/>
              </w:rPr>
              <w:t>渣及灰水处理单元</w:t>
            </w:r>
          </w:p>
        </w:tc>
        <w:tc>
          <w:tcPr>
            <w:tcW w:w="454" w:type="pct"/>
            <w:gridSpan w:val="2"/>
            <w:noWrap w:val="0"/>
            <w:vAlign w:val="center"/>
          </w:tcPr>
          <w:p w14:paraId="44523503">
            <w:pPr>
              <w:pStyle w:val="12"/>
              <w:ind w:firstLine="0" w:firstLineChars="0"/>
              <w:jc w:val="center"/>
              <w:rPr>
                <w:rFonts w:ascii="Times New Roman"/>
                <w:kern w:val="2"/>
                <w:sz w:val="21"/>
                <w:szCs w:val="21"/>
                <w:highlight w:val="none"/>
              </w:rPr>
            </w:pPr>
            <w:r>
              <w:rPr>
                <w:rFonts w:ascii="Times New Roman"/>
                <w:kern w:val="2"/>
                <w:sz w:val="21"/>
                <w:szCs w:val="21"/>
                <w:highlight w:val="none"/>
              </w:rPr>
              <w:t>除氧器出口排放气（低压闪蒸）</w:t>
            </w:r>
          </w:p>
        </w:tc>
        <w:tc>
          <w:tcPr>
            <w:tcW w:w="294" w:type="pct"/>
            <w:noWrap w:val="0"/>
            <w:vAlign w:val="center"/>
          </w:tcPr>
          <w:p w14:paraId="159C923F">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7673050C">
            <w:pPr>
              <w:pStyle w:val="12"/>
              <w:ind w:firstLine="0" w:firstLineChars="0"/>
              <w:jc w:val="center"/>
              <w:rPr>
                <w:rFonts w:ascii="Times New Roman"/>
                <w:kern w:val="2"/>
                <w:sz w:val="21"/>
                <w:szCs w:val="21"/>
                <w:highlight w:val="none"/>
              </w:rPr>
            </w:pPr>
            <w:r>
              <w:rPr>
                <w:rFonts w:ascii="Times New Roman"/>
                <w:kern w:val="2"/>
                <w:sz w:val="21"/>
                <w:szCs w:val="21"/>
                <w:highlight w:val="none"/>
                <w:lang w:val="pt-BR"/>
              </w:rPr>
              <w:t>NH</w:t>
            </w:r>
            <w:r>
              <w:rPr>
                <w:rFonts w:ascii="Times New Roman"/>
                <w:kern w:val="2"/>
                <w:sz w:val="21"/>
                <w:szCs w:val="21"/>
                <w:highlight w:val="none"/>
                <w:vertAlign w:val="subscript"/>
                <w:lang w:val="pt-BR"/>
              </w:rPr>
              <w:t>3</w:t>
            </w:r>
          </w:p>
        </w:tc>
        <w:tc>
          <w:tcPr>
            <w:tcW w:w="401" w:type="pct"/>
            <w:noWrap w:val="0"/>
            <w:vAlign w:val="center"/>
          </w:tcPr>
          <w:p w14:paraId="6FB5C1E1">
            <w:pPr>
              <w:pStyle w:val="12"/>
              <w:ind w:firstLine="0" w:firstLineChars="0"/>
              <w:jc w:val="center"/>
              <w:rPr>
                <w:rFonts w:hint="eastAsia" w:ascii="Times New Roman" w:eastAsia="宋体"/>
                <w:kern w:val="2"/>
                <w:sz w:val="21"/>
                <w:szCs w:val="21"/>
                <w:highlight w:val="none"/>
                <w:lang w:eastAsia="zh-CN"/>
              </w:rPr>
            </w:pPr>
            <w:r>
              <w:rPr>
                <w:rFonts w:hint="eastAsia" w:ascii="Times New Roman"/>
                <w:kern w:val="2"/>
                <w:sz w:val="21"/>
                <w:szCs w:val="21"/>
                <w:highlight w:val="none"/>
                <w:lang w:val="en-US" w:eastAsia="zh-CN"/>
              </w:rPr>
              <w:t>/</w:t>
            </w:r>
          </w:p>
        </w:tc>
        <w:tc>
          <w:tcPr>
            <w:tcW w:w="262" w:type="pct"/>
            <w:noWrap w:val="0"/>
            <w:vAlign w:val="center"/>
          </w:tcPr>
          <w:p w14:paraId="72F0C016">
            <w:pPr>
              <w:jc w:val="center"/>
              <w:rPr>
                <w:rFonts w:hint="default" w:eastAsia="宋体"/>
                <w:sz w:val="21"/>
                <w:szCs w:val="21"/>
                <w:highlight w:val="none"/>
                <w:lang w:val="en-US" w:eastAsia="zh-CN"/>
              </w:rPr>
            </w:pPr>
            <w:r>
              <w:rPr>
                <w:rFonts w:hint="eastAsia"/>
                <w:sz w:val="21"/>
                <w:szCs w:val="21"/>
                <w:highlight w:val="none"/>
                <w:lang w:val="en-US" w:eastAsia="zh-CN"/>
              </w:rPr>
              <w:t>0.24</w:t>
            </w:r>
          </w:p>
          <w:p w14:paraId="4C29B47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0.91</w:t>
            </w:r>
          </w:p>
        </w:tc>
        <w:tc>
          <w:tcPr>
            <w:tcW w:w="373" w:type="pct"/>
            <w:noWrap w:val="0"/>
            <w:vAlign w:val="center"/>
          </w:tcPr>
          <w:p w14:paraId="14A9B487">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noWrap w:val="0"/>
            <w:vAlign w:val="center"/>
          </w:tcPr>
          <w:p w14:paraId="41A9DC9F">
            <w:pPr>
              <w:pStyle w:val="12"/>
              <w:ind w:firstLine="0" w:firstLineChars="0"/>
              <w:jc w:val="center"/>
              <w:rPr>
                <w:rFonts w:ascii="Times New Roman"/>
                <w:kern w:val="2"/>
                <w:sz w:val="21"/>
                <w:szCs w:val="21"/>
                <w:highlight w:val="none"/>
              </w:rPr>
            </w:pPr>
            <w:r>
              <w:rPr>
                <w:rFonts w:ascii="Times New Roman"/>
                <w:kern w:val="2"/>
                <w:sz w:val="21"/>
                <w:szCs w:val="21"/>
                <w:highlight w:val="none"/>
              </w:rPr>
              <w:t>2</w:t>
            </w:r>
          </w:p>
        </w:tc>
        <w:tc>
          <w:tcPr>
            <w:tcW w:w="200" w:type="pct"/>
            <w:noWrap w:val="0"/>
            <w:vAlign w:val="center"/>
          </w:tcPr>
          <w:p w14:paraId="3850E8F9">
            <w:pPr>
              <w:pStyle w:val="12"/>
              <w:ind w:firstLine="0" w:firstLineChars="0"/>
              <w:jc w:val="center"/>
              <w:rPr>
                <w:rFonts w:ascii="Times New Roman"/>
                <w:kern w:val="2"/>
                <w:sz w:val="21"/>
                <w:szCs w:val="21"/>
                <w:highlight w:val="none"/>
              </w:rPr>
            </w:pPr>
            <w:r>
              <w:rPr>
                <w:rFonts w:ascii="Times New Roman"/>
                <w:kern w:val="2"/>
                <w:sz w:val="21"/>
                <w:szCs w:val="21"/>
                <w:highlight w:val="none"/>
              </w:rPr>
              <w:t>35</w:t>
            </w:r>
          </w:p>
        </w:tc>
        <w:tc>
          <w:tcPr>
            <w:tcW w:w="271" w:type="pct"/>
            <w:noWrap w:val="0"/>
            <w:vAlign w:val="center"/>
          </w:tcPr>
          <w:p w14:paraId="634CD47A">
            <w:pPr>
              <w:pStyle w:val="12"/>
              <w:ind w:firstLine="0" w:firstLineChars="0"/>
              <w:jc w:val="center"/>
              <w:rPr>
                <w:rFonts w:ascii="Times New Roman"/>
                <w:kern w:val="2"/>
                <w:sz w:val="21"/>
                <w:szCs w:val="21"/>
                <w:highlight w:val="none"/>
              </w:rPr>
            </w:pPr>
            <w:r>
              <w:rPr>
                <w:rFonts w:ascii="Times New Roman"/>
                <w:kern w:val="2"/>
                <w:sz w:val="21"/>
                <w:szCs w:val="21"/>
                <w:highlight w:val="none"/>
              </w:rPr>
              <w:t>0.25</w:t>
            </w:r>
          </w:p>
        </w:tc>
        <w:tc>
          <w:tcPr>
            <w:tcW w:w="262" w:type="pct"/>
            <w:noWrap w:val="0"/>
            <w:vAlign w:val="center"/>
          </w:tcPr>
          <w:p w14:paraId="1C575F00">
            <w:pPr>
              <w:jc w:val="center"/>
              <w:rPr>
                <w:sz w:val="21"/>
                <w:szCs w:val="21"/>
                <w:highlight w:val="none"/>
                <w:lang w:val="pt-BR"/>
              </w:rPr>
            </w:pPr>
            <w:r>
              <w:rPr>
                <w:sz w:val="21"/>
                <w:szCs w:val="21"/>
                <w:highlight w:val="none"/>
                <w:lang w:val="pt-BR"/>
              </w:rPr>
              <w:t>/</w:t>
            </w:r>
          </w:p>
          <w:p w14:paraId="1558ABE8">
            <w:pPr>
              <w:pStyle w:val="12"/>
              <w:ind w:firstLine="0" w:firstLineChars="0"/>
              <w:jc w:val="center"/>
              <w:rPr>
                <w:rFonts w:ascii="Times New Roman"/>
                <w:kern w:val="2"/>
                <w:sz w:val="21"/>
                <w:szCs w:val="21"/>
                <w:highlight w:val="none"/>
                <w:lang w:val="pt-BR"/>
              </w:rPr>
            </w:pPr>
            <w:r>
              <w:rPr>
                <w:rFonts w:ascii="Times New Roman"/>
                <w:kern w:val="2"/>
                <w:sz w:val="21"/>
                <w:szCs w:val="21"/>
                <w:highlight w:val="none"/>
                <w:lang w:val="pt-BR"/>
              </w:rPr>
              <w:t>/</w:t>
            </w:r>
          </w:p>
        </w:tc>
        <w:tc>
          <w:tcPr>
            <w:tcW w:w="418" w:type="pct"/>
            <w:noWrap w:val="0"/>
            <w:vAlign w:val="center"/>
          </w:tcPr>
          <w:p w14:paraId="07F24F7F">
            <w:pPr>
              <w:jc w:val="center"/>
              <w:rPr>
                <w:sz w:val="21"/>
                <w:szCs w:val="21"/>
                <w:highlight w:val="none"/>
                <w:lang w:val="pt-BR"/>
              </w:rPr>
            </w:pPr>
            <w:r>
              <w:rPr>
                <w:sz w:val="21"/>
                <w:szCs w:val="21"/>
                <w:highlight w:val="none"/>
                <w:lang w:val="pt-BR"/>
              </w:rPr>
              <w:t>1.8</w:t>
            </w:r>
          </w:p>
          <w:p w14:paraId="46D3EF3A">
            <w:pPr>
              <w:pStyle w:val="12"/>
              <w:ind w:firstLine="0" w:firstLineChars="0"/>
              <w:jc w:val="center"/>
              <w:rPr>
                <w:rFonts w:ascii="Times New Roman"/>
                <w:kern w:val="2"/>
                <w:sz w:val="21"/>
                <w:szCs w:val="21"/>
                <w:highlight w:val="none"/>
                <w:lang w:val="pt-BR"/>
              </w:rPr>
            </w:pPr>
            <w:r>
              <w:rPr>
                <w:rFonts w:ascii="Times New Roman"/>
                <w:kern w:val="2"/>
                <w:sz w:val="21"/>
                <w:szCs w:val="21"/>
                <w:highlight w:val="none"/>
                <w:lang w:val="pt-BR"/>
              </w:rPr>
              <w:t>27</w:t>
            </w:r>
          </w:p>
        </w:tc>
        <w:tc>
          <w:tcPr>
            <w:tcW w:w="260" w:type="pct"/>
            <w:noWrap w:val="0"/>
            <w:vAlign w:val="center"/>
          </w:tcPr>
          <w:p w14:paraId="00B5FFA5">
            <w:pPr>
              <w:jc w:val="center"/>
              <w:rPr>
                <w:sz w:val="21"/>
                <w:szCs w:val="21"/>
                <w:highlight w:val="none"/>
                <w:lang w:val="pt-BR"/>
              </w:rPr>
            </w:pPr>
            <w:r>
              <w:rPr>
                <w:sz w:val="21"/>
                <w:szCs w:val="21"/>
                <w:highlight w:val="none"/>
              </w:rPr>
              <w:t>达标</w:t>
            </w:r>
          </w:p>
          <w:p w14:paraId="47837EC8">
            <w:pPr>
              <w:pStyle w:val="12"/>
              <w:ind w:firstLine="0" w:firstLineChars="0"/>
              <w:jc w:val="center"/>
              <w:rPr>
                <w:rFonts w:ascii="Times New Roman"/>
                <w:kern w:val="2"/>
                <w:sz w:val="21"/>
                <w:szCs w:val="21"/>
                <w:highlight w:val="none"/>
                <w:lang w:val="pt-BR"/>
              </w:rPr>
            </w:pPr>
            <w:r>
              <w:rPr>
                <w:rFonts w:ascii="Times New Roman"/>
                <w:kern w:val="2"/>
                <w:sz w:val="21"/>
                <w:szCs w:val="21"/>
                <w:highlight w:val="none"/>
              </w:rPr>
              <w:t>达标</w:t>
            </w:r>
          </w:p>
        </w:tc>
        <w:tc>
          <w:tcPr>
            <w:tcW w:w="1160" w:type="pct"/>
            <w:noWrap w:val="0"/>
            <w:vAlign w:val="center"/>
          </w:tcPr>
          <w:p w14:paraId="11826EDA">
            <w:pPr>
              <w:pStyle w:val="12"/>
              <w:ind w:firstLine="0" w:firstLineChars="0"/>
              <w:jc w:val="center"/>
              <w:rPr>
                <w:rFonts w:ascii="Times New Roman"/>
                <w:kern w:val="2"/>
                <w:sz w:val="21"/>
                <w:szCs w:val="21"/>
                <w:highlight w:val="none"/>
              </w:rPr>
            </w:pPr>
            <w:r>
              <w:rPr>
                <w:rFonts w:ascii="Times New Roman"/>
                <w:kern w:val="2"/>
                <w:sz w:val="21"/>
                <w:szCs w:val="21"/>
                <w:highlight w:val="none"/>
              </w:rPr>
              <w:t>《恶臭污染物综合排放标准》（GB14554-93）表2二级标准</w:t>
            </w:r>
          </w:p>
        </w:tc>
      </w:tr>
      <w:tr w14:paraId="6FA1F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49" w:type="pct"/>
            <w:vMerge w:val="continue"/>
            <w:noWrap w:val="0"/>
            <w:vAlign w:val="center"/>
          </w:tcPr>
          <w:p w14:paraId="453BC59E">
            <w:pPr>
              <w:widowControl/>
              <w:snapToGrid w:val="0"/>
              <w:jc w:val="center"/>
              <w:rPr>
                <w:sz w:val="21"/>
                <w:szCs w:val="21"/>
                <w:highlight w:val="none"/>
              </w:rPr>
            </w:pPr>
          </w:p>
        </w:tc>
        <w:tc>
          <w:tcPr>
            <w:tcW w:w="149" w:type="pct"/>
            <w:vMerge w:val="continue"/>
            <w:noWrap w:val="0"/>
            <w:vAlign w:val="center"/>
          </w:tcPr>
          <w:p w14:paraId="0E36F7D0">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477236B4">
            <w:pPr>
              <w:pStyle w:val="12"/>
              <w:ind w:firstLine="0" w:firstLineChars="0"/>
              <w:jc w:val="center"/>
              <w:rPr>
                <w:rFonts w:ascii="Times New Roman"/>
                <w:kern w:val="2"/>
                <w:sz w:val="21"/>
                <w:szCs w:val="21"/>
                <w:highlight w:val="none"/>
              </w:rPr>
            </w:pPr>
          </w:p>
        </w:tc>
        <w:tc>
          <w:tcPr>
            <w:tcW w:w="277" w:type="pct"/>
            <w:vMerge w:val="restart"/>
            <w:noWrap w:val="0"/>
            <w:vAlign w:val="center"/>
          </w:tcPr>
          <w:p w14:paraId="19BD00D7">
            <w:pPr>
              <w:pStyle w:val="12"/>
              <w:ind w:firstLine="0" w:firstLineChars="0"/>
              <w:jc w:val="center"/>
              <w:rPr>
                <w:rFonts w:ascii="Times New Roman"/>
                <w:kern w:val="2"/>
                <w:sz w:val="21"/>
                <w:szCs w:val="21"/>
                <w:highlight w:val="none"/>
              </w:rPr>
            </w:pPr>
            <w:r>
              <w:rPr>
                <w:rFonts w:ascii="Times New Roman"/>
                <w:kern w:val="2"/>
                <w:sz w:val="21"/>
                <w:szCs w:val="21"/>
                <w:highlight w:val="none"/>
              </w:rPr>
              <w:t>真空泵出口排放气（真空闪蒸）</w:t>
            </w:r>
          </w:p>
        </w:tc>
        <w:tc>
          <w:tcPr>
            <w:tcW w:w="176" w:type="pct"/>
            <w:noWrap w:val="0"/>
            <w:vAlign w:val="center"/>
          </w:tcPr>
          <w:p w14:paraId="0B41DD2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w:t>
            </w:r>
          </w:p>
        </w:tc>
        <w:tc>
          <w:tcPr>
            <w:tcW w:w="294" w:type="pct"/>
            <w:vMerge w:val="restart"/>
            <w:noWrap w:val="0"/>
            <w:vAlign w:val="center"/>
          </w:tcPr>
          <w:p w14:paraId="3737377C">
            <w:pPr>
              <w:jc w:val="center"/>
              <w:rPr>
                <w:sz w:val="21"/>
                <w:szCs w:val="21"/>
                <w:highlight w:val="none"/>
                <w:lang w:val="pt-BR"/>
              </w:rPr>
            </w:pPr>
            <w:r>
              <w:rPr>
                <w:sz w:val="21"/>
                <w:szCs w:val="21"/>
                <w:highlight w:val="none"/>
                <w:lang w:val="pt-BR"/>
              </w:rPr>
              <w:t>NH</w:t>
            </w:r>
            <w:r>
              <w:rPr>
                <w:sz w:val="21"/>
                <w:szCs w:val="21"/>
                <w:highlight w:val="none"/>
                <w:vertAlign w:val="subscript"/>
                <w:lang w:val="pt-BR"/>
              </w:rPr>
              <w:t>3</w:t>
            </w:r>
          </w:p>
        </w:tc>
        <w:tc>
          <w:tcPr>
            <w:tcW w:w="401" w:type="pct"/>
            <w:noWrap w:val="0"/>
            <w:vAlign w:val="center"/>
          </w:tcPr>
          <w:p w14:paraId="38B68301">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398</w:t>
            </w:r>
          </w:p>
        </w:tc>
        <w:tc>
          <w:tcPr>
            <w:tcW w:w="262" w:type="pct"/>
            <w:noWrap w:val="0"/>
            <w:vAlign w:val="center"/>
          </w:tcPr>
          <w:p w14:paraId="589E99B6">
            <w:pPr>
              <w:jc w:val="center"/>
              <w:rPr>
                <w:rFonts w:hint="default" w:eastAsia="宋体"/>
                <w:sz w:val="21"/>
                <w:szCs w:val="21"/>
                <w:highlight w:val="none"/>
                <w:lang w:val="en-US" w:eastAsia="zh-CN"/>
              </w:rPr>
            </w:pPr>
            <w:r>
              <w:rPr>
                <w:rFonts w:hint="eastAsia"/>
                <w:sz w:val="21"/>
                <w:szCs w:val="21"/>
                <w:highlight w:val="none"/>
                <w:lang w:val="en-US" w:eastAsia="zh-CN"/>
              </w:rPr>
              <w:t>0.82</w:t>
            </w:r>
          </w:p>
        </w:tc>
        <w:tc>
          <w:tcPr>
            <w:tcW w:w="373" w:type="pct"/>
            <w:noWrap w:val="0"/>
            <w:vAlign w:val="center"/>
          </w:tcPr>
          <w:p w14:paraId="0D6F02B0">
            <w:pPr>
              <w:pStyle w:val="12"/>
              <w:ind w:firstLine="0" w:firstLineChars="0"/>
              <w:jc w:val="center"/>
              <w:rPr>
                <w:rFonts w:ascii="Times New Roman"/>
                <w:sz w:val="21"/>
                <w:szCs w:val="21"/>
                <w:highlight w:val="none"/>
              </w:rPr>
            </w:pPr>
            <w:r>
              <w:rPr>
                <w:rFonts w:hint="eastAsia" w:ascii="Times New Roman" w:hAnsi="Times New Roman" w:eastAsia="宋体" w:cs="Times New Roman"/>
                <w:kern w:val="2"/>
                <w:sz w:val="21"/>
                <w:szCs w:val="21"/>
                <w:highlight w:val="none"/>
                <w:lang w:val="en-US" w:eastAsia="zh-CN"/>
              </w:rPr>
              <w:t>3.3</w:t>
            </w:r>
            <w:r>
              <w:rPr>
                <w:rFonts w:ascii="Times New Roman" w:hAnsi="Times New Roman" w:eastAsia="宋体" w:cs="Times New Roman"/>
                <w:kern w:val="2"/>
                <w:sz w:val="21"/>
                <w:szCs w:val="21"/>
                <w:highlight w:val="none"/>
              </w:rPr>
              <w:t>×10</w:t>
            </w:r>
            <w:r>
              <w:rPr>
                <w:rFonts w:ascii="Times New Roman" w:hAnsi="Times New Roman" w:eastAsia="宋体" w:cs="Times New Roman"/>
                <w:kern w:val="2"/>
                <w:sz w:val="21"/>
                <w:szCs w:val="21"/>
                <w:highlight w:val="none"/>
                <w:vertAlign w:val="superscript"/>
              </w:rPr>
              <w:t>-</w:t>
            </w:r>
            <w:r>
              <w:rPr>
                <w:rFonts w:hint="eastAsia" w:ascii="Times New Roman" w:hAnsi="Times New Roman" w:eastAsia="宋体" w:cs="Times New Roman"/>
                <w:kern w:val="2"/>
                <w:sz w:val="21"/>
                <w:szCs w:val="21"/>
                <w:highlight w:val="none"/>
                <w:vertAlign w:val="superscript"/>
                <w:lang w:val="en-US" w:eastAsia="zh-CN"/>
              </w:rPr>
              <w:t>4</w:t>
            </w:r>
          </w:p>
        </w:tc>
        <w:tc>
          <w:tcPr>
            <w:tcW w:w="149" w:type="pct"/>
            <w:vMerge w:val="restart"/>
            <w:noWrap w:val="0"/>
            <w:vAlign w:val="center"/>
          </w:tcPr>
          <w:p w14:paraId="53DEBB8D">
            <w:pPr>
              <w:pStyle w:val="12"/>
              <w:ind w:firstLine="0" w:firstLineChars="0"/>
              <w:jc w:val="center"/>
              <w:rPr>
                <w:rFonts w:ascii="Times New Roman"/>
                <w:kern w:val="2"/>
                <w:sz w:val="21"/>
                <w:szCs w:val="21"/>
                <w:highlight w:val="none"/>
              </w:rPr>
            </w:pPr>
            <w:r>
              <w:rPr>
                <w:rFonts w:ascii="Times New Roman"/>
                <w:kern w:val="2"/>
                <w:sz w:val="21"/>
                <w:szCs w:val="21"/>
                <w:highlight w:val="none"/>
              </w:rPr>
              <w:t>2</w:t>
            </w:r>
          </w:p>
        </w:tc>
        <w:tc>
          <w:tcPr>
            <w:tcW w:w="200" w:type="pct"/>
            <w:vMerge w:val="restart"/>
            <w:noWrap w:val="0"/>
            <w:vAlign w:val="center"/>
          </w:tcPr>
          <w:p w14:paraId="21F09AA4">
            <w:pPr>
              <w:pStyle w:val="12"/>
              <w:ind w:firstLine="0" w:firstLineChars="0"/>
              <w:jc w:val="center"/>
              <w:rPr>
                <w:rFonts w:ascii="Times New Roman"/>
                <w:kern w:val="2"/>
                <w:sz w:val="21"/>
                <w:szCs w:val="21"/>
                <w:highlight w:val="none"/>
              </w:rPr>
            </w:pPr>
            <w:r>
              <w:rPr>
                <w:rFonts w:ascii="Times New Roman"/>
                <w:kern w:val="2"/>
                <w:sz w:val="21"/>
                <w:szCs w:val="21"/>
                <w:highlight w:val="none"/>
              </w:rPr>
              <w:t>35</w:t>
            </w:r>
          </w:p>
        </w:tc>
        <w:tc>
          <w:tcPr>
            <w:tcW w:w="271" w:type="pct"/>
            <w:vMerge w:val="restart"/>
            <w:noWrap w:val="0"/>
            <w:vAlign w:val="center"/>
          </w:tcPr>
          <w:p w14:paraId="2E2C4190">
            <w:pPr>
              <w:pStyle w:val="12"/>
              <w:ind w:firstLine="0" w:firstLineChars="0"/>
              <w:jc w:val="center"/>
              <w:rPr>
                <w:rFonts w:ascii="Times New Roman"/>
                <w:kern w:val="2"/>
                <w:sz w:val="21"/>
                <w:szCs w:val="21"/>
                <w:highlight w:val="none"/>
              </w:rPr>
            </w:pPr>
            <w:r>
              <w:rPr>
                <w:rFonts w:ascii="Times New Roman"/>
                <w:kern w:val="2"/>
                <w:sz w:val="21"/>
                <w:szCs w:val="21"/>
                <w:highlight w:val="none"/>
              </w:rPr>
              <w:t>0.15</w:t>
            </w:r>
          </w:p>
        </w:tc>
        <w:tc>
          <w:tcPr>
            <w:tcW w:w="262" w:type="pct"/>
            <w:vMerge w:val="restart"/>
            <w:noWrap w:val="0"/>
            <w:vAlign w:val="center"/>
          </w:tcPr>
          <w:p w14:paraId="4DC69145">
            <w:pPr>
              <w:jc w:val="center"/>
              <w:rPr>
                <w:sz w:val="21"/>
                <w:szCs w:val="21"/>
                <w:highlight w:val="none"/>
                <w:lang w:val="pt-BR"/>
              </w:rPr>
            </w:pPr>
            <w:r>
              <w:rPr>
                <w:sz w:val="21"/>
                <w:szCs w:val="21"/>
                <w:highlight w:val="none"/>
                <w:lang w:val="pt-BR"/>
              </w:rPr>
              <w:t>/</w:t>
            </w:r>
          </w:p>
        </w:tc>
        <w:tc>
          <w:tcPr>
            <w:tcW w:w="418" w:type="pct"/>
            <w:vMerge w:val="restart"/>
            <w:noWrap w:val="0"/>
            <w:vAlign w:val="center"/>
          </w:tcPr>
          <w:p w14:paraId="33A9CB78">
            <w:pPr>
              <w:pStyle w:val="12"/>
              <w:ind w:firstLine="0" w:firstLineChars="0"/>
              <w:jc w:val="center"/>
              <w:rPr>
                <w:sz w:val="21"/>
                <w:szCs w:val="21"/>
                <w:highlight w:val="none"/>
                <w:lang w:val="pt-BR"/>
              </w:rPr>
            </w:pPr>
            <w:r>
              <w:rPr>
                <w:rFonts w:ascii="Times New Roman"/>
                <w:kern w:val="2"/>
                <w:sz w:val="21"/>
                <w:szCs w:val="21"/>
                <w:highlight w:val="none"/>
                <w:lang w:val="pt-BR"/>
              </w:rPr>
              <w:t>27</w:t>
            </w:r>
          </w:p>
        </w:tc>
        <w:tc>
          <w:tcPr>
            <w:tcW w:w="260" w:type="pct"/>
            <w:noWrap w:val="0"/>
            <w:vAlign w:val="center"/>
          </w:tcPr>
          <w:p w14:paraId="4E3944A8">
            <w:pPr>
              <w:jc w:val="center"/>
              <w:rPr>
                <w:sz w:val="21"/>
                <w:szCs w:val="21"/>
                <w:highlight w:val="none"/>
                <w:lang w:val="pt-BR"/>
              </w:rPr>
            </w:pPr>
            <w:r>
              <w:rPr>
                <w:sz w:val="21"/>
                <w:szCs w:val="21"/>
                <w:highlight w:val="none"/>
              </w:rPr>
              <w:t>达标</w:t>
            </w:r>
          </w:p>
        </w:tc>
        <w:tc>
          <w:tcPr>
            <w:tcW w:w="1160" w:type="pct"/>
            <w:vMerge w:val="restart"/>
            <w:noWrap w:val="0"/>
            <w:vAlign w:val="center"/>
          </w:tcPr>
          <w:p w14:paraId="025E468D">
            <w:pPr>
              <w:pStyle w:val="12"/>
              <w:ind w:firstLine="0" w:firstLineChars="0"/>
              <w:jc w:val="center"/>
              <w:rPr>
                <w:rFonts w:ascii="Times New Roman"/>
                <w:kern w:val="2"/>
                <w:sz w:val="21"/>
                <w:szCs w:val="21"/>
                <w:highlight w:val="none"/>
              </w:rPr>
            </w:pPr>
            <w:r>
              <w:rPr>
                <w:rFonts w:ascii="Times New Roman"/>
                <w:kern w:val="2"/>
                <w:sz w:val="21"/>
                <w:szCs w:val="21"/>
                <w:highlight w:val="none"/>
              </w:rPr>
              <w:t>《恶臭污染物综合排放标准》（GB14554-93）表2二级标准</w:t>
            </w:r>
          </w:p>
        </w:tc>
      </w:tr>
      <w:tr w14:paraId="76A5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49" w:type="pct"/>
            <w:vMerge w:val="continue"/>
            <w:noWrap w:val="0"/>
            <w:vAlign w:val="center"/>
          </w:tcPr>
          <w:p w14:paraId="0C00F653">
            <w:pPr>
              <w:widowControl/>
              <w:snapToGrid w:val="0"/>
              <w:jc w:val="center"/>
              <w:rPr>
                <w:sz w:val="21"/>
                <w:szCs w:val="21"/>
                <w:highlight w:val="none"/>
              </w:rPr>
            </w:pPr>
          </w:p>
        </w:tc>
        <w:tc>
          <w:tcPr>
            <w:tcW w:w="149" w:type="pct"/>
            <w:vMerge w:val="continue"/>
            <w:noWrap w:val="0"/>
            <w:vAlign w:val="center"/>
          </w:tcPr>
          <w:p w14:paraId="722D836E">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349E8025">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63B09E76">
            <w:pPr>
              <w:pStyle w:val="12"/>
              <w:ind w:firstLine="0" w:firstLineChars="0"/>
              <w:jc w:val="center"/>
              <w:rPr>
                <w:rFonts w:ascii="Times New Roman"/>
                <w:kern w:val="2"/>
                <w:sz w:val="21"/>
                <w:szCs w:val="21"/>
                <w:highlight w:val="none"/>
              </w:rPr>
            </w:pPr>
          </w:p>
        </w:tc>
        <w:tc>
          <w:tcPr>
            <w:tcW w:w="176" w:type="pct"/>
            <w:noWrap w:val="0"/>
            <w:vAlign w:val="center"/>
          </w:tcPr>
          <w:p w14:paraId="7F09B6B0">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w:t>
            </w:r>
          </w:p>
        </w:tc>
        <w:tc>
          <w:tcPr>
            <w:tcW w:w="294" w:type="pct"/>
            <w:vMerge w:val="continue"/>
            <w:noWrap w:val="0"/>
            <w:vAlign w:val="center"/>
          </w:tcPr>
          <w:p w14:paraId="48A85C64">
            <w:pPr>
              <w:jc w:val="center"/>
              <w:rPr>
                <w:sz w:val="21"/>
                <w:szCs w:val="21"/>
                <w:highlight w:val="none"/>
                <w:lang w:val="pt-BR"/>
              </w:rPr>
            </w:pPr>
          </w:p>
        </w:tc>
        <w:tc>
          <w:tcPr>
            <w:tcW w:w="401" w:type="pct"/>
            <w:noWrap w:val="0"/>
            <w:vAlign w:val="center"/>
          </w:tcPr>
          <w:p w14:paraId="35AD2E09">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428</w:t>
            </w:r>
          </w:p>
        </w:tc>
        <w:tc>
          <w:tcPr>
            <w:tcW w:w="262" w:type="pct"/>
            <w:noWrap w:val="0"/>
            <w:vAlign w:val="center"/>
          </w:tcPr>
          <w:p w14:paraId="0D0FA3EB">
            <w:pPr>
              <w:jc w:val="center"/>
              <w:rPr>
                <w:rFonts w:hint="default" w:eastAsia="宋体"/>
                <w:sz w:val="21"/>
                <w:szCs w:val="21"/>
                <w:highlight w:val="none"/>
                <w:lang w:val="en-US" w:eastAsia="zh-CN"/>
              </w:rPr>
            </w:pPr>
            <w:r>
              <w:rPr>
                <w:rFonts w:hint="eastAsia"/>
                <w:sz w:val="21"/>
                <w:szCs w:val="21"/>
                <w:highlight w:val="none"/>
                <w:lang w:val="en-US" w:eastAsia="zh-CN"/>
              </w:rPr>
              <w:t>0.77</w:t>
            </w:r>
          </w:p>
        </w:tc>
        <w:tc>
          <w:tcPr>
            <w:tcW w:w="373" w:type="pct"/>
            <w:noWrap w:val="0"/>
            <w:vAlign w:val="center"/>
          </w:tcPr>
          <w:p w14:paraId="3C98285B">
            <w:pPr>
              <w:pStyle w:val="12"/>
              <w:ind w:firstLine="0" w:firstLineChars="0"/>
              <w:jc w:val="center"/>
              <w:rPr>
                <w:rFonts w:ascii="Times New Roman"/>
                <w:sz w:val="21"/>
                <w:szCs w:val="21"/>
                <w:highlight w:val="none"/>
              </w:rPr>
            </w:pPr>
            <w:r>
              <w:rPr>
                <w:rFonts w:hint="eastAsia" w:ascii="Times New Roman" w:hAnsi="Times New Roman" w:eastAsia="宋体" w:cs="Times New Roman"/>
                <w:kern w:val="2"/>
                <w:sz w:val="21"/>
                <w:szCs w:val="21"/>
                <w:highlight w:val="none"/>
                <w:lang w:val="en-US" w:eastAsia="zh-CN"/>
              </w:rPr>
              <w:t>3.3</w:t>
            </w:r>
            <w:r>
              <w:rPr>
                <w:rFonts w:ascii="Times New Roman" w:hAnsi="Times New Roman" w:eastAsia="宋体" w:cs="Times New Roman"/>
                <w:kern w:val="2"/>
                <w:sz w:val="21"/>
                <w:szCs w:val="21"/>
                <w:highlight w:val="none"/>
              </w:rPr>
              <w:t>×10</w:t>
            </w:r>
            <w:r>
              <w:rPr>
                <w:rFonts w:ascii="Times New Roman" w:hAnsi="Times New Roman" w:eastAsia="宋体" w:cs="Times New Roman"/>
                <w:kern w:val="2"/>
                <w:sz w:val="21"/>
                <w:szCs w:val="21"/>
                <w:highlight w:val="none"/>
                <w:vertAlign w:val="superscript"/>
              </w:rPr>
              <w:t>-</w:t>
            </w:r>
            <w:r>
              <w:rPr>
                <w:rFonts w:hint="eastAsia" w:ascii="Times New Roman" w:hAnsi="Times New Roman" w:eastAsia="宋体" w:cs="Times New Roman"/>
                <w:kern w:val="2"/>
                <w:sz w:val="21"/>
                <w:szCs w:val="21"/>
                <w:highlight w:val="none"/>
                <w:vertAlign w:val="superscript"/>
                <w:lang w:val="en-US" w:eastAsia="zh-CN"/>
              </w:rPr>
              <w:t>4</w:t>
            </w:r>
          </w:p>
        </w:tc>
        <w:tc>
          <w:tcPr>
            <w:tcW w:w="149" w:type="pct"/>
            <w:vMerge w:val="continue"/>
            <w:noWrap w:val="0"/>
            <w:vAlign w:val="center"/>
          </w:tcPr>
          <w:p w14:paraId="437E4193">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36E7DF6B">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0C429DE6">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208CF6D4">
            <w:pPr>
              <w:pStyle w:val="13"/>
              <w:spacing w:after="0"/>
              <w:ind w:firstLine="360"/>
              <w:jc w:val="center"/>
              <w:rPr>
                <w:sz w:val="21"/>
                <w:szCs w:val="21"/>
                <w:highlight w:val="none"/>
                <w:lang w:val="pt-BR"/>
              </w:rPr>
            </w:pPr>
          </w:p>
        </w:tc>
        <w:tc>
          <w:tcPr>
            <w:tcW w:w="418" w:type="pct"/>
            <w:vMerge w:val="continue"/>
            <w:noWrap w:val="0"/>
            <w:vAlign w:val="center"/>
          </w:tcPr>
          <w:p w14:paraId="7A7B6780">
            <w:pPr>
              <w:pStyle w:val="13"/>
              <w:spacing w:after="0"/>
              <w:ind w:firstLine="360"/>
              <w:jc w:val="center"/>
              <w:rPr>
                <w:sz w:val="21"/>
                <w:szCs w:val="21"/>
                <w:highlight w:val="none"/>
                <w:lang w:val="pt-BR"/>
              </w:rPr>
            </w:pPr>
          </w:p>
        </w:tc>
        <w:tc>
          <w:tcPr>
            <w:tcW w:w="260" w:type="pct"/>
            <w:noWrap w:val="0"/>
            <w:vAlign w:val="center"/>
          </w:tcPr>
          <w:p w14:paraId="0E2BE993">
            <w:pPr>
              <w:jc w:val="center"/>
              <w:rPr>
                <w:sz w:val="21"/>
                <w:szCs w:val="21"/>
                <w:highlight w:val="none"/>
                <w:lang w:val="pt-BR"/>
              </w:rPr>
            </w:pPr>
            <w:r>
              <w:rPr>
                <w:sz w:val="21"/>
                <w:szCs w:val="21"/>
                <w:highlight w:val="none"/>
              </w:rPr>
              <w:t>达标</w:t>
            </w:r>
          </w:p>
        </w:tc>
        <w:tc>
          <w:tcPr>
            <w:tcW w:w="1160" w:type="pct"/>
            <w:vMerge w:val="continue"/>
            <w:noWrap w:val="0"/>
            <w:vAlign w:val="center"/>
          </w:tcPr>
          <w:p w14:paraId="45462E80">
            <w:pPr>
              <w:pStyle w:val="12"/>
              <w:ind w:firstLine="0" w:firstLineChars="0"/>
              <w:jc w:val="center"/>
              <w:rPr>
                <w:rFonts w:ascii="Times New Roman"/>
                <w:kern w:val="2"/>
                <w:sz w:val="21"/>
                <w:szCs w:val="21"/>
                <w:highlight w:val="none"/>
              </w:rPr>
            </w:pPr>
          </w:p>
        </w:tc>
      </w:tr>
      <w:tr w14:paraId="3DBF7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49" w:type="pct"/>
            <w:vMerge w:val="continue"/>
            <w:noWrap w:val="0"/>
            <w:vAlign w:val="center"/>
          </w:tcPr>
          <w:p w14:paraId="6CACAC7D">
            <w:pPr>
              <w:widowControl/>
              <w:snapToGrid w:val="0"/>
              <w:jc w:val="center"/>
              <w:rPr>
                <w:sz w:val="21"/>
                <w:szCs w:val="21"/>
                <w:highlight w:val="none"/>
              </w:rPr>
            </w:pPr>
          </w:p>
        </w:tc>
        <w:tc>
          <w:tcPr>
            <w:tcW w:w="149" w:type="pct"/>
            <w:vMerge w:val="restart"/>
            <w:noWrap w:val="0"/>
            <w:vAlign w:val="center"/>
          </w:tcPr>
          <w:p w14:paraId="46C01DE2">
            <w:pPr>
              <w:pStyle w:val="12"/>
              <w:ind w:firstLine="0" w:firstLineChars="0"/>
              <w:jc w:val="center"/>
              <w:rPr>
                <w:rFonts w:ascii="Times New Roman"/>
                <w:kern w:val="2"/>
                <w:sz w:val="21"/>
                <w:szCs w:val="21"/>
                <w:highlight w:val="none"/>
              </w:rPr>
            </w:pPr>
            <w:r>
              <w:rPr>
                <w:rFonts w:ascii="Times New Roman"/>
                <w:kern w:val="2"/>
                <w:sz w:val="21"/>
                <w:szCs w:val="21"/>
                <w:highlight w:val="none"/>
              </w:rPr>
              <w:t>水煤浆气化</w:t>
            </w:r>
          </w:p>
        </w:tc>
        <w:tc>
          <w:tcPr>
            <w:tcW w:w="190" w:type="pct"/>
            <w:vMerge w:val="restart"/>
            <w:noWrap w:val="0"/>
            <w:vAlign w:val="center"/>
          </w:tcPr>
          <w:p w14:paraId="6ED9B650">
            <w:pPr>
              <w:pStyle w:val="12"/>
              <w:ind w:firstLine="0" w:firstLineChars="0"/>
              <w:jc w:val="center"/>
              <w:rPr>
                <w:rFonts w:ascii="Times New Roman"/>
                <w:kern w:val="2"/>
                <w:sz w:val="21"/>
                <w:szCs w:val="21"/>
                <w:highlight w:val="none"/>
              </w:rPr>
            </w:pPr>
            <w:r>
              <w:rPr>
                <w:rFonts w:ascii="Times New Roman"/>
                <w:kern w:val="2"/>
                <w:sz w:val="21"/>
                <w:szCs w:val="21"/>
                <w:highlight w:val="none"/>
              </w:rPr>
              <w:t>水煤浆制备单元</w:t>
            </w:r>
          </w:p>
        </w:tc>
        <w:tc>
          <w:tcPr>
            <w:tcW w:w="277" w:type="pct"/>
            <w:vMerge w:val="restart"/>
            <w:noWrap w:val="0"/>
            <w:vAlign w:val="center"/>
          </w:tcPr>
          <w:p w14:paraId="0B019170">
            <w:pPr>
              <w:pStyle w:val="12"/>
              <w:ind w:firstLine="0" w:firstLineChars="0"/>
              <w:jc w:val="center"/>
              <w:rPr>
                <w:rFonts w:ascii="Times New Roman"/>
                <w:kern w:val="2"/>
                <w:sz w:val="21"/>
                <w:szCs w:val="21"/>
                <w:highlight w:val="none"/>
              </w:rPr>
            </w:pPr>
            <w:r>
              <w:rPr>
                <w:rFonts w:ascii="Times New Roman"/>
                <w:kern w:val="2"/>
                <w:sz w:val="21"/>
                <w:szCs w:val="21"/>
                <w:highlight w:val="none"/>
              </w:rPr>
              <w:t>碎煤仓含尘废气</w:t>
            </w:r>
          </w:p>
        </w:tc>
        <w:tc>
          <w:tcPr>
            <w:tcW w:w="176" w:type="pct"/>
            <w:noWrap w:val="0"/>
            <w:vAlign w:val="center"/>
          </w:tcPr>
          <w:p w14:paraId="5AB5FA5E">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w:t>
            </w:r>
          </w:p>
        </w:tc>
        <w:tc>
          <w:tcPr>
            <w:tcW w:w="294" w:type="pct"/>
            <w:vMerge w:val="restart"/>
            <w:noWrap w:val="0"/>
            <w:vAlign w:val="center"/>
          </w:tcPr>
          <w:p w14:paraId="1DC5310A">
            <w:pPr>
              <w:jc w:val="center"/>
              <w:rPr>
                <w:sz w:val="21"/>
                <w:szCs w:val="21"/>
                <w:highlight w:val="none"/>
                <w:lang w:val="pt-BR"/>
              </w:rPr>
            </w:pPr>
            <w:r>
              <w:rPr>
                <w:sz w:val="21"/>
                <w:szCs w:val="21"/>
                <w:highlight w:val="none"/>
              </w:rPr>
              <w:t>颗粒物</w:t>
            </w:r>
          </w:p>
        </w:tc>
        <w:tc>
          <w:tcPr>
            <w:tcW w:w="401" w:type="pct"/>
            <w:noWrap w:val="0"/>
            <w:vAlign w:val="center"/>
          </w:tcPr>
          <w:p w14:paraId="5BCE0A64">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5071</w:t>
            </w:r>
          </w:p>
        </w:tc>
        <w:tc>
          <w:tcPr>
            <w:tcW w:w="262" w:type="pct"/>
            <w:noWrap w:val="0"/>
            <w:vAlign w:val="center"/>
          </w:tcPr>
          <w:p w14:paraId="6F9466F8">
            <w:pPr>
              <w:jc w:val="center"/>
              <w:rPr>
                <w:rFonts w:hint="default" w:eastAsia="宋体"/>
                <w:sz w:val="21"/>
                <w:szCs w:val="21"/>
                <w:highlight w:val="none"/>
                <w:lang w:val="en-US" w:eastAsia="zh-CN"/>
              </w:rPr>
            </w:pPr>
            <w:r>
              <w:rPr>
                <w:rFonts w:hint="eastAsia"/>
                <w:sz w:val="21"/>
                <w:szCs w:val="21"/>
                <w:highlight w:val="none"/>
                <w:lang w:val="en-US" w:eastAsia="zh-CN"/>
              </w:rPr>
              <w:t>33</w:t>
            </w:r>
          </w:p>
        </w:tc>
        <w:tc>
          <w:tcPr>
            <w:tcW w:w="373" w:type="pct"/>
            <w:noWrap w:val="0"/>
            <w:vAlign w:val="center"/>
          </w:tcPr>
          <w:p w14:paraId="005B4674">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0.17</w:t>
            </w:r>
          </w:p>
        </w:tc>
        <w:tc>
          <w:tcPr>
            <w:tcW w:w="149" w:type="pct"/>
            <w:vMerge w:val="restart"/>
            <w:noWrap w:val="0"/>
            <w:vAlign w:val="center"/>
          </w:tcPr>
          <w:p w14:paraId="44AD7C6F">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w:t>
            </w:r>
          </w:p>
        </w:tc>
        <w:tc>
          <w:tcPr>
            <w:tcW w:w="200" w:type="pct"/>
            <w:vMerge w:val="restart"/>
            <w:noWrap w:val="0"/>
            <w:vAlign w:val="center"/>
          </w:tcPr>
          <w:p w14:paraId="1953EEA0">
            <w:pPr>
              <w:pStyle w:val="12"/>
              <w:ind w:firstLine="0" w:firstLineChars="0"/>
              <w:jc w:val="center"/>
              <w:rPr>
                <w:rFonts w:ascii="Times New Roman"/>
                <w:kern w:val="2"/>
                <w:sz w:val="21"/>
                <w:szCs w:val="21"/>
                <w:highlight w:val="none"/>
              </w:rPr>
            </w:pPr>
            <w:r>
              <w:rPr>
                <w:rFonts w:ascii="Times New Roman"/>
                <w:kern w:val="2"/>
                <w:sz w:val="21"/>
                <w:szCs w:val="21"/>
                <w:highlight w:val="none"/>
              </w:rPr>
              <w:t>40</w:t>
            </w:r>
          </w:p>
        </w:tc>
        <w:tc>
          <w:tcPr>
            <w:tcW w:w="271" w:type="pct"/>
            <w:vMerge w:val="restart"/>
            <w:noWrap w:val="0"/>
            <w:vAlign w:val="center"/>
          </w:tcPr>
          <w:p w14:paraId="79A6AE13">
            <w:pPr>
              <w:pStyle w:val="12"/>
              <w:ind w:firstLine="0" w:firstLineChars="0"/>
              <w:jc w:val="center"/>
              <w:rPr>
                <w:rFonts w:ascii="Times New Roman"/>
                <w:kern w:val="2"/>
                <w:sz w:val="21"/>
                <w:szCs w:val="21"/>
                <w:highlight w:val="none"/>
              </w:rPr>
            </w:pPr>
            <w:r>
              <w:rPr>
                <w:rFonts w:ascii="Times New Roman"/>
                <w:kern w:val="2"/>
                <w:sz w:val="21"/>
                <w:szCs w:val="21"/>
                <w:highlight w:val="none"/>
              </w:rPr>
              <w:t>0.5</w:t>
            </w:r>
          </w:p>
        </w:tc>
        <w:tc>
          <w:tcPr>
            <w:tcW w:w="262" w:type="pct"/>
            <w:vMerge w:val="restart"/>
            <w:noWrap w:val="0"/>
            <w:vAlign w:val="center"/>
          </w:tcPr>
          <w:p w14:paraId="52D27C95">
            <w:pPr>
              <w:pStyle w:val="12"/>
              <w:ind w:firstLine="0" w:firstLineChars="0"/>
              <w:jc w:val="center"/>
              <w:rPr>
                <w:rFonts w:ascii="Times New Roman"/>
                <w:kern w:val="2"/>
                <w:sz w:val="21"/>
                <w:szCs w:val="21"/>
                <w:highlight w:val="none"/>
              </w:rPr>
            </w:pPr>
            <w:r>
              <w:rPr>
                <w:rFonts w:ascii="Times New Roman"/>
                <w:kern w:val="2"/>
                <w:sz w:val="21"/>
                <w:szCs w:val="21"/>
                <w:highlight w:val="none"/>
              </w:rPr>
              <w:t>120</w:t>
            </w:r>
          </w:p>
        </w:tc>
        <w:tc>
          <w:tcPr>
            <w:tcW w:w="418" w:type="pct"/>
            <w:vMerge w:val="restart"/>
            <w:noWrap w:val="0"/>
            <w:vAlign w:val="center"/>
          </w:tcPr>
          <w:p w14:paraId="6201149A">
            <w:pPr>
              <w:pStyle w:val="12"/>
              <w:ind w:firstLine="0" w:firstLineChars="0"/>
              <w:jc w:val="center"/>
              <w:rPr>
                <w:rFonts w:ascii="Times New Roman"/>
                <w:kern w:val="2"/>
                <w:sz w:val="21"/>
                <w:szCs w:val="21"/>
                <w:highlight w:val="none"/>
              </w:rPr>
            </w:pPr>
            <w:r>
              <w:rPr>
                <w:rFonts w:ascii="Times New Roman"/>
                <w:kern w:val="2"/>
                <w:sz w:val="21"/>
                <w:szCs w:val="21"/>
                <w:highlight w:val="none"/>
              </w:rPr>
              <w:t>39</w:t>
            </w:r>
          </w:p>
        </w:tc>
        <w:tc>
          <w:tcPr>
            <w:tcW w:w="260" w:type="pct"/>
            <w:noWrap w:val="0"/>
            <w:vAlign w:val="center"/>
          </w:tcPr>
          <w:p w14:paraId="23D72ED4">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595FA851">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777A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2EE9AFE">
            <w:pPr>
              <w:widowControl/>
              <w:snapToGrid w:val="0"/>
              <w:jc w:val="center"/>
              <w:rPr>
                <w:sz w:val="21"/>
                <w:szCs w:val="21"/>
                <w:highlight w:val="none"/>
              </w:rPr>
            </w:pPr>
          </w:p>
        </w:tc>
        <w:tc>
          <w:tcPr>
            <w:tcW w:w="149" w:type="pct"/>
            <w:vMerge w:val="continue"/>
            <w:noWrap w:val="0"/>
            <w:vAlign w:val="center"/>
          </w:tcPr>
          <w:p w14:paraId="0998D141">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07030D57">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38B26EF1">
            <w:pPr>
              <w:pStyle w:val="12"/>
              <w:ind w:firstLine="0" w:firstLineChars="0"/>
              <w:jc w:val="center"/>
              <w:rPr>
                <w:rFonts w:ascii="Times New Roman"/>
                <w:kern w:val="2"/>
                <w:sz w:val="21"/>
                <w:szCs w:val="21"/>
                <w:highlight w:val="none"/>
              </w:rPr>
            </w:pPr>
          </w:p>
        </w:tc>
        <w:tc>
          <w:tcPr>
            <w:tcW w:w="176" w:type="pct"/>
            <w:noWrap w:val="0"/>
            <w:vAlign w:val="center"/>
          </w:tcPr>
          <w:p w14:paraId="06E7A831">
            <w:pPr>
              <w:pStyle w:val="12"/>
              <w:ind w:firstLine="0" w:firstLineChars="0"/>
              <w:jc w:val="center"/>
              <w:rPr>
                <w:rFonts w:hint="default" w:ascii="Times New Roman"/>
                <w:kern w:val="2"/>
                <w:sz w:val="21"/>
                <w:szCs w:val="21"/>
                <w:highlight w:val="none"/>
                <w:lang w:val="en-US" w:eastAsia="zh-CN"/>
              </w:rPr>
            </w:pPr>
            <w:r>
              <w:rPr>
                <w:rFonts w:hint="eastAsia" w:ascii="Times New Roman"/>
                <w:kern w:val="2"/>
                <w:sz w:val="21"/>
                <w:szCs w:val="21"/>
                <w:highlight w:val="none"/>
                <w:lang w:val="en-US" w:eastAsia="zh-CN"/>
              </w:rPr>
              <w:t>2#</w:t>
            </w:r>
          </w:p>
        </w:tc>
        <w:tc>
          <w:tcPr>
            <w:tcW w:w="294" w:type="pct"/>
            <w:vMerge w:val="continue"/>
            <w:noWrap w:val="0"/>
            <w:vAlign w:val="center"/>
          </w:tcPr>
          <w:p w14:paraId="3600B8BD">
            <w:pPr>
              <w:jc w:val="center"/>
              <w:rPr>
                <w:sz w:val="21"/>
                <w:szCs w:val="21"/>
                <w:highlight w:val="none"/>
              </w:rPr>
            </w:pPr>
          </w:p>
        </w:tc>
        <w:tc>
          <w:tcPr>
            <w:tcW w:w="401" w:type="pct"/>
            <w:noWrap w:val="0"/>
            <w:vAlign w:val="center"/>
          </w:tcPr>
          <w:p w14:paraId="4A94578D">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5138</w:t>
            </w:r>
          </w:p>
        </w:tc>
        <w:tc>
          <w:tcPr>
            <w:tcW w:w="262" w:type="pct"/>
            <w:noWrap w:val="0"/>
            <w:vAlign w:val="center"/>
          </w:tcPr>
          <w:p w14:paraId="37F62657">
            <w:pPr>
              <w:jc w:val="center"/>
              <w:rPr>
                <w:rFonts w:hint="default" w:eastAsia="宋体"/>
                <w:sz w:val="21"/>
                <w:szCs w:val="21"/>
                <w:highlight w:val="none"/>
                <w:lang w:val="en-US" w:eastAsia="zh-CN"/>
              </w:rPr>
            </w:pPr>
            <w:r>
              <w:rPr>
                <w:rFonts w:hint="eastAsia"/>
                <w:sz w:val="21"/>
                <w:szCs w:val="21"/>
                <w:highlight w:val="none"/>
                <w:lang w:val="en-US" w:eastAsia="zh-CN"/>
              </w:rPr>
              <w:t>65</w:t>
            </w:r>
          </w:p>
        </w:tc>
        <w:tc>
          <w:tcPr>
            <w:tcW w:w="373" w:type="pct"/>
            <w:noWrap w:val="0"/>
            <w:vAlign w:val="center"/>
          </w:tcPr>
          <w:p w14:paraId="5E4C48D5">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0.33</w:t>
            </w:r>
          </w:p>
        </w:tc>
        <w:tc>
          <w:tcPr>
            <w:tcW w:w="149" w:type="pct"/>
            <w:vMerge w:val="continue"/>
            <w:noWrap w:val="0"/>
            <w:vAlign w:val="center"/>
          </w:tcPr>
          <w:p w14:paraId="648116B4">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593320B1">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5414E7E3">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7AD15FFD">
            <w:pPr>
              <w:pStyle w:val="12"/>
              <w:ind w:firstLine="0" w:firstLineChars="0"/>
              <w:jc w:val="center"/>
              <w:rPr>
                <w:rFonts w:ascii="Times New Roman"/>
                <w:kern w:val="2"/>
                <w:sz w:val="21"/>
                <w:szCs w:val="21"/>
                <w:highlight w:val="none"/>
              </w:rPr>
            </w:pPr>
          </w:p>
        </w:tc>
        <w:tc>
          <w:tcPr>
            <w:tcW w:w="418" w:type="pct"/>
            <w:vMerge w:val="continue"/>
            <w:noWrap w:val="0"/>
            <w:vAlign w:val="center"/>
          </w:tcPr>
          <w:p w14:paraId="2E095656">
            <w:pPr>
              <w:pStyle w:val="12"/>
              <w:ind w:firstLine="0" w:firstLineChars="0"/>
              <w:jc w:val="center"/>
              <w:rPr>
                <w:rFonts w:ascii="Times New Roman"/>
                <w:kern w:val="2"/>
                <w:sz w:val="21"/>
                <w:szCs w:val="21"/>
                <w:highlight w:val="none"/>
              </w:rPr>
            </w:pPr>
          </w:p>
        </w:tc>
        <w:tc>
          <w:tcPr>
            <w:tcW w:w="260" w:type="pct"/>
            <w:noWrap w:val="0"/>
            <w:vAlign w:val="center"/>
          </w:tcPr>
          <w:p w14:paraId="71FFF722">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1339716A">
            <w:pPr>
              <w:pStyle w:val="12"/>
              <w:ind w:firstLine="0" w:firstLineChars="0"/>
              <w:jc w:val="center"/>
              <w:rPr>
                <w:rFonts w:ascii="Times New Roman"/>
                <w:kern w:val="2"/>
                <w:sz w:val="21"/>
                <w:szCs w:val="21"/>
                <w:highlight w:val="none"/>
              </w:rPr>
            </w:pPr>
          </w:p>
        </w:tc>
      </w:tr>
      <w:tr w14:paraId="1A02E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149" w:type="pct"/>
            <w:vMerge w:val="continue"/>
            <w:noWrap w:val="0"/>
            <w:vAlign w:val="center"/>
          </w:tcPr>
          <w:p w14:paraId="49FCECDE">
            <w:pPr>
              <w:widowControl/>
              <w:snapToGrid w:val="0"/>
              <w:jc w:val="center"/>
              <w:rPr>
                <w:sz w:val="21"/>
                <w:szCs w:val="21"/>
                <w:highlight w:val="none"/>
              </w:rPr>
            </w:pPr>
          </w:p>
        </w:tc>
        <w:tc>
          <w:tcPr>
            <w:tcW w:w="149" w:type="pct"/>
            <w:vMerge w:val="continue"/>
            <w:noWrap w:val="0"/>
            <w:vAlign w:val="center"/>
          </w:tcPr>
          <w:p w14:paraId="42191EB7">
            <w:pPr>
              <w:pStyle w:val="12"/>
              <w:ind w:firstLine="0" w:firstLineChars="0"/>
              <w:jc w:val="center"/>
              <w:rPr>
                <w:rFonts w:ascii="Times New Roman"/>
                <w:kern w:val="2"/>
                <w:sz w:val="21"/>
                <w:szCs w:val="21"/>
                <w:highlight w:val="none"/>
              </w:rPr>
            </w:pPr>
          </w:p>
        </w:tc>
        <w:tc>
          <w:tcPr>
            <w:tcW w:w="190" w:type="pct"/>
            <w:vMerge w:val="restart"/>
            <w:noWrap w:val="0"/>
            <w:vAlign w:val="center"/>
          </w:tcPr>
          <w:p w14:paraId="3C3C21DE">
            <w:pPr>
              <w:pStyle w:val="12"/>
              <w:ind w:firstLine="0" w:firstLineChars="0"/>
              <w:jc w:val="center"/>
              <w:rPr>
                <w:rFonts w:ascii="Times New Roman"/>
                <w:kern w:val="2"/>
                <w:sz w:val="21"/>
                <w:szCs w:val="21"/>
                <w:highlight w:val="none"/>
              </w:rPr>
            </w:pPr>
            <w:r>
              <w:rPr>
                <w:rFonts w:ascii="Times New Roman"/>
                <w:kern w:val="2"/>
                <w:sz w:val="21"/>
                <w:szCs w:val="21"/>
                <w:highlight w:val="none"/>
              </w:rPr>
              <w:t>水煤浆渣水处理单元</w:t>
            </w:r>
          </w:p>
        </w:tc>
        <w:tc>
          <w:tcPr>
            <w:tcW w:w="277" w:type="pct"/>
            <w:vMerge w:val="restart"/>
            <w:noWrap w:val="0"/>
            <w:vAlign w:val="center"/>
          </w:tcPr>
          <w:p w14:paraId="254EF344">
            <w:pPr>
              <w:pStyle w:val="12"/>
              <w:ind w:firstLine="0" w:firstLineChars="0"/>
              <w:jc w:val="center"/>
              <w:rPr>
                <w:rFonts w:hint="eastAsia" w:ascii="Times New Roman" w:eastAsia="宋体"/>
                <w:kern w:val="2"/>
                <w:sz w:val="21"/>
                <w:szCs w:val="21"/>
                <w:highlight w:val="none"/>
                <w:lang w:val="en-US" w:eastAsia="zh-CN"/>
              </w:rPr>
            </w:pPr>
            <w:r>
              <w:rPr>
                <w:rFonts w:ascii="Times New Roman"/>
                <w:kern w:val="2"/>
                <w:sz w:val="21"/>
                <w:szCs w:val="21"/>
                <w:highlight w:val="none"/>
              </w:rPr>
              <w:t>真空泵出口排放气（真空闪蒸）</w:t>
            </w:r>
          </w:p>
        </w:tc>
        <w:tc>
          <w:tcPr>
            <w:tcW w:w="176" w:type="pct"/>
            <w:noWrap w:val="0"/>
            <w:vAlign w:val="center"/>
          </w:tcPr>
          <w:p w14:paraId="46EDC896">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C</w:t>
            </w:r>
          </w:p>
        </w:tc>
        <w:tc>
          <w:tcPr>
            <w:tcW w:w="294" w:type="pct"/>
            <w:vMerge w:val="restart"/>
            <w:noWrap w:val="0"/>
            <w:vAlign w:val="center"/>
          </w:tcPr>
          <w:p w14:paraId="6C968C97">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64007C3F">
            <w:pPr>
              <w:jc w:val="center"/>
              <w:rPr>
                <w:sz w:val="21"/>
                <w:szCs w:val="21"/>
                <w:highlight w:val="none"/>
              </w:rPr>
            </w:pPr>
            <w:r>
              <w:rPr>
                <w:sz w:val="21"/>
                <w:szCs w:val="21"/>
                <w:highlight w:val="none"/>
                <w:lang w:val="pt-BR"/>
              </w:rPr>
              <w:t>NH</w:t>
            </w:r>
            <w:r>
              <w:rPr>
                <w:sz w:val="21"/>
                <w:szCs w:val="21"/>
                <w:highlight w:val="none"/>
                <w:vertAlign w:val="subscript"/>
                <w:lang w:val="pt-BR"/>
              </w:rPr>
              <w:t>3</w:t>
            </w:r>
          </w:p>
        </w:tc>
        <w:tc>
          <w:tcPr>
            <w:tcW w:w="401" w:type="pct"/>
            <w:noWrap w:val="0"/>
            <w:vAlign w:val="center"/>
          </w:tcPr>
          <w:p w14:paraId="5648CE1F">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145</w:t>
            </w:r>
          </w:p>
        </w:tc>
        <w:tc>
          <w:tcPr>
            <w:tcW w:w="262" w:type="pct"/>
            <w:noWrap w:val="0"/>
            <w:vAlign w:val="center"/>
          </w:tcPr>
          <w:p w14:paraId="451244DC">
            <w:pPr>
              <w:jc w:val="center"/>
              <w:rPr>
                <w:rFonts w:hint="eastAsia"/>
                <w:sz w:val="21"/>
                <w:szCs w:val="21"/>
                <w:highlight w:val="none"/>
                <w:lang w:val="en-US" w:eastAsia="zh-CN"/>
              </w:rPr>
            </w:pPr>
            <w:r>
              <w:rPr>
                <w:rFonts w:hint="eastAsia"/>
                <w:sz w:val="21"/>
                <w:szCs w:val="21"/>
                <w:highlight w:val="none"/>
                <w:lang w:val="en-US" w:eastAsia="zh-CN"/>
              </w:rPr>
              <w:t>0.313</w:t>
            </w:r>
          </w:p>
          <w:p w14:paraId="7084355B">
            <w:pPr>
              <w:jc w:val="center"/>
              <w:rPr>
                <w:rFonts w:hint="default"/>
                <w:sz w:val="21"/>
                <w:szCs w:val="21"/>
                <w:highlight w:val="none"/>
                <w:lang w:val="en-US" w:eastAsia="zh-CN"/>
              </w:rPr>
            </w:pPr>
            <w:r>
              <w:rPr>
                <w:rFonts w:hint="eastAsia"/>
                <w:sz w:val="21"/>
                <w:szCs w:val="21"/>
                <w:highlight w:val="none"/>
                <w:lang w:val="en-US" w:eastAsia="zh-CN"/>
              </w:rPr>
              <w:t>0.79</w:t>
            </w:r>
          </w:p>
        </w:tc>
        <w:tc>
          <w:tcPr>
            <w:tcW w:w="373" w:type="pct"/>
            <w:noWrap w:val="0"/>
            <w:vAlign w:val="center"/>
          </w:tcPr>
          <w:p w14:paraId="2F09BA86">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4.5</w:t>
            </w:r>
            <w:r>
              <w:rPr>
                <w:rFonts w:ascii="Times New Roman" w:hAnsi="Times New Roman" w:eastAsia="宋体" w:cs="Times New Roman"/>
                <w:sz w:val="21"/>
                <w:szCs w:val="21"/>
                <w:highlight w:val="none"/>
                <w:lang w:val="pt-BR"/>
              </w:rPr>
              <w:t>×10</w:t>
            </w:r>
            <w:r>
              <w:rPr>
                <w:rFonts w:ascii="Times New Roman" w:hAnsi="Times New Roman" w:eastAsia="宋体" w:cs="Times New Roman"/>
                <w:sz w:val="21"/>
                <w:szCs w:val="21"/>
                <w:highlight w:val="none"/>
                <w:vertAlign w:val="superscript"/>
                <w:lang w:val="pt-BR"/>
              </w:rPr>
              <w:t>-</w:t>
            </w:r>
            <w:r>
              <w:rPr>
                <w:rFonts w:hint="eastAsia" w:ascii="Times New Roman" w:hAnsi="Times New Roman" w:eastAsia="宋体" w:cs="Times New Roman"/>
                <w:sz w:val="21"/>
                <w:szCs w:val="21"/>
                <w:highlight w:val="none"/>
                <w:vertAlign w:val="superscript"/>
                <w:lang w:val="en-US" w:eastAsia="zh-CN"/>
              </w:rPr>
              <w:t>5</w:t>
            </w:r>
          </w:p>
          <w:p w14:paraId="5809B7AA">
            <w:pPr>
              <w:jc w:val="center"/>
              <w:rPr>
                <w:rFonts w:hint="default"/>
                <w:sz w:val="21"/>
                <w:szCs w:val="21"/>
                <w:highlight w:val="none"/>
                <w:lang w:val="en-US" w:eastAsia="zh-CN"/>
              </w:rPr>
            </w:pPr>
            <w:r>
              <w:rPr>
                <w:rFonts w:hint="eastAsia" w:ascii="Times New Roman" w:hAnsi="Times New Roman" w:eastAsia="宋体" w:cs="Times New Roman"/>
                <w:sz w:val="21"/>
                <w:szCs w:val="21"/>
                <w:highlight w:val="none"/>
                <w:lang w:val="en-US" w:eastAsia="zh-CN"/>
              </w:rPr>
              <w:t>1.2</w:t>
            </w:r>
            <w:r>
              <w:rPr>
                <w:rFonts w:ascii="Times New Roman" w:hAnsi="Times New Roman" w:eastAsia="宋体" w:cs="Times New Roman"/>
                <w:sz w:val="21"/>
                <w:szCs w:val="21"/>
                <w:highlight w:val="none"/>
                <w:lang w:val="pt-BR"/>
              </w:rPr>
              <w:t>×10</w:t>
            </w:r>
            <w:r>
              <w:rPr>
                <w:rFonts w:ascii="Times New Roman" w:hAnsi="Times New Roman" w:eastAsia="宋体" w:cs="Times New Roman"/>
                <w:sz w:val="21"/>
                <w:szCs w:val="21"/>
                <w:highlight w:val="none"/>
                <w:vertAlign w:val="superscript"/>
                <w:lang w:val="pt-BR"/>
              </w:rPr>
              <w:t>-</w:t>
            </w:r>
            <w:r>
              <w:rPr>
                <w:rFonts w:hint="eastAsia" w:ascii="Times New Roman" w:hAnsi="Times New Roman" w:eastAsia="宋体" w:cs="Times New Roman"/>
                <w:sz w:val="21"/>
                <w:szCs w:val="21"/>
                <w:highlight w:val="none"/>
                <w:vertAlign w:val="superscript"/>
                <w:lang w:val="en-US" w:eastAsia="zh-CN"/>
              </w:rPr>
              <w:t>4</w:t>
            </w:r>
          </w:p>
        </w:tc>
        <w:tc>
          <w:tcPr>
            <w:tcW w:w="149" w:type="pct"/>
            <w:vMerge w:val="restart"/>
            <w:noWrap w:val="0"/>
            <w:vAlign w:val="center"/>
          </w:tcPr>
          <w:p w14:paraId="41809257">
            <w:pPr>
              <w:pStyle w:val="12"/>
              <w:ind w:firstLine="0" w:firstLineChars="0"/>
              <w:jc w:val="center"/>
              <w:rPr>
                <w:rFonts w:ascii="Times New Roman"/>
                <w:kern w:val="2"/>
                <w:sz w:val="21"/>
                <w:szCs w:val="21"/>
                <w:highlight w:val="none"/>
              </w:rPr>
            </w:pPr>
            <w:r>
              <w:rPr>
                <w:rFonts w:ascii="Times New Roman"/>
                <w:kern w:val="2"/>
                <w:sz w:val="21"/>
                <w:szCs w:val="21"/>
                <w:highlight w:val="none"/>
              </w:rPr>
              <w:t>2</w:t>
            </w:r>
          </w:p>
        </w:tc>
        <w:tc>
          <w:tcPr>
            <w:tcW w:w="200" w:type="pct"/>
            <w:vMerge w:val="restart"/>
            <w:noWrap w:val="0"/>
            <w:vAlign w:val="center"/>
          </w:tcPr>
          <w:p w14:paraId="7F4D8F13">
            <w:pPr>
              <w:pStyle w:val="12"/>
              <w:ind w:firstLine="0" w:firstLineChars="0"/>
              <w:jc w:val="center"/>
              <w:rPr>
                <w:rFonts w:ascii="Times New Roman"/>
                <w:kern w:val="2"/>
                <w:sz w:val="21"/>
                <w:szCs w:val="21"/>
                <w:highlight w:val="none"/>
              </w:rPr>
            </w:pPr>
            <w:r>
              <w:rPr>
                <w:rFonts w:ascii="Times New Roman"/>
                <w:kern w:val="2"/>
                <w:sz w:val="21"/>
                <w:szCs w:val="21"/>
                <w:highlight w:val="none"/>
              </w:rPr>
              <w:t>35</w:t>
            </w:r>
          </w:p>
        </w:tc>
        <w:tc>
          <w:tcPr>
            <w:tcW w:w="271" w:type="pct"/>
            <w:vMerge w:val="restart"/>
            <w:noWrap w:val="0"/>
            <w:vAlign w:val="center"/>
          </w:tcPr>
          <w:p w14:paraId="053B900B">
            <w:pPr>
              <w:pStyle w:val="12"/>
              <w:ind w:firstLine="0" w:firstLineChars="0"/>
              <w:jc w:val="center"/>
              <w:rPr>
                <w:rFonts w:ascii="Times New Roman"/>
                <w:kern w:val="2"/>
                <w:sz w:val="21"/>
                <w:szCs w:val="21"/>
                <w:highlight w:val="none"/>
              </w:rPr>
            </w:pPr>
            <w:r>
              <w:rPr>
                <w:rFonts w:ascii="Times New Roman"/>
                <w:kern w:val="2"/>
                <w:sz w:val="21"/>
                <w:szCs w:val="21"/>
                <w:highlight w:val="none"/>
              </w:rPr>
              <w:t>0.1</w:t>
            </w:r>
          </w:p>
        </w:tc>
        <w:tc>
          <w:tcPr>
            <w:tcW w:w="262" w:type="pct"/>
            <w:vMerge w:val="restart"/>
            <w:noWrap w:val="0"/>
            <w:vAlign w:val="center"/>
          </w:tcPr>
          <w:p w14:paraId="693EAFC1">
            <w:pPr>
              <w:jc w:val="center"/>
              <w:rPr>
                <w:rFonts w:ascii="Times New Roman"/>
                <w:kern w:val="2"/>
                <w:sz w:val="21"/>
                <w:szCs w:val="21"/>
                <w:highlight w:val="none"/>
              </w:rPr>
            </w:pPr>
            <w:r>
              <w:rPr>
                <w:sz w:val="21"/>
                <w:szCs w:val="21"/>
                <w:highlight w:val="none"/>
                <w:lang w:val="pt-BR"/>
              </w:rPr>
              <w:t>/</w:t>
            </w:r>
          </w:p>
        </w:tc>
        <w:tc>
          <w:tcPr>
            <w:tcW w:w="418" w:type="pct"/>
            <w:vMerge w:val="restart"/>
            <w:noWrap w:val="0"/>
            <w:vAlign w:val="center"/>
          </w:tcPr>
          <w:p w14:paraId="28D7C3F3">
            <w:pPr>
              <w:jc w:val="center"/>
              <w:rPr>
                <w:rFonts w:hint="default" w:eastAsia="宋体"/>
                <w:sz w:val="21"/>
                <w:szCs w:val="21"/>
                <w:highlight w:val="none"/>
                <w:lang w:val="en-US" w:eastAsia="zh-CN"/>
              </w:rPr>
            </w:pPr>
            <w:r>
              <w:rPr>
                <w:rFonts w:hint="eastAsia"/>
                <w:sz w:val="21"/>
                <w:szCs w:val="21"/>
                <w:highlight w:val="none"/>
                <w:lang w:val="en-US" w:eastAsia="zh-CN"/>
              </w:rPr>
              <w:t>5.2</w:t>
            </w:r>
          </w:p>
          <w:p w14:paraId="5E7C4560">
            <w:pPr>
              <w:pStyle w:val="12"/>
              <w:ind w:firstLine="0" w:firstLineChars="0"/>
              <w:jc w:val="center"/>
              <w:rPr>
                <w:rFonts w:ascii="Times New Roman"/>
                <w:kern w:val="2"/>
                <w:sz w:val="21"/>
                <w:szCs w:val="21"/>
                <w:highlight w:val="none"/>
              </w:rPr>
            </w:pPr>
            <w:r>
              <w:rPr>
                <w:rFonts w:ascii="Times New Roman"/>
                <w:kern w:val="2"/>
                <w:sz w:val="21"/>
                <w:szCs w:val="21"/>
                <w:highlight w:val="none"/>
                <w:lang w:val="pt-BR"/>
              </w:rPr>
              <w:t>27</w:t>
            </w:r>
          </w:p>
        </w:tc>
        <w:tc>
          <w:tcPr>
            <w:tcW w:w="260" w:type="pct"/>
            <w:noWrap w:val="0"/>
            <w:vAlign w:val="center"/>
          </w:tcPr>
          <w:p w14:paraId="75C048B3">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21B237FA">
            <w:pPr>
              <w:pStyle w:val="12"/>
              <w:ind w:firstLine="0" w:firstLineChars="0"/>
              <w:jc w:val="center"/>
              <w:rPr>
                <w:rFonts w:ascii="Times New Roman"/>
                <w:kern w:val="2"/>
                <w:sz w:val="21"/>
                <w:szCs w:val="21"/>
                <w:highlight w:val="none"/>
              </w:rPr>
            </w:pPr>
            <w:r>
              <w:rPr>
                <w:rFonts w:ascii="Times New Roman"/>
                <w:kern w:val="2"/>
                <w:sz w:val="21"/>
                <w:szCs w:val="21"/>
                <w:highlight w:val="none"/>
              </w:rPr>
              <w:t>《恶臭污染物综合排放标准》（GB14554-93）表2二级标准</w:t>
            </w:r>
          </w:p>
        </w:tc>
      </w:tr>
      <w:tr w14:paraId="50EA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7BCD06B9">
            <w:pPr>
              <w:widowControl/>
              <w:snapToGrid w:val="0"/>
              <w:jc w:val="center"/>
              <w:rPr>
                <w:sz w:val="21"/>
                <w:szCs w:val="21"/>
                <w:highlight w:val="none"/>
              </w:rPr>
            </w:pPr>
          </w:p>
        </w:tc>
        <w:tc>
          <w:tcPr>
            <w:tcW w:w="149" w:type="pct"/>
            <w:vMerge w:val="continue"/>
            <w:noWrap w:val="0"/>
            <w:vAlign w:val="center"/>
          </w:tcPr>
          <w:p w14:paraId="24DCF8E6">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4CB937BC">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23D86FA8">
            <w:pPr>
              <w:pStyle w:val="12"/>
              <w:ind w:firstLine="0" w:firstLineChars="0"/>
              <w:jc w:val="center"/>
              <w:rPr>
                <w:rFonts w:hint="eastAsia" w:ascii="Times New Roman" w:eastAsia="宋体"/>
                <w:kern w:val="2"/>
                <w:sz w:val="21"/>
                <w:szCs w:val="21"/>
                <w:highlight w:val="none"/>
                <w:lang w:val="en-US" w:eastAsia="zh-CN"/>
              </w:rPr>
            </w:pPr>
          </w:p>
        </w:tc>
        <w:tc>
          <w:tcPr>
            <w:tcW w:w="176" w:type="pct"/>
            <w:noWrap w:val="0"/>
            <w:vAlign w:val="center"/>
          </w:tcPr>
          <w:p w14:paraId="2766AD7E">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B</w:t>
            </w:r>
          </w:p>
        </w:tc>
        <w:tc>
          <w:tcPr>
            <w:tcW w:w="294" w:type="pct"/>
            <w:vMerge w:val="continue"/>
            <w:noWrap w:val="0"/>
            <w:vAlign w:val="center"/>
          </w:tcPr>
          <w:p w14:paraId="28F94C06">
            <w:pPr>
              <w:jc w:val="center"/>
              <w:rPr>
                <w:sz w:val="21"/>
                <w:szCs w:val="21"/>
                <w:highlight w:val="none"/>
                <w:lang w:val="pt-BR"/>
              </w:rPr>
            </w:pPr>
          </w:p>
        </w:tc>
        <w:tc>
          <w:tcPr>
            <w:tcW w:w="401" w:type="pct"/>
            <w:noWrap w:val="0"/>
            <w:vAlign w:val="center"/>
          </w:tcPr>
          <w:p w14:paraId="79D5A12E">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116</w:t>
            </w:r>
          </w:p>
        </w:tc>
        <w:tc>
          <w:tcPr>
            <w:tcW w:w="262" w:type="pct"/>
            <w:noWrap w:val="0"/>
            <w:vAlign w:val="center"/>
          </w:tcPr>
          <w:p w14:paraId="05733146">
            <w:pPr>
              <w:jc w:val="center"/>
              <w:rPr>
                <w:rFonts w:hint="eastAsia"/>
                <w:sz w:val="21"/>
                <w:szCs w:val="21"/>
                <w:highlight w:val="none"/>
                <w:lang w:val="en-US" w:eastAsia="zh-CN"/>
              </w:rPr>
            </w:pPr>
            <w:r>
              <w:rPr>
                <w:rFonts w:hint="eastAsia"/>
                <w:sz w:val="21"/>
                <w:szCs w:val="21"/>
                <w:highlight w:val="none"/>
                <w:lang w:val="en-US" w:eastAsia="zh-CN"/>
              </w:rPr>
              <w:t>0.285</w:t>
            </w:r>
          </w:p>
          <w:p w14:paraId="7E09F0B1">
            <w:pPr>
              <w:jc w:val="center"/>
              <w:rPr>
                <w:rFonts w:hint="default"/>
                <w:sz w:val="21"/>
                <w:szCs w:val="21"/>
                <w:highlight w:val="none"/>
                <w:lang w:val="en-US" w:eastAsia="zh-CN"/>
              </w:rPr>
            </w:pPr>
            <w:r>
              <w:rPr>
                <w:rFonts w:hint="eastAsia"/>
                <w:sz w:val="21"/>
                <w:szCs w:val="21"/>
                <w:highlight w:val="none"/>
                <w:lang w:val="en-US" w:eastAsia="zh-CN"/>
              </w:rPr>
              <w:t>0.73</w:t>
            </w:r>
          </w:p>
        </w:tc>
        <w:tc>
          <w:tcPr>
            <w:tcW w:w="373" w:type="pct"/>
            <w:noWrap w:val="0"/>
            <w:vAlign w:val="center"/>
          </w:tcPr>
          <w:p w14:paraId="6203196B">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3.3×10</w:t>
            </w:r>
            <w:r>
              <w:rPr>
                <w:rFonts w:hint="eastAsia" w:ascii="Times New Roman" w:hAnsi="Times New Roman" w:eastAsia="宋体" w:cs="Times New Roman"/>
                <w:sz w:val="21"/>
                <w:szCs w:val="21"/>
                <w:highlight w:val="none"/>
                <w:vertAlign w:val="superscript"/>
                <w:lang w:val="en-US" w:eastAsia="zh-CN"/>
              </w:rPr>
              <w:t>-5</w:t>
            </w:r>
          </w:p>
          <w:p w14:paraId="4522D842">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8.4×10</w:t>
            </w:r>
            <w:r>
              <w:rPr>
                <w:rFonts w:hint="eastAsia" w:ascii="Times New Roman" w:hAnsi="Times New Roman" w:eastAsia="宋体" w:cs="Times New Roman"/>
                <w:sz w:val="21"/>
                <w:szCs w:val="21"/>
                <w:highlight w:val="none"/>
                <w:vertAlign w:val="superscript"/>
                <w:lang w:val="en-US" w:eastAsia="zh-CN"/>
              </w:rPr>
              <w:t>-5</w:t>
            </w:r>
          </w:p>
        </w:tc>
        <w:tc>
          <w:tcPr>
            <w:tcW w:w="149" w:type="pct"/>
            <w:vMerge w:val="continue"/>
            <w:noWrap w:val="0"/>
            <w:vAlign w:val="center"/>
          </w:tcPr>
          <w:p w14:paraId="73B128D3">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5133FA9B">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75BC315E">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002C0620">
            <w:pPr>
              <w:pStyle w:val="12"/>
              <w:ind w:firstLine="0" w:firstLineChars="0"/>
              <w:jc w:val="center"/>
              <w:rPr>
                <w:rFonts w:ascii="Times New Roman"/>
                <w:kern w:val="2"/>
                <w:sz w:val="21"/>
                <w:szCs w:val="21"/>
                <w:highlight w:val="none"/>
                <w:lang w:val="pt-BR"/>
              </w:rPr>
            </w:pPr>
          </w:p>
        </w:tc>
        <w:tc>
          <w:tcPr>
            <w:tcW w:w="418" w:type="pct"/>
            <w:vMerge w:val="continue"/>
            <w:noWrap w:val="0"/>
            <w:vAlign w:val="center"/>
          </w:tcPr>
          <w:p w14:paraId="77E1055B">
            <w:pPr>
              <w:pStyle w:val="12"/>
              <w:ind w:firstLine="0" w:firstLineChars="0"/>
              <w:jc w:val="center"/>
              <w:rPr>
                <w:rFonts w:ascii="Times New Roman"/>
                <w:kern w:val="2"/>
                <w:sz w:val="21"/>
                <w:szCs w:val="21"/>
                <w:highlight w:val="none"/>
                <w:lang w:val="pt-BR"/>
              </w:rPr>
            </w:pPr>
          </w:p>
        </w:tc>
        <w:tc>
          <w:tcPr>
            <w:tcW w:w="260" w:type="pct"/>
            <w:noWrap w:val="0"/>
            <w:vAlign w:val="center"/>
          </w:tcPr>
          <w:p w14:paraId="4720D2E7">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32D9B3C5">
            <w:pPr>
              <w:pStyle w:val="12"/>
              <w:ind w:firstLine="0" w:firstLineChars="0"/>
              <w:jc w:val="center"/>
              <w:rPr>
                <w:rFonts w:ascii="Times New Roman"/>
                <w:kern w:val="2"/>
                <w:sz w:val="21"/>
                <w:szCs w:val="21"/>
                <w:highlight w:val="none"/>
              </w:rPr>
            </w:pPr>
          </w:p>
        </w:tc>
      </w:tr>
      <w:tr w14:paraId="1F9D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422BEE2">
            <w:pPr>
              <w:widowControl/>
              <w:snapToGrid w:val="0"/>
              <w:jc w:val="center"/>
              <w:rPr>
                <w:sz w:val="21"/>
                <w:szCs w:val="21"/>
                <w:highlight w:val="none"/>
              </w:rPr>
            </w:pPr>
          </w:p>
        </w:tc>
        <w:tc>
          <w:tcPr>
            <w:tcW w:w="149" w:type="pct"/>
            <w:vMerge w:val="continue"/>
            <w:noWrap w:val="0"/>
            <w:vAlign w:val="center"/>
          </w:tcPr>
          <w:p w14:paraId="1FA48447">
            <w:pPr>
              <w:pStyle w:val="12"/>
              <w:ind w:firstLine="0" w:firstLineChars="0"/>
              <w:jc w:val="center"/>
              <w:rPr>
                <w:rFonts w:ascii="Times New Roman"/>
                <w:kern w:val="2"/>
                <w:sz w:val="21"/>
                <w:szCs w:val="21"/>
                <w:highlight w:val="none"/>
              </w:rPr>
            </w:pPr>
          </w:p>
        </w:tc>
        <w:tc>
          <w:tcPr>
            <w:tcW w:w="190" w:type="pct"/>
            <w:vMerge w:val="continue"/>
            <w:noWrap w:val="0"/>
            <w:vAlign w:val="center"/>
          </w:tcPr>
          <w:p w14:paraId="05E5DE53">
            <w:pPr>
              <w:pStyle w:val="12"/>
              <w:ind w:firstLine="0" w:firstLineChars="0"/>
              <w:jc w:val="center"/>
              <w:rPr>
                <w:rFonts w:ascii="Times New Roman"/>
                <w:kern w:val="2"/>
                <w:sz w:val="21"/>
                <w:szCs w:val="21"/>
                <w:highlight w:val="none"/>
              </w:rPr>
            </w:pPr>
          </w:p>
        </w:tc>
        <w:tc>
          <w:tcPr>
            <w:tcW w:w="454" w:type="pct"/>
            <w:gridSpan w:val="2"/>
            <w:noWrap w:val="0"/>
            <w:vAlign w:val="center"/>
          </w:tcPr>
          <w:p w14:paraId="0C4B9C9D">
            <w:pPr>
              <w:pStyle w:val="12"/>
              <w:ind w:firstLine="0" w:firstLineChars="0"/>
              <w:jc w:val="center"/>
              <w:rPr>
                <w:rFonts w:ascii="Times New Roman"/>
                <w:kern w:val="2"/>
                <w:sz w:val="21"/>
                <w:szCs w:val="21"/>
                <w:highlight w:val="none"/>
              </w:rPr>
            </w:pPr>
            <w:r>
              <w:rPr>
                <w:rFonts w:ascii="Times New Roman"/>
                <w:kern w:val="2"/>
                <w:sz w:val="21"/>
                <w:szCs w:val="21"/>
                <w:highlight w:val="none"/>
              </w:rPr>
              <w:t>脱气水槽放空气</w:t>
            </w:r>
          </w:p>
        </w:tc>
        <w:tc>
          <w:tcPr>
            <w:tcW w:w="294" w:type="pct"/>
            <w:noWrap w:val="0"/>
            <w:vAlign w:val="center"/>
          </w:tcPr>
          <w:p w14:paraId="6340B077">
            <w:pPr>
              <w:jc w:val="center"/>
              <w:rPr>
                <w:sz w:val="21"/>
                <w:szCs w:val="21"/>
                <w:highlight w:val="none"/>
                <w:lang w:val="pt-BR"/>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4885EEF3">
            <w:pPr>
              <w:jc w:val="center"/>
              <w:rPr>
                <w:sz w:val="21"/>
                <w:szCs w:val="21"/>
                <w:highlight w:val="none"/>
                <w:lang w:val="pt-BR"/>
              </w:rPr>
            </w:pPr>
            <w:r>
              <w:rPr>
                <w:sz w:val="21"/>
                <w:szCs w:val="21"/>
                <w:highlight w:val="none"/>
                <w:lang w:val="pt-BR"/>
              </w:rPr>
              <w:t>NH</w:t>
            </w:r>
            <w:r>
              <w:rPr>
                <w:sz w:val="21"/>
                <w:szCs w:val="21"/>
                <w:highlight w:val="none"/>
                <w:vertAlign w:val="subscript"/>
                <w:lang w:val="pt-BR"/>
              </w:rPr>
              <w:t>3</w:t>
            </w:r>
          </w:p>
        </w:tc>
        <w:tc>
          <w:tcPr>
            <w:tcW w:w="401" w:type="pct"/>
            <w:noWrap w:val="0"/>
            <w:vAlign w:val="center"/>
          </w:tcPr>
          <w:p w14:paraId="7277C22E">
            <w:pPr>
              <w:pStyle w:val="12"/>
              <w:ind w:firstLine="0" w:firstLineChars="0"/>
              <w:jc w:val="center"/>
              <w:rPr>
                <w:rFonts w:ascii="Times New Roman"/>
                <w:kern w:val="2"/>
                <w:sz w:val="21"/>
                <w:szCs w:val="21"/>
                <w:highlight w:val="none"/>
              </w:rPr>
            </w:pPr>
            <w:r>
              <w:rPr>
                <w:rFonts w:ascii="Times New Roman"/>
                <w:kern w:val="2"/>
                <w:sz w:val="21"/>
                <w:szCs w:val="21"/>
                <w:highlight w:val="none"/>
              </w:rPr>
              <w:t>3556</w:t>
            </w:r>
          </w:p>
        </w:tc>
        <w:tc>
          <w:tcPr>
            <w:tcW w:w="262" w:type="pct"/>
            <w:noWrap w:val="0"/>
            <w:vAlign w:val="center"/>
          </w:tcPr>
          <w:p w14:paraId="08F4255E">
            <w:pPr>
              <w:jc w:val="center"/>
              <w:rPr>
                <w:rFonts w:hint="eastAsia"/>
                <w:sz w:val="21"/>
                <w:szCs w:val="21"/>
                <w:highlight w:val="none"/>
                <w:lang w:val="en-US" w:eastAsia="zh-CN"/>
              </w:rPr>
            </w:pPr>
            <w:r>
              <w:rPr>
                <w:rFonts w:hint="eastAsia"/>
                <w:sz w:val="21"/>
                <w:szCs w:val="21"/>
                <w:highlight w:val="none"/>
                <w:lang w:val="en-US" w:eastAsia="zh-CN"/>
              </w:rPr>
              <w:t>0.239</w:t>
            </w:r>
          </w:p>
          <w:p w14:paraId="3369412D">
            <w:pPr>
              <w:jc w:val="center"/>
              <w:rPr>
                <w:rFonts w:hint="default"/>
                <w:sz w:val="21"/>
                <w:szCs w:val="21"/>
                <w:highlight w:val="none"/>
                <w:lang w:val="en-US" w:eastAsia="zh-CN"/>
              </w:rPr>
            </w:pPr>
            <w:r>
              <w:rPr>
                <w:rFonts w:hint="eastAsia"/>
                <w:sz w:val="21"/>
                <w:szCs w:val="21"/>
                <w:highlight w:val="none"/>
                <w:lang w:val="en-US" w:eastAsia="zh-CN"/>
              </w:rPr>
              <w:t>0.67</w:t>
            </w:r>
          </w:p>
        </w:tc>
        <w:tc>
          <w:tcPr>
            <w:tcW w:w="373" w:type="pct"/>
            <w:noWrap w:val="0"/>
            <w:vAlign w:val="center"/>
          </w:tcPr>
          <w:p w14:paraId="13933277">
            <w:pPr>
              <w:pStyle w:val="12"/>
              <w:ind w:firstLine="0" w:firstLineChars="0"/>
              <w:jc w:val="center"/>
              <w:rPr>
                <w:rFonts w:hint="default" w:ascii="Times New Roman" w:hAnsi="Times New Roman" w:eastAsia="宋体" w:cs="Times New Roman"/>
                <w:kern w:val="2"/>
                <w:sz w:val="21"/>
                <w:szCs w:val="21"/>
                <w:highlight w:val="none"/>
                <w:lang w:val="en-US"/>
              </w:rPr>
            </w:pPr>
            <w:r>
              <w:rPr>
                <w:rFonts w:ascii="Times New Roman" w:hAnsi="Times New Roman" w:eastAsia="宋体" w:cs="Times New Roman"/>
                <w:kern w:val="2"/>
                <w:sz w:val="21"/>
                <w:szCs w:val="21"/>
                <w:highlight w:val="none"/>
                <w:lang w:val="pt-BR"/>
              </w:rPr>
              <w:t>4.92</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-3</w:t>
            </w:r>
          </w:p>
          <w:p w14:paraId="002B5550">
            <w:pPr>
              <w:pStyle w:val="12"/>
              <w:ind w:firstLine="0" w:firstLineChars="0"/>
              <w:jc w:val="center"/>
              <w:rPr>
                <w:rFonts w:ascii="Times New Roman" w:hAnsi="Times New Roman" w:eastAsia="宋体" w:cs="Times New Roman"/>
                <w:kern w:val="2"/>
                <w:sz w:val="21"/>
                <w:szCs w:val="21"/>
                <w:highlight w:val="none"/>
              </w:rPr>
            </w:pPr>
            <w:r>
              <w:rPr>
                <w:rFonts w:ascii="Times New Roman" w:hAnsi="Times New Roman" w:eastAsia="宋体" w:cs="Times New Roman"/>
                <w:kern w:val="2"/>
                <w:sz w:val="21"/>
                <w:szCs w:val="21"/>
                <w:highlight w:val="none"/>
                <w:lang w:val="pt-BR"/>
              </w:rPr>
              <w:t>1.96</w:t>
            </w:r>
            <w:r>
              <w:rPr>
                <w:rFonts w:hint="eastAsia" w:ascii="Times New Roman" w:hAnsi="Times New Roman" w:eastAsia="宋体" w:cs="Times New Roman"/>
                <w:sz w:val="21"/>
                <w:szCs w:val="21"/>
                <w:highlight w:val="none"/>
                <w:lang w:val="en-US" w:eastAsia="zh-CN"/>
              </w:rPr>
              <w:t>×10</w:t>
            </w:r>
            <w:r>
              <w:rPr>
                <w:rFonts w:hint="eastAsia" w:ascii="Times New Roman" w:hAnsi="Times New Roman" w:eastAsia="宋体" w:cs="Times New Roman"/>
                <w:sz w:val="21"/>
                <w:szCs w:val="21"/>
                <w:highlight w:val="none"/>
                <w:vertAlign w:val="superscript"/>
                <w:lang w:val="en-US" w:eastAsia="zh-CN"/>
              </w:rPr>
              <w:t>-3</w:t>
            </w:r>
          </w:p>
        </w:tc>
        <w:tc>
          <w:tcPr>
            <w:tcW w:w="149" w:type="pct"/>
            <w:noWrap w:val="0"/>
            <w:vAlign w:val="center"/>
          </w:tcPr>
          <w:p w14:paraId="083DE071">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2B43EC87">
            <w:pPr>
              <w:pStyle w:val="12"/>
              <w:ind w:firstLine="0" w:firstLineChars="0"/>
              <w:jc w:val="center"/>
              <w:rPr>
                <w:rFonts w:ascii="Times New Roman"/>
                <w:kern w:val="2"/>
                <w:sz w:val="21"/>
                <w:szCs w:val="21"/>
                <w:highlight w:val="none"/>
              </w:rPr>
            </w:pPr>
            <w:r>
              <w:rPr>
                <w:rFonts w:ascii="Times New Roman"/>
                <w:kern w:val="2"/>
                <w:sz w:val="21"/>
                <w:szCs w:val="21"/>
                <w:highlight w:val="none"/>
              </w:rPr>
              <w:t>40</w:t>
            </w:r>
          </w:p>
        </w:tc>
        <w:tc>
          <w:tcPr>
            <w:tcW w:w="271" w:type="pct"/>
            <w:noWrap w:val="0"/>
            <w:vAlign w:val="center"/>
          </w:tcPr>
          <w:p w14:paraId="1FB92A1B">
            <w:pPr>
              <w:pStyle w:val="12"/>
              <w:ind w:firstLine="0" w:firstLineChars="0"/>
              <w:jc w:val="center"/>
              <w:rPr>
                <w:rFonts w:ascii="Times New Roman"/>
                <w:kern w:val="2"/>
                <w:sz w:val="21"/>
                <w:szCs w:val="21"/>
                <w:highlight w:val="none"/>
              </w:rPr>
            </w:pPr>
            <w:r>
              <w:rPr>
                <w:rFonts w:ascii="Times New Roman"/>
                <w:kern w:val="2"/>
                <w:sz w:val="21"/>
                <w:szCs w:val="21"/>
                <w:highlight w:val="none"/>
              </w:rPr>
              <w:t>0.15</w:t>
            </w:r>
          </w:p>
        </w:tc>
        <w:tc>
          <w:tcPr>
            <w:tcW w:w="262" w:type="pct"/>
            <w:noWrap w:val="0"/>
            <w:vAlign w:val="center"/>
          </w:tcPr>
          <w:p w14:paraId="7057021D">
            <w:pPr>
              <w:jc w:val="center"/>
              <w:rPr>
                <w:rFonts w:ascii="Times New Roman"/>
                <w:kern w:val="2"/>
                <w:sz w:val="21"/>
                <w:szCs w:val="21"/>
                <w:highlight w:val="none"/>
              </w:rPr>
            </w:pPr>
            <w:r>
              <w:rPr>
                <w:sz w:val="21"/>
                <w:szCs w:val="21"/>
                <w:highlight w:val="none"/>
                <w:lang w:val="pt-BR"/>
              </w:rPr>
              <w:t>/</w:t>
            </w:r>
          </w:p>
        </w:tc>
        <w:tc>
          <w:tcPr>
            <w:tcW w:w="418" w:type="pct"/>
            <w:noWrap w:val="0"/>
            <w:vAlign w:val="center"/>
          </w:tcPr>
          <w:p w14:paraId="658CD75C">
            <w:pPr>
              <w:jc w:val="center"/>
              <w:rPr>
                <w:sz w:val="21"/>
                <w:szCs w:val="21"/>
                <w:highlight w:val="none"/>
                <w:lang w:val="pt-BR"/>
              </w:rPr>
            </w:pPr>
            <w:r>
              <w:rPr>
                <w:sz w:val="21"/>
                <w:szCs w:val="21"/>
                <w:highlight w:val="none"/>
                <w:lang w:val="pt-BR"/>
              </w:rPr>
              <w:t>2.3</w:t>
            </w:r>
          </w:p>
          <w:p w14:paraId="29792C72">
            <w:pPr>
              <w:pStyle w:val="12"/>
              <w:ind w:firstLine="0" w:firstLineChars="0"/>
              <w:jc w:val="center"/>
              <w:rPr>
                <w:rFonts w:ascii="Times New Roman"/>
                <w:kern w:val="2"/>
                <w:sz w:val="21"/>
                <w:szCs w:val="21"/>
                <w:highlight w:val="none"/>
              </w:rPr>
            </w:pPr>
            <w:r>
              <w:rPr>
                <w:rFonts w:ascii="Times New Roman"/>
                <w:kern w:val="2"/>
                <w:sz w:val="21"/>
                <w:szCs w:val="21"/>
                <w:highlight w:val="none"/>
                <w:lang w:val="pt-BR"/>
              </w:rPr>
              <w:t>35</w:t>
            </w:r>
          </w:p>
        </w:tc>
        <w:tc>
          <w:tcPr>
            <w:tcW w:w="260" w:type="pct"/>
            <w:noWrap w:val="0"/>
            <w:vAlign w:val="center"/>
          </w:tcPr>
          <w:p w14:paraId="5E403B7A">
            <w:pPr>
              <w:jc w:val="center"/>
              <w:rPr>
                <w:rFonts w:ascii="Times New Roman"/>
                <w:kern w:val="2"/>
                <w:sz w:val="21"/>
                <w:szCs w:val="21"/>
                <w:highlight w:val="none"/>
              </w:rPr>
            </w:pPr>
            <w:r>
              <w:rPr>
                <w:sz w:val="21"/>
                <w:szCs w:val="21"/>
                <w:highlight w:val="none"/>
              </w:rPr>
              <w:t>达标</w:t>
            </w:r>
          </w:p>
        </w:tc>
        <w:tc>
          <w:tcPr>
            <w:tcW w:w="1160" w:type="pct"/>
            <w:noWrap w:val="0"/>
            <w:vAlign w:val="center"/>
          </w:tcPr>
          <w:p w14:paraId="04321C1B">
            <w:pPr>
              <w:pStyle w:val="12"/>
              <w:ind w:firstLine="0" w:firstLineChars="0"/>
              <w:jc w:val="center"/>
              <w:rPr>
                <w:rFonts w:ascii="Times New Roman"/>
                <w:kern w:val="2"/>
                <w:sz w:val="21"/>
                <w:szCs w:val="21"/>
                <w:highlight w:val="none"/>
              </w:rPr>
            </w:pPr>
            <w:r>
              <w:rPr>
                <w:rFonts w:ascii="Times New Roman"/>
                <w:kern w:val="2"/>
                <w:sz w:val="21"/>
                <w:szCs w:val="21"/>
                <w:highlight w:val="none"/>
              </w:rPr>
              <w:t>《恶臭污染物综合排放标准》（GB14554-93）表2二级标准</w:t>
            </w:r>
          </w:p>
        </w:tc>
      </w:tr>
      <w:tr w14:paraId="5C436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noWrap w:val="0"/>
            <w:vAlign w:val="center"/>
          </w:tcPr>
          <w:p w14:paraId="5ABD344F">
            <w:pPr>
              <w:widowControl/>
              <w:snapToGrid w:val="0"/>
              <w:jc w:val="center"/>
              <w:rPr>
                <w:sz w:val="21"/>
                <w:szCs w:val="21"/>
                <w:highlight w:val="none"/>
              </w:rPr>
            </w:pPr>
            <w:r>
              <w:rPr>
                <w:sz w:val="21"/>
                <w:szCs w:val="21"/>
                <w:highlight w:val="none"/>
              </w:rPr>
              <w:t>净化装置</w:t>
            </w:r>
          </w:p>
        </w:tc>
        <w:tc>
          <w:tcPr>
            <w:tcW w:w="339" w:type="pct"/>
            <w:gridSpan w:val="2"/>
            <w:noWrap w:val="0"/>
            <w:vAlign w:val="center"/>
          </w:tcPr>
          <w:p w14:paraId="30E2C1FE">
            <w:pPr>
              <w:pStyle w:val="12"/>
              <w:ind w:firstLine="0" w:firstLineChars="0"/>
              <w:jc w:val="center"/>
              <w:rPr>
                <w:rFonts w:ascii="Times New Roman"/>
                <w:kern w:val="2"/>
                <w:sz w:val="21"/>
                <w:szCs w:val="21"/>
                <w:highlight w:val="none"/>
              </w:rPr>
            </w:pPr>
            <w:r>
              <w:rPr>
                <w:rFonts w:ascii="Times New Roman"/>
                <w:kern w:val="2"/>
                <w:sz w:val="21"/>
                <w:szCs w:val="21"/>
                <w:highlight w:val="none"/>
              </w:rPr>
              <w:t>硫回收单元</w:t>
            </w:r>
          </w:p>
        </w:tc>
        <w:tc>
          <w:tcPr>
            <w:tcW w:w="454" w:type="pct"/>
            <w:gridSpan w:val="2"/>
            <w:noWrap w:val="0"/>
            <w:vAlign w:val="center"/>
          </w:tcPr>
          <w:p w14:paraId="60D449D7">
            <w:pPr>
              <w:pStyle w:val="12"/>
              <w:ind w:firstLine="0" w:firstLineChars="0"/>
              <w:jc w:val="center"/>
              <w:rPr>
                <w:rFonts w:ascii="Times New Roman"/>
                <w:kern w:val="2"/>
                <w:sz w:val="21"/>
                <w:szCs w:val="21"/>
                <w:highlight w:val="none"/>
              </w:rPr>
            </w:pPr>
            <w:r>
              <w:rPr>
                <w:rFonts w:ascii="Times New Roman"/>
                <w:kern w:val="2"/>
                <w:sz w:val="21"/>
                <w:szCs w:val="21"/>
                <w:highlight w:val="none"/>
              </w:rPr>
              <w:t>硫回收尾气</w:t>
            </w:r>
          </w:p>
        </w:tc>
        <w:tc>
          <w:tcPr>
            <w:tcW w:w="294" w:type="pct"/>
            <w:noWrap w:val="0"/>
            <w:vAlign w:val="center"/>
          </w:tcPr>
          <w:p w14:paraId="4D95CD10">
            <w:pPr>
              <w:jc w:val="center"/>
              <w:rPr>
                <w:sz w:val="21"/>
                <w:szCs w:val="21"/>
                <w:highlight w:val="none"/>
              </w:rPr>
            </w:pPr>
            <w:r>
              <w:rPr>
                <w:sz w:val="21"/>
                <w:szCs w:val="21"/>
                <w:highlight w:val="none"/>
                <w:lang w:val="pt-BR"/>
              </w:rPr>
              <w:t>H</w:t>
            </w:r>
            <w:r>
              <w:rPr>
                <w:sz w:val="21"/>
                <w:szCs w:val="21"/>
                <w:highlight w:val="none"/>
                <w:vertAlign w:val="subscript"/>
                <w:lang w:val="pt-BR"/>
              </w:rPr>
              <w:t>2</w:t>
            </w:r>
            <w:r>
              <w:rPr>
                <w:sz w:val="21"/>
                <w:szCs w:val="21"/>
                <w:highlight w:val="none"/>
                <w:lang w:val="pt-BR"/>
              </w:rPr>
              <w:t>S</w:t>
            </w:r>
          </w:p>
          <w:p w14:paraId="54D00C18">
            <w:pPr>
              <w:jc w:val="center"/>
              <w:rPr>
                <w:sz w:val="21"/>
                <w:szCs w:val="21"/>
                <w:highlight w:val="none"/>
                <w:lang w:val="pt-BR"/>
              </w:rPr>
            </w:pPr>
            <w:r>
              <w:rPr>
                <w:sz w:val="21"/>
                <w:szCs w:val="21"/>
                <w:highlight w:val="none"/>
              </w:rPr>
              <w:t>NOx</w:t>
            </w:r>
          </w:p>
        </w:tc>
        <w:tc>
          <w:tcPr>
            <w:tcW w:w="401" w:type="pct"/>
            <w:noWrap w:val="0"/>
            <w:vAlign w:val="center"/>
          </w:tcPr>
          <w:p w14:paraId="37E2AB37">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18586</w:t>
            </w:r>
          </w:p>
        </w:tc>
        <w:tc>
          <w:tcPr>
            <w:tcW w:w="262" w:type="pct"/>
            <w:noWrap w:val="0"/>
            <w:vAlign w:val="center"/>
          </w:tcPr>
          <w:p w14:paraId="188DFD98">
            <w:pPr>
              <w:jc w:val="center"/>
              <w:rPr>
                <w:rFonts w:hint="default" w:eastAsia="宋体"/>
                <w:sz w:val="21"/>
                <w:szCs w:val="21"/>
                <w:highlight w:val="none"/>
                <w:lang w:val="en-US" w:eastAsia="zh-CN"/>
              </w:rPr>
            </w:pPr>
            <w:r>
              <w:rPr>
                <w:rFonts w:hint="eastAsia"/>
                <w:sz w:val="21"/>
                <w:szCs w:val="21"/>
                <w:highlight w:val="none"/>
                <w:lang w:val="en-US" w:eastAsia="zh-CN"/>
              </w:rPr>
              <w:t>0.542</w:t>
            </w:r>
          </w:p>
          <w:p w14:paraId="2D100A41">
            <w:pPr>
              <w:jc w:val="center"/>
              <w:rPr>
                <w:rFonts w:hint="default" w:eastAsia="宋体"/>
                <w:sz w:val="21"/>
                <w:szCs w:val="21"/>
                <w:highlight w:val="none"/>
                <w:lang w:val="en-US" w:eastAsia="zh-CN"/>
              </w:rPr>
            </w:pPr>
            <w:r>
              <w:rPr>
                <w:rFonts w:hint="eastAsia"/>
                <w:sz w:val="21"/>
                <w:szCs w:val="21"/>
                <w:highlight w:val="none"/>
                <w:lang w:val="en-US" w:eastAsia="zh-CN"/>
              </w:rPr>
              <w:t>33</w:t>
            </w:r>
          </w:p>
        </w:tc>
        <w:tc>
          <w:tcPr>
            <w:tcW w:w="373" w:type="pct"/>
            <w:noWrap w:val="0"/>
            <w:vAlign w:val="center"/>
          </w:tcPr>
          <w:p w14:paraId="5F3A8660">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1.0×10</w:t>
            </w:r>
            <w:r>
              <w:rPr>
                <w:rFonts w:hint="eastAsia" w:ascii="Times New Roman" w:hAnsi="Times New Roman" w:eastAsia="宋体" w:cs="Times New Roman"/>
                <w:sz w:val="21"/>
                <w:szCs w:val="21"/>
                <w:highlight w:val="none"/>
                <w:vertAlign w:val="superscript"/>
                <w:lang w:val="en-US" w:eastAsia="zh-CN"/>
              </w:rPr>
              <w:t>-2</w:t>
            </w:r>
          </w:p>
          <w:p w14:paraId="7C2A41B2">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0.61</w:t>
            </w:r>
          </w:p>
        </w:tc>
        <w:tc>
          <w:tcPr>
            <w:tcW w:w="149" w:type="pct"/>
            <w:noWrap w:val="0"/>
            <w:vAlign w:val="center"/>
          </w:tcPr>
          <w:p w14:paraId="49DA00BB">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00C007EE">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80</w:t>
            </w:r>
          </w:p>
        </w:tc>
        <w:tc>
          <w:tcPr>
            <w:tcW w:w="271" w:type="pct"/>
            <w:noWrap w:val="0"/>
            <w:vAlign w:val="center"/>
          </w:tcPr>
          <w:p w14:paraId="732FEEBF">
            <w:pPr>
              <w:pStyle w:val="12"/>
              <w:ind w:firstLine="0" w:firstLineChars="0"/>
              <w:jc w:val="center"/>
              <w:rPr>
                <w:rFonts w:ascii="Times New Roman"/>
                <w:kern w:val="2"/>
                <w:sz w:val="21"/>
                <w:szCs w:val="21"/>
                <w:highlight w:val="none"/>
              </w:rPr>
            </w:pPr>
            <w:r>
              <w:rPr>
                <w:rFonts w:ascii="Times New Roman"/>
                <w:kern w:val="2"/>
                <w:sz w:val="21"/>
                <w:szCs w:val="21"/>
                <w:highlight w:val="none"/>
              </w:rPr>
              <w:t>1.2</w:t>
            </w:r>
          </w:p>
        </w:tc>
        <w:tc>
          <w:tcPr>
            <w:tcW w:w="262" w:type="pct"/>
            <w:noWrap w:val="0"/>
            <w:vAlign w:val="center"/>
          </w:tcPr>
          <w:p w14:paraId="29A4F893">
            <w:pPr>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420</w:t>
            </w:r>
          </w:p>
        </w:tc>
        <w:tc>
          <w:tcPr>
            <w:tcW w:w="418" w:type="pct"/>
            <w:noWrap w:val="0"/>
            <w:vAlign w:val="center"/>
          </w:tcPr>
          <w:p w14:paraId="396872A9">
            <w:pPr>
              <w:jc w:val="center"/>
              <w:rPr>
                <w:rFonts w:hint="default" w:eastAsia="宋体"/>
                <w:sz w:val="21"/>
                <w:szCs w:val="21"/>
                <w:highlight w:val="none"/>
                <w:lang w:val="en-US" w:eastAsia="zh-CN"/>
              </w:rPr>
            </w:pPr>
            <w:r>
              <w:rPr>
                <w:rFonts w:hint="eastAsia"/>
                <w:sz w:val="21"/>
                <w:szCs w:val="21"/>
                <w:highlight w:val="none"/>
                <w:lang w:val="en-US" w:eastAsia="zh-CN"/>
              </w:rPr>
              <w:t>5.2</w:t>
            </w:r>
          </w:p>
          <w:p w14:paraId="1426482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27</w:t>
            </w:r>
          </w:p>
        </w:tc>
        <w:tc>
          <w:tcPr>
            <w:tcW w:w="260" w:type="pct"/>
            <w:noWrap w:val="0"/>
            <w:vAlign w:val="center"/>
          </w:tcPr>
          <w:p w14:paraId="53549A8E">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345F7634">
            <w:pPr>
              <w:pStyle w:val="12"/>
              <w:ind w:firstLine="0" w:firstLineChars="0"/>
              <w:jc w:val="center"/>
              <w:rPr>
                <w:rFonts w:hint="eastAsia" w:ascii="Times New Roman" w:eastAsia="宋体"/>
                <w:kern w:val="2"/>
                <w:sz w:val="21"/>
                <w:szCs w:val="21"/>
                <w:highlight w:val="none"/>
                <w:lang w:eastAsia="zh-CN"/>
              </w:rPr>
            </w:pPr>
            <w:r>
              <w:rPr>
                <w:rFonts w:ascii="Times New Roman"/>
                <w:kern w:val="2"/>
                <w:sz w:val="21"/>
                <w:szCs w:val="21"/>
                <w:highlight w:val="none"/>
              </w:rPr>
              <w:t>《恶臭污染物综合排放标准》（GB14554-93）表2二级标准</w:t>
            </w:r>
            <w:r>
              <w:rPr>
                <w:rFonts w:hint="eastAsia" w:ascii="Times New Roman"/>
                <w:kern w:val="2"/>
                <w:sz w:val="21"/>
                <w:szCs w:val="21"/>
                <w:highlight w:val="none"/>
                <w:lang w:eastAsia="zh-CN"/>
              </w:rPr>
              <w:t>；</w:t>
            </w:r>
            <w:r>
              <w:rPr>
                <w:rFonts w:ascii="Times New Roman"/>
                <w:kern w:val="2"/>
                <w:sz w:val="21"/>
                <w:szCs w:val="21"/>
                <w:highlight w:val="none"/>
              </w:rPr>
              <w:t>《大气污染物综合排放标准》（GB16297-1996）表2二级标准</w:t>
            </w:r>
            <w:r>
              <w:rPr>
                <w:rFonts w:hint="eastAsia" w:ascii="Times New Roman"/>
                <w:kern w:val="2"/>
                <w:sz w:val="21"/>
                <w:szCs w:val="21"/>
                <w:highlight w:val="none"/>
                <w:lang w:eastAsia="zh-CN"/>
              </w:rPr>
              <w:t>。</w:t>
            </w:r>
          </w:p>
        </w:tc>
      </w:tr>
      <w:tr w14:paraId="738B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restart"/>
            <w:noWrap w:val="0"/>
            <w:vAlign w:val="center"/>
          </w:tcPr>
          <w:p w14:paraId="21E896D4">
            <w:pPr>
              <w:widowControl/>
              <w:snapToGrid w:val="0"/>
              <w:jc w:val="center"/>
              <w:rPr>
                <w:sz w:val="21"/>
                <w:szCs w:val="21"/>
                <w:highlight w:val="none"/>
              </w:rPr>
            </w:pPr>
            <w:r>
              <w:rPr>
                <w:sz w:val="21"/>
                <w:szCs w:val="21"/>
                <w:highlight w:val="none"/>
              </w:rPr>
              <w:t>化学品合成装置</w:t>
            </w:r>
          </w:p>
        </w:tc>
        <w:tc>
          <w:tcPr>
            <w:tcW w:w="339" w:type="pct"/>
            <w:gridSpan w:val="2"/>
            <w:vMerge w:val="restart"/>
            <w:noWrap w:val="0"/>
            <w:vAlign w:val="center"/>
          </w:tcPr>
          <w:p w14:paraId="5F75504E">
            <w:pPr>
              <w:pStyle w:val="12"/>
              <w:ind w:firstLine="0" w:firstLineChars="0"/>
              <w:jc w:val="center"/>
              <w:rPr>
                <w:rFonts w:ascii="Times New Roman"/>
                <w:kern w:val="2"/>
                <w:sz w:val="21"/>
                <w:szCs w:val="21"/>
                <w:highlight w:val="none"/>
              </w:rPr>
            </w:pPr>
            <w:r>
              <w:rPr>
                <w:rFonts w:ascii="Times New Roman"/>
                <w:kern w:val="2"/>
                <w:sz w:val="21"/>
                <w:szCs w:val="21"/>
                <w:highlight w:val="none"/>
              </w:rPr>
              <w:t>催化剂还原单元</w:t>
            </w:r>
          </w:p>
        </w:tc>
        <w:tc>
          <w:tcPr>
            <w:tcW w:w="454" w:type="pct"/>
            <w:gridSpan w:val="2"/>
            <w:noWrap w:val="0"/>
            <w:vAlign w:val="center"/>
          </w:tcPr>
          <w:p w14:paraId="717569AA">
            <w:pPr>
              <w:pStyle w:val="12"/>
              <w:ind w:firstLine="0" w:firstLineChars="0"/>
              <w:jc w:val="center"/>
              <w:rPr>
                <w:rFonts w:ascii="Times New Roman"/>
                <w:kern w:val="2"/>
                <w:sz w:val="21"/>
                <w:szCs w:val="21"/>
                <w:highlight w:val="none"/>
              </w:rPr>
            </w:pPr>
            <w:r>
              <w:rPr>
                <w:rFonts w:ascii="Times New Roman"/>
                <w:kern w:val="2"/>
                <w:sz w:val="21"/>
                <w:szCs w:val="21"/>
                <w:highlight w:val="none"/>
              </w:rPr>
              <w:t>催化剂输送罐废气</w:t>
            </w:r>
          </w:p>
        </w:tc>
        <w:tc>
          <w:tcPr>
            <w:tcW w:w="294" w:type="pct"/>
            <w:noWrap w:val="0"/>
            <w:vAlign w:val="center"/>
          </w:tcPr>
          <w:p w14:paraId="22CDB74B">
            <w:pPr>
              <w:jc w:val="center"/>
              <w:rPr>
                <w:sz w:val="21"/>
                <w:szCs w:val="21"/>
                <w:highlight w:val="none"/>
              </w:rPr>
            </w:pPr>
            <w:r>
              <w:rPr>
                <w:sz w:val="21"/>
                <w:szCs w:val="21"/>
                <w:highlight w:val="none"/>
              </w:rPr>
              <w:t>颗粒物</w:t>
            </w:r>
          </w:p>
        </w:tc>
        <w:tc>
          <w:tcPr>
            <w:tcW w:w="401" w:type="pct"/>
            <w:noWrap w:val="0"/>
            <w:vAlign w:val="center"/>
          </w:tcPr>
          <w:p w14:paraId="256EEE1B">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974</w:t>
            </w:r>
          </w:p>
        </w:tc>
        <w:tc>
          <w:tcPr>
            <w:tcW w:w="262" w:type="pct"/>
            <w:noWrap w:val="0"/>
            <w:vAlign w:val="center"/>
          </w:tcPr>
          <w:p w14:paraId="72628426">
            <w:pPr>
              <w:jc w:val="center"/>
              <w:rPr>
                <w:rFonts w:hint="default" w:eastAsia="宋体"/>
                <w:sz w:val="21"/>
                <w:szCs w:val="21"/>
                <w:highlight w:val="none"/>
                <w:lang w:val="en-US" w:eastAsia="zh-CN"/>
              </w:rPr>
            </w:pPr>
            <w:r>
              <w:rPr>
                <w:rFonts w:hint="eastAsia"/>
                <w:sz w:val="21"/>
                <w:szCs w:val="21"/>
                <w:highlight w:val="none"/>
                <w:lang w:val="en-US" w:eastAsia="zh-CN"/>
              </w:rPr>
              <w:t>13</w:t>
            </w:r>
          </w:p>
        </w:tc>
        <w:tc>
          <w:tcPr>
            <w:tcW w:w="373" w:type="pct"/>
            <w:noWrap w:val="0"/>
            <w:vAlign w:val="center"/>
          </w:tcPr>
          <w:p w14:paraId="0FDDD892">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0.013</w:t>
            </w:r>
          </w:p>
        </w:tc>
        <w:tc>
          <w:tcPr>
            <w:tcW w:w="149" w:type="pct"/>
            <w:noWrap w:val="0"/>
            <w:vAlign w:val="center"/>
          </w:tcPr>
          <w:p w14:paraId="403040A7">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42BA6118">
            <w:pPr>
              <w:pStyle w:val="12"/>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271" w:type="pct"/>
            <w:noWrap w:val="0"/>
            <w:vAlign w:val="center"/>
          </w:tcPr>
          <w:p w14:paraId="138E46F7">
            <w:pPr>
              <w:pStyle w:val="12"/>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262" w:type="pct"/>
            <w:noWrap w:val="0"/>
            <w:vAlign w:val="center"/>
          </w:tcPr>
          <w:p w14:paraId="105BD5D8">
            <w:pPr>
              <w:jc w:val="center"/>
              <w:rPr>
                <w:sz w:val="21"/>
                <w:szCs w:val="21"/>
                <w:highlight w:val="none"/>
              </w:rPr>
            </w:pPr>
            <w:r>
              <w:rPr>
                <w:sz w:val="21"/>
                <w:szCs w:val="21"/>
                <w:highlight w:val="none"/>
              </w:rPr>
              <w:t>120</w:t>
            </w:r>
          </w:p>
        </w:tc>
        <w:tc>
          <w:tcPr>
            <w:tcW w:w="418" w:type="pct"/>
            <w:noWrap w:val="0"/>
            <w:vAlign w:val="center"/>
          </w:tcPr>
          <w:p w14:paraId="7E4A3BA3">
            <w:pPr>
              <w:jc w:val="center"/>
              <w:rPr>
                <w:sz w:val="21"/>
                <w:szCs w:val="21"/>
                <w:highlight w:val="none"/>
              </w:rPr>
            </w:pPr>
            <w:r>
              <w:rPr>
                <w:sz w:val="21"/>
                <w:szCs w:val="21"/>
                <w:highlight w:val="none"/>
              </w:rPr>
              <w:t>14</w:t>
            </w:r>
          </w:p>
        </w:tc>
        <w:tc>
          <w:tcPr>
            <w:tcW w:w="260" w:type="pct"/>
            <w:noWrap w:val="0"/>
            <w:vAlign w:val="center"/>
          </w:tcPr>
          <w:p w14:paraId="79A1AE1E">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3605EDE0">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4BABC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126282EF">
            <w:pPr>
              <w:widowControl/>
              <w:snapToGrid w:val="0"/>
              <w:jc w:val="center"/>
              <w:rPr>
                <w:sz w:val="21"/>
                <w:szCs w:val="21"/>
                <w:highlight w:val="none"/>
              </w:rPr>
            </w:pPr>
          </w:p>
        </w:tc>
        <w:tc>
          <w:tcPr>
            <w:tcW w:w="339" w:type="pct"/>
            <w:gridSpan w:val="2"/>
            <w:vMerge w:val="continue"/>
            <w:noWrap w:val="0"/>
            <w:vAlign w:val="center"/>
          </w:tcPr>
          <w:p w14:paraId="03F3DC9C">
            <w:pPr>
              <w:pStyle w:val="12"/>
              <w:ind w:firstLine="0" w:firstLineChars="0"/>
              <w:jc w:val="center"/>
              <w:rPr>
                <w:rFonts w:ascii="Times New Roman"/>
                <w:kern w:val="2"/>
                <w:sz w:val="21"/>
                <w:szCs w:val="21"/>
                <w:highlight w:val="none"/>
              </w:rPr>
            </w:pPr>
          </w:p>
        </w:tc>
        <w:tc>
          <w:tcPr>
            <w:tcW w:w="454" w:type="pct"/>
            <w:gridSpan w:val="2"/>
            <w:noWrap w:val="0"/>
            <w:vAlign w:val="center"/>
          </w:tcPr>
          <w:p w14:paraId="73ACB5EC">
            <w:pPr>
              <w:pStyle w:val="12"/>
              <w:ind w:firstLine="0" w:firstLineChars="0"/>
              <w:jc w:val="center"/>
              <w:rPr>
                <w:rFonts w:ascii="Times New Roman"/>
                <w:kern w:val="2"/>
                <w:sz w:val="21"/>
                <w:szCs w:val="21"/>
                <w:highlight w:val="none"/>
              </w:rPr>
            </w:pPr>
            <w:r>
              <w:rPr>
                <w:rFonts w:ascii="Times New Roman"/>
                <w:kern w:val="2"/>
                <w:sz w:val="21"/>
                <w:szCs w:val="21"/>
                <w:highlight w:val="none"/>
              </w:rPr>
              <w:t>催化剂储仓废气</w:t>
            </w:r>
          </w:p>
        </w:tc>
        <w:tc>
          <w:tcPr>
            <w:tcW w:w="294" w:type="pct"/>
            <w:noWrap w:val="0"/>
            <w:vAlign w:val="center"/>
          </w:tcPr>
          <w:p w14:paraId="66277F02">
            <w:pPr>
              <w:jc w:val="center"/>
              <w:rPr>
                <w:sz w:val="21"/>
                <w:szCs w:val="21"/>
                <w:highlight w:val="none"/>
              </w:rPr>
            </w:pPr>
            <w:r>
              <w:rPr>
                <w:sz w:val="21"/>
                <w:szCs w:val="21"/>
                <w:highlight w:val="none"/>
              </w:rPr>
              <w:t>颗粒物</w:t>
            </w:r>
          </w:p>
        </w:tc>
        <w:tc>
          <w:tcPr>
            <w:tcW w:w="401" w:type="pct"/>
            <w:noWrap w:val="0"/>
            <w:vAlign w:val="center"/>
          </w:tcPr>
          <w:p w14:paraId="3F9C631F">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1030</w:t>
            </w:r>
          </w:p>
        </w:tc>
        <w:tc>
          <w:tcPr>
            <w:tcW w:w="262" w:type="pct"/>
            <w:noWrap w:val="0"/>
            <w:vAlign w:val="center"/>
          </w:tcPr>
          <w:p w14:paraId="7BB7CE20">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373" w:type="pct"/>
            <w:noWrap w:val="0"/>
            <w:vAlign w:val="center"/>
          </w:tcPr>
          <w:p w14:paraId="710BBD9F">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0.014</w:t>
            </w:r>
          </w:p>
        </w:tc>
        <w:tc>
          <w:tcPr>
            <w:tcW w:w="149" w:type="pct"/>
            <w:noWrap w:val="0"/>
            <w:vAlign w:val="center"/>
          </w:tcPr>
          <w:p w14:paraId="56F67DCF">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2908EA89">
            <w:pPr>
              <w:pStyle w:val="12"/>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271" w:type="pct"/>
            <w:noWrap w:val="0"/>
            <w:vAlign w:val="center"/>
          </w:tcPr>
          <w:p w14:paraId="3595867B">
            <w:pPr>
              <w:pStyle w:val="12"/>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262" w:type="pct"/>
            <w:noWrap w:val="0"/>
            <w:vAlign w:val="center"/>
          </w:tcPr>
          <w:p w14:paraId="03316125">
            <w:pPr>
              <w:jc w:val="center"/>
              <w:rPr>
                <w:sz w:val="21"/>
                <w:szCs w:val="21"/>
                <w:highlight w:val="none"/>
              </w:rPr>
            </w:pPr>
            <w:r>
              <w:rPr>
                <w:sz w:val="21"/>
                <w:szCs w:val="21"/>
                <w:highlight w:val="none"/>
              </w:rPr>
              <w:t>120</w:t>
            </w:r>
          </w:p>
        </w:tc>
        <w:tc>
          <w:tcPr>
            <w:tcW w:w="418" w:type="pct"/>
            <w:noWrap w:val="0"/>
            <w:vAlign w:val="center"/>
          </w:tcPr>
          <w:p w14:paraId="15AB8CF6">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260" w:type="pct"/>
            <w:noWrap w:val="0"/>
            <w:vAlign w:val="center"/>
          </w:tcPr>
          <w:p w14:paraId="57CC7642">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62F7A333">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5F32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1EF2FB20">
            <w:pPr>
              <w:widowControl/>
              <w:snapToGrid w:val="0"/>
              <w:jc w:val="center"/>
              <w:rPr>
                <w:sz w:val="21"/>
                <w:szCs w:val="21"/>
                <w:highlight w:val="none"/>
              </w:rPr>
            </w:pPr>
          </w:p>
        </w:tc>
        <w:tc>
          <w:tcPr>
            <w:tcW w:w="339" w:type="pct"/>
            <w:gridSpan w:val="2"/>
            <w:vMerge w:val="continue"/>
            <w:noWrap w:val="0"/>
            <w:vAlign w:val="center"/>
          </w:tcPr>
          <w:p w14:paraId="23E660C0">
            <w:pPr>
              <w:pStyle w:val="12"/>
              <w:ind w:firstLine="0" w:firstLineChars="0"/>
              <w:jc w:val="center"/>
              <w:rPr>
                <w:rFonts w:ascii="Times New Roman"/>
                <w:kern w:val="2"/>
                <w:sz w:val="21"/>
                <w:szCs w:val="21"/>
                <w:highlight w:val="none"/>
              </w:rPr>
            </w:pPr>
          </w:p>
        </w:tc>
        <w:tc>
          <w:tcPr>
            <w:tcW w:w="454" w:type="pct"/>
            <w:gridSpan w:val="2"/>
            <w:noWrap w:val="0"/>
            <w:vAlign w:val="center"/>
          </w:tcPr>
          <w:p w14:paraId="58D57BB7">
            <w:pPr>
              <w:pStyle w:val="12"/>
              <w:ind w:firstLine="0" w:firstLineChars="0"/>
              <w:jc w:val="center"/>
              <w:rPr>
                <w:rFonts w:ascii="Times New Roman"/>
                <w:kern w:val="2"/>
                <w:sz w:val="21"/>
                <w:szCs w:val="21"/>
                <w:highlight w:val="none"/>
              </w:rPr>
            </w:pPr>
            <w:r>
              <w:rPr>
                <w:rFonts w:ascii="Times New Roman"/>
                <w:kern w:val="2"/>
                <w:sz w:val="21"/>
                <w:szCs w:val="21"/>
                <w:highlight w:val="none"/>
              </w:rPr>
              <w:t>催化剂给料罐废气</w:t>
            </w:r>
          </w:p>
        </w:tc>
        <w:tc>
          <w:tcPr>
            <w:tcW w:w="294" w:type="pct"/>
            <w:noWrap w:val="0"/>
            <w:vAlign w:val="center"/>
          </w:tcPr>
          <w:p w14:paraId="1745978D">
            <w:pPr>
              <w:jc w:val="center"/>
              <w:rPr>
                <w:sz w:val="21"/>
                <w:szCs w:val="21"/>
                <w:highlight w:val="none"/>
              </w:rPr>
            </w:pPr>
            <w:r>
              <w:rPr>
                <w:sz w:val="21"/>
                <w:szCs w:val="21"/>
                <w:highlight w:val="none"/>
              </w:rPr>
              <w:t>颗粒物</w:t>
            </w:r>
          </w:p>
        </w:tc>
        <w:tc>
          <w:tcPr>
            <w:tcW w:w="401" w:type="pct"/>
            <w:noWrap w:val="0"/>
            <w:vAlign w:val="center"/>
          </w:tcPr>
          <w:p w14:paraId="623F9948">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974</w:t>
            </w:r>
          </w:p>
        </w:tc>
        <w:tc>
          <w:tcPr>
            <w:tcW w:w="262" w:type="pct"/>
            <w:noWrap w:val="0"/>
            <w:vAlign w:val="center"/>
          </w:tcPr>
          <w:p w14:paraId="00F0E9BE">
            <w:pPr>
              <w:jc w:val="center"/>
              <w:rPr>
                <w:rFonts w:hint="default" w:eastAsia="宋体"/>
                <w:sz w:val="21"/>
                <w:szCs w:val="21"/>
                <w:highlight w:val="none"/>
                <w:lang w:val="en-US" w:eastAsia="zh-CN"/>
              </w:rPr>
            </w:pPr>
            <w:r>
              <w:rPr>
                <w:rFonts w:hint="eastAsia"/>
                <w:sz w:val="21"/>
                <w:szCs w:val="21"/>
                <w:highlight w:val="none"/>
                <w:lang w:val="en-US" w:eastAsia="zh-CN"/>
              </w:rPr>
              <w:t>13</w:t>
            </w:r>
          </w:p>
        </w:tc>
        <w:tc>
          <w:tcPr>
            <w:tcW w:w="373" w:type="pct"/>
            <w:noWrap w:val="0"/>
            <w:vAlign w:val="center"/>
          </w:tcPr>
          <w:p w14:paraId="1EBE55F5">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0.013</w:t>
            </w:r>
          </w:p>
        </w:tc>
        <w:tc>
          <w:tcPr>
            <w:tcW w:w="149" w:type="pct"/>
            <w:noWrap w:val="0"/>
            <w:vAlign w:val="center"/>
          </w:tcPr>
          <w:p w14:paraId="11796D9D">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62DB5D5D">
            <w:pPr>
              <w:pStyle w:val="12"/>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271" w:type="pct"/>
            <w:noWrap w:val="0"/>
            <w:vAlign w:val="center"/>
          </w:tcPr>
          <w:p w14:paraId="7080CB5B">
            <w:pPr>
              <w:pStyle w:val="12"/>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262" w:type="pct"/>
            <w:noWrap w:val="0"/>
            <w:vAlign w:val="center"/>
          </w:tcPr>
          <w:p w14:paraId="7E9980D6">
            <w:pPr>
              <w:jc w:val="center"/>
              <w:rPr>
                <w:sz w:val="21"/>
                <w:szCs w:val="21"/>
                <w:highlight w:val="none"/>
              </w:rPr>
            </w:pPr>
            <w:r>
              <w:rPr>
                <w:sz w:val="21"/>
                <w:szCs w:val="21"/>
                <w:highlight w:val="none"/>
              </w:rPr>
              <w:t>120</w:t>
            </w:r>
          </w:p>
        </w:tc>
        <w:tc>
          <w:tcPr>
            <w:tcW w:w="418" w:type="pct"/>
            <w:noWrap w:val="0"/>
            <w:vAlign w:val="center"/>
          </w:tcPr>
          <w:p w14:paraId="2794C2F0">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260" w:type="pct"/>
            <w:noWrap w:val="0"/>
            <w:vAlign w:val="center"/>
          </w:tcPr>
          <w:p w14:paraId="2741EAA7">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064B5154">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5298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3A9B7B4D">
            <w:pPr>
              <w:widowControl/>
              <w:snapToGrid w:val="0"/>
              <w:jc w:val="center"/>
              <w:rPr>
                <w:sz w:val="21"/>
                <w:szCs w:val="21"/>
                <w:highlight w:val="none"/>
              </w:rPr>
            </w:pPr>
          </w:p>
        </w:tc>
        <w:tc>
          <w:tcPr>
            <w:tcW w:w="339" w:type="pct"/>
            <w:gridSpan w:val="2"/>
            <w:vMerge w:val="restart"/>
            <w:noWrap w:val="0"/>
            <w:vAlign w:val="center"/>
          </w:tcPr>
          <w:p w14:paraId="1252A38C">
            <w:pPr>
              <w:pStyle w:val="12"/>
              <w:ind w:firstLine="0" w:firstLineChars="0"/>
              <w:jc w:val="center"/>
              <w:rPr>
                <w:rFonts w:ascii="Times New Roman"/>
                <w:kern w:val="2"/>
                <w:sz w:val="21"/>
                <w:szCs w:val="21"/>
                <w:highlight w:val="none"/>
              </w:rPr>
            </w:pPr>
            <w:r>
              <w:rPr>
                <w:rFonts w:ascii="Times New Roman"/>
                <w:kern w:val="2"/>
                <w:sz w:val="21"/>
                <w:szCs w:val="21"/>
                <w:highlight w:val="none"/>
              </w:rPr>
              <w:t>蜡过滤单元</w:t>
            </w:r>
          </w:p>
        </w:tc>
        <w:tc>
          <w:tcPr>
            <w:tcW w:w="454" w:type="pct"/>
            <w:gridSpan w:val="2"/>
            <w:noWrap w:val="0"/>
            <w:vAlign w:val="center"/>
          </w:tcPr>
          <w:p w14:paraId="6CEC45FF">
            <w:pPr>
              <w:pStyle w:val="12"/>
              <w:ind w:firstLine="0" w:firstLineChars="0"/>
              <w:jc w:val="center"/>
              <w:rPr>
                <w:rFonts w:ascii="Times New Roman"/>
                <w:kern w:val="2"/>
                <w:sz w:val="21"/>
                <w:szCs w:val="21"/>
                <w:highlight w:val="none"/>
              </w:rPr>
            </w:pPr>
            <w:r>
              <w:rPr>
                <w:rFonts w:ascii="Times New Roman"/>
                <w:kern w:val="2"/>
                <w:sz w:val="21"/>
                <w:szCs w:val="21"/>
                <w:highlight w:val="none"/>
              </w:rPr>
              <w:t>助剂拆袋系统废气</w:t>
            </w:r>
          </w:p>
        </w:tc>
        <w:tc>
          <w:tcPr>
            <w:tcW w:w="294" w:type="pct"/>
            <w:noWrap w:val="0"/>
            <w:vAlign w:val="center"/>
          </w:tcPr>
          <w:p w14:paraId="1F514CD4">
            <w:pPr>
              <w:jc w:val="center"/>
              <w:rPr>
                <w:sz w:val="21"/>
                <w:szCs w:val="21"/>
                <w:highlight w:val="none"/>
              </w:rPr>
            </w:pPr>
            <w:r>
              <w:rPr>
                <w:sz w:val="21"/>
                <w:szCs w:val="21"/>
                <w:highlight w:val="none"/>
              </w:rPr>
              <w:t>颗粒物</w:t>
            </w:r>
          </w:p>
        </w:tc>
        <w:tc>
          <w:tcPr>
            <w:tcW w:w="401" w:type="pct"/>
            <w:noWrap w:val="0"/>
            <w:vAlign w:val="center"/>
          </w:tcPr>
          <w:p w14:paraId="58740E4F">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224</w:t>
            </w:r>
          </w:p>
        </w:tc>
        <w:tc>
          <w:tcPr>
            <w:tcW w:w="262" w:type="pct"/>
            <w:noWrap w:val="0"/>
            <w:vAlign w:val="center"/>
          </w:tcPr>
          <w:p w14:paraId="685F6414">
            <w:pPr>
              <w:jc w:val="center"/>
              <w:rPr>
                <w:rFonts w:hint="default" w:eastAsia="宋体"/>
                <w:sz w:val="21"/>
                <w:szCs w:val="21"/>
                <w:highlight w:val="none"/>
                <w:lang w:val="en-US" w:eastAsia="zh-CN"/>
              </w:rPr>
            </w:pPr>
            <w:r>
              <w:rPr>
                <w:rFonts w:hint="eastAsia"/>
                <w:sz w:val="21"/>
                <w:szCs w:val="21"/>
                <w:highlight w:val="none"/>
                <w:lang w:val="en-US" w:eastAsia="zh-CN"/>
              </w:rPr>
              <w:t>78</w:t>
            </w:r>
          </w:p>
        </w:tc>
        <w:tc>
          <w:tcPr>
            <w:tcW w:w="373" w:type="pct"/>
            <w:noWrap w:val="0"/>
            <w:vAlign w:val="center"/>
          </w:tcPr>
          <w:p w14:paraId="18B24754">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0.017</w:t>
            </w:r>
          </w:p>
        </w:tc>
        <w:tc>
          <w:tcPr>
            <w:tcW w:w="149" w:type="pct"/>
            <w:noWrap w:val="0"/>
            <w:vAlign w:val="center"/>
          </w:tcPr>
          <w:p w14:paraId="36FA359A">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068D3A10">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23</w:t>
            </w:r>
          </w:p>
        </w:tc>
        <w:tc>
          <w:tcPr>
            <w:tcW w:w="271" w:type="pct"/>
            <w:noWrap w:val="0"/>
            <w:vAlign w:val="center"/>
          </w:tcPr>
          <w:p w14:paraId="50A3C576">
            <w:pPr>
              <w:pStyle w:val="12"/>
              <w:ind w:firstLine="0" w:firstLineChars="0"/>
              <w:jc w:val="center"/>
              <w:rPr>
                <w:rFonts w:ascii="Times New Roman"/>
                <w:kern w:val="2"/>
                <w:sz w:val="21"/>
                <w:szCs w:val="21"/>
                <w:highlight w:val="none"/>
              </w:rPr>
            </w:pPr>
            <w:r>
              <w:rPr>
                <w:rFonts w:ascii="Times New Roman"/>
                <w:kern w:val="2"/>
                <w:sz w:val="21"/>
                <w:szCs w:val="21"/>
                <w:highlight w:val="none"/>
              </w:rPr>
              <w:t>0.35</w:t>
            </w:r>
          </w:p>
        </w:tc>
        <w:tc>
          <w:tcPr>
            <w:tcW w:w="262" w:type="pct"/>
            <w:noWrap w:val="0"/>
            <w:vAlign w:val="center"/>
          </w:tcPr>
          <w:p w14:paraId="76207932">
            <w:pPr>
              <w:jc w:val="center"/>
              <w:rPr>
                <w:sz w:val="21"/>
                <w:szCs w:val="21"/>
                <w:highlight w:val="none"/>
              </w:rPr>
            </w:pPr>
            <w:r>
              <w:rPr>
                <w:sz w:val="21"/>
                <w:szCs w:val="21"/>
                <w:highlight w:val="none"/>
              </w:rPr>
              <w:t>120</w:t>
            </w:r>
          </w:p>
        </w:tc>
        <w:tc>
          <w:tcPr>
            <w:tcW w:w="418" w:type="pct"/>
            <w:noWrap w:val="0"/>
            <w:vAlign w:val="center"/>
          </w:tcPr>
          <w:p w14:paraId="60A9F11C">
            <w:pPr>
              <w:jc w:val="center"/>
              <w:rPr>
                <w:rFonts w:hint="default" w:eastAsia="宋体"/>
                <w:sz w:val="21"/>
                <w:szCs w:val="21"/>
                <w:highlight w:val="none"/>
                <w:lang w:val="en-US" w:eastAsia="zh-CN"/>
              </w:rPr>
            </w:pPr>
            <w:r>
              <w:rPr>
                <w:rFonts w:hint="eastAsia"/>
                <w:sz w:val="21"/>
                <w:szCs w:val="21"/>
                <w:highlight w:val="none"/>
                <w:lang w:val="en-US" w:eastAsia="zh-CN"/>
              </w:rPr>
              <w:t>11</w:t>
            </w:r>
          </w:p>
        </w:tc>
        <w:tc>
          <w:tcPr>
            <w:tcW w:w="260" w:type="pct"/>
            <w:noWrap w:val="0"/>
            <w:vAlign w:val="center"/>
          </w:tcPr>
          <w:p w14:paraId="67531FAC">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6EF5FF9C">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6987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7F49104">
            <w:pPr>
              <w:widowControl/>
              <w:snapToGrid w:val="0"/>
              <w:jc w:val="center"/>
              <w:rPr>
                <w:sz w:val="21"/>
                <w:szCs w:val="21"/>
                <w:highlight w:val="none"/>
              </w:rPr>
            </w:pPr>
          </w:p>
        </w:tc>
        <w:tc>
          <w:tcPr>
            <w:tcW w:w="339" w:type="pct"/>
            <w:gridSpan w:val="2"/>
            <w:vMerge w:val="continue"/>
            <w:noWrap w:val="0"/>
            <w:vAlign w:val="center"/>
          </w:tcPr>
          <w:p w14:paraId="48285481">
            <w:pPr>
              <w:pStyle w:val="12"/>
              <w:ind w:firstLine="0" w:firstLineChars="0"/>
              <w:jc w:val="center"/>
              <w:rPr>
                <w:rFonts w:ascii="Times New Roman"/>
                <w:kern w:val="2"/>
                <w:sz w:val="21"/>
                <w:szCs w:val="21"/>
                <w:highlight w:val="none"/>
              </w:rPr>
            </w:pPr>
          </w:p>
        </w:tc>
        <w:tc>
          <w:tcPr>
            <w:tcW w:w="454" w:type="pct"/>
            <w:gridSpan w:val="2"/>
            <w:noWrap w:val="0"/>
            <w:vAlign w:val="center"/>
          </w:tcPr>
          <w:p w14:paraId="34FC8CC3">
            <w:pPr>
              <w:pStyle w:val="12"/>
              <w:ind w:firstLine="0" w:firstLineChars="0"/>
              <w:jc w:val="center"/>
              <w:rPr>
                <w:rFonts w:ascii="Times New Roman"/>
                <w:kern w:val="2"/>
                <w:sz w:val="21"/>
                <w:szCs w:val="21"/>
                <w:highlight w:val="none"/>
              </w:rPr>
            </w:pPr>
            <w:r>
              <w:rPr>
                <w:rFonts w:ascii="Times New Roman"/>
                <w:kern w:val="2"/>
                <w:sz w:val="21"/>
                <w:szCs w:val="21"/>
                <w:highlight w:val="none"/>
              </w:rPr>
              <w:t>硅藻土储仓</w:t>
            </w:r>
          </w:p>
        </w:tc>
        <w:tc>
          <w:tcPr>
            <w:tcW w:w="294" w:type="pct"/>
            <w:noWrap w:val="0"/>
            <w:vAlign w:val="center"/>
          </w:tcPr>
          <w:p w14:paraId="11A93BF1">
            <w:pPr>
              <w:jc w:val="center"/>
              <w:rPr>
                <w:sz w:val="21"/>
                <w:szCs w:val="21"/>
                <w:highlight w:val="none"/>
              </w:rPr>
            </w:pPr>
            <w:r>
              <w:rPr>
                <w:sz w:val="21"/>
                <w:szCs w:val="21"/>
                <w:highlight w:val="none"/>
              </w:rPr>
              <w:t>颗粒物</w:t>
            </w:r>
          </w:p>
        </w:tc>
        <w:tc>
          <w:tcPr>
            <w:tcW w:w="401" w:type="pct"/>
            <w:noWrap w:val="0"/>
            <w:vAlign w:val="center"/>
          </w:tcPr>
          <w:p w14:paraId="0D104099">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215</w:t>
            </w:r>
          </w:p>
        </w:tc>
        <w:tc>
          <w:tcPr>
            <w:tcW w:w="262" w:type="pct"/>
            <w:noWrap w:val="0"/>
            <w:vAlign w:val="center"/>
          </w:tcPr>
          <w:p w14:paraId="0640F98C">
            <w:pPr>
              <w:jc w:val="center"/>
              <w:rPr>
                <w:rFonts w:hint="default" w:eastAsia="宋体"/>
                <w:sz w:val="21"/>
                <w:szCs w:val="21"/>
                <w:highlight w:val="none"/>
                <w:lang w:val="en-US" w:eastAsia="zh-CN"/>
              </w:rPr>
            </w:pPr>
            <w:r>
              <w:rPr>
                <w:rFonts w:hint="eastAsia"/>
                <w:sz w:val="21"/>
                <w:szCs w:val="21"/>
                <w:highlight w:val="none"/>
                <w:lang w:val="en-US" w:eastAsia="zh-CN"/>
              </w:rPr>
              <w:t>39</w:t>
            </w:r>
          </w:p>
        </w:tc>
        <w:tc>
          <w:tcPr>
            <w:tcW w:w="373" w:type="pct"/>
            <w:noWrap w:val="0"/>
            <w:vAlign w:val="center"/>
          </w:tcPr>
          <w:p w14:paraId="55C09946">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8.3×10</w:t>
            </w:r>
            <w:r>
              <w:rPr>
                <w:rFonts w:hint="eastAsia" w:ascii="Times New Roman"/>
                <w:sz w:val="21"/>
                <w:szCs w:val="21"/>
                <w:highlight w:val="none"/>
                <w:vertAlign w:val="superscript"/>
                <w:lang w:val="en-US" w:eastAsia="zh-CN"/>
              </w:rPr>
              <w:t>-3</w:t>
            </w:r>
          </w:p>
        </w:tc>
        <w:tc>
          <w:tcPr>
            <w:tcW w:w="149" w:type="pct"/>
            <w:noWrap w:val="0"/>
            <w:vAlign w:val="center"/>
          </w:tcPr>
          <w:p w14:paraId="6B2547D3">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25615DDD">
            <w:pPr>
              <w:pStyle w:val="12"/>
              <w:ind w:firstLine="0" w:firstLineChars="0"/>
              <w:jc w:val="center"/>
              <w:rPr>
                <w:rFonts w:ascii="Times New Roman"/>
                <w:kern w:val="2"/>
                <w:sz w:val="21"/>
                <w:szCs w:val="21"/>
                <w:highlight w:val="none"/>
              </w:rPr>
            </w:pPr>
            <w:r>
              <w:rPr>
                <w:rFonts w:ascii="Times New Roman"/>
                <w:kern w:val="2"/>
                <w:sz w:val="21"/>
                <w:szCs w:val="21"/>
                <w:highlight w:val="none"/>
              </w:rPr>
              <w:t>23</w:t>
            </w:r>
          </w:p>
        </w:tc>
        <w:tc>
          <w:tcPr>
            <w:tcW w:w="271" w:type="pct"/>
            <w:noWrap w:val="0"/>
            <w:vAlign w:val="center"/>
          </w:tcPr>
          <w:p w14:paraId="5A5C9FCA">
            <w:pPr>
              <w:pStyle w:val="12"/>
              <w:ind w:firstLine="0" w:firstLineChars="0"/>
              <w:jc w:val="center"/>
              <w:rPr>
                <w:rFonts w:ascii="Times New Roman"/>
                <w:kern w:val="2"/>
                <w:sz w:val="21"/>
                <w:szCs w:val="21"/>
                <w:highlight w:val="none"/>
              </w:rPr>
            </w:pPr>
            <w:r>
              <w:rPr>
                <w:rFonts w:ascii="Times New Roman"/>
                <w:kern w:val="2"/>
                <w:sz w:val="21"/>
                <w:szCs w:val="21"/>
                <w:highlight w:val="none"/>
              </w:rPr>
              <w:t>0.2</w:t>
            </w:r>
          </w:p>
        </w:tc>
        <w:tc>
          <w:tcPr>
            <w:tcW w:w="262" w:type="pct"/>
            <w:noWrap w:val="0"/>
            <w:vAlign w:val="center"/>
          </w:tcPr>
          <w:p w14:paraId="274E82BF">
            <w:pPr>
              <w:jc w:val="center"/>
              <w:rPr>
                <w:sz w:val="21"/>
                <w:szCs w:val="21"/>
                <w:highlight w:val="none"/>
              </w:rPr>
            </w:pPr>
            <w:r>
              <w:rPr>
                <w:sz w:val="21"/>
                <w:szCs w:val="21"/>
                <w:highlight w:val="none"/>
              </w:rPr>
              <w:t>120</w:t>
            </w:r>
          </w:p>
        </w:tc>
        <w:tc>
          <w:tcPr>
            <w:tcW w:w="418" w:type="pct"/>
            <w:noWrap w:val="0"/>
            <w:vAlign w:val="center"/>
          </w:tcPr>
          <w:p w14:paraId="50AA1793">
            <w:pPr>
              <w:jc w:val="center"/>
              <w:rPr>
                <w:sz w:val="21"/>
                <w:szCs w:val="21"/>
                <w:highlight w:val="none"/>
              </w:rPr>
            </w:pPr>
            <w:r>
              <w:rPr>
                <w:sz w:val="21"/>
                <w:szCs w:val="21"/>
                <w:highlight w:val="none"/>
              </w:rPr>
              <w:t>11</w:t>
            </w:r>
          </w:p>
        </w:tc>
        <w:tc>
          <w:tcPr>
            <w:tcW w:w="260" w:type="pct"/>
            <w:noWrap w:val="0"/>
            <w:vAlign w:val="center"/>
          </w:tcPr>
          <w:p w14:paraId="00FA7860">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2BC8476C">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1019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D3E5108">
            <w:pPr>
              <w:widowControl/>
              <w:snapToGrid w:val="0"/>
              <w:jc w:val="center"/>
              <w:rPr>
                <w:sz w:val="21"/>
                <w:szCs w:val="21"/>
                <w:highlight w:val="none"/>
              </w:rPr>
            </w:pPr>
          </w:p>
        </w:tc>
        <w:tc>
          <w:tcPr>
            <w:tcW w:w="339" w:type="pct"/>
            <w:gridSpan w:val="2"/>
            <w:vMerge w:val="continue"/>
            <w:noWrap w:val="0"/>
            <w:vAlign w:val="center"/>
          </w:tcPr>
          <w:p w14:paraId="465737D7">
            <w:pPr>
              <w:pStyle w:val="12"/>
              <w:ind w:firstLine="0" w:firstLineChars="0"/>
              <w:jc w:val="center"/>
              <w:rPr>
                <w:rFonts w:ascii="Times New Roman"/>
                <w:kern w:val="2"/>
                <w:sz w:val="21"/>
                <w:szCs w:val="21"/>
                <w:highlight w:val="none"/>
              </w:rPr>
            </w:pPr>
          </w:p>
        </w:tc>
        <w:tc>
          <w:tcPr>
            <w:tcW w:w="454" w:type="pct"/>
            <w:gridSpan w:val="2"/>
            <w:noWrap w:val="0"/>
            <w:vAlign w:val="center"/>
          </w:tcPr>
          <w:p w14:paraId="6B78390C">
            <w:pPr>
              <w:pStyle w:val="12"/>
              <w:ind w:firstLine="0" w:firstLineChars="0"/>
              <w:jc w:val="center"/>
              <w:rPr>
                <w:rFonts w:ascii="Times New Roman"/>
                <w:kern w:val="2"/>
                <w:sz w:val="21"/>
                <w:szCs w:val="21"/>
                <w:highlight w:val="none"/>
              </w:rPr>
            </w:pPr>
            <w:r>
              <w:rPr>
                <w:rFonts w:ascii="Times New Roman"/>
                <w:kern w:val="2"/>
                <w:sz w:val="21"/>
                <w:szCs w:val="21"/>
                <w:highlight w:val="none"/>
              </w:rPr>
              <w:t>白土储仓</w:t>
            </w:r>
          </w:p>
        </w:tc>
        <w:tc>
          <w:tcPr>
            <w:tcW w:w="294" w:type="pct"/>
            <w:noWrap w:val="0"/>
            <w:vAlign w:val="center"/>
          </w:tcPr>
          <w:p w14:paraId="3CEE4516">
            <w:pPr>
              <w:jc w:val="center"/>
              <w:rPr>
                <w:sz w:val="21"/>
                <w:szCs w:val="21"/>
                <w:highlight w:val="none"/>
              </w:rPr>
            </w:pPr>
            <w:r>
              <w:rPr>
                <w:sz w:val="21"/>
                <w:szCs w:val="21"/>
                <w:highlight w:val="none"/>
              </w:rPr>
              <w:t>颗粒物</w:t>
            </w:r>
          </w:p>
        </w:tc>
        <w:tc>
          <w:tcPr>
            <w:tcW w:w="401" w:type="pct"/>
            <w:noWrap w:val="0"/>
            <w:vAlign w:val="center"/>
          </w:tcPr>
          <w:p w14:paraId="4A637161">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219</w:t>
            </w:r>
          </w:p>
        </w:tc>
        <w:tc>
          <w:tcPr>
            <w:tcW w:w="262" w:type="pct"/>
            <w:noWrap w:val="0"/>
            <w:vAlign w:val="center"/>
          </w:tcPr>
          <w:p w14:paraId="072052D2">
            <w:pPr>
              <w:jc w:val="center"/>
              <w:rPr>
                <w:rFonts w:hint="default" w:eastAsia="宋体"/>
                <w:sz w:val="21"/>
                <w:szCs w:val="21"/>
                <w:highlight w:val="none"/>
                <w:lang w:val="en-US" w:eastAsia="zh-CN"/>
              </w:rPr>
            </w:pPr>
            <w:r>
              <w:rPr>
                <w:rFonts w:hint="eastAsia"/>
                <w:sz w:val="21"/>
                <w:szCs w:val="21"/>
                <w:highlight w:val="none"/>
                <w:lang w:val="en-US" w:eastAsia="zh-CN"/>
              </w:rPr>
              <w:t>32</w:t>
            </w:r>
          </w:p>
        </w:tc>
        <w:tc>
          <w:tcPr>
            <w:tcW w:w="373" w:type="pct"/>
            <w:noWrap w:val="0"/>
            <w:vAlign w:val="center"/>
          </w:tcPr>
          <w:p w14:paraId="086944F9">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7.1×10</w:t>
            </w:r>
            <w:r>
              <w:rPr>
                <w:rFonts w:hint="eastAsia" w:ascii="Times New Roman"/>
                <w:sz w:val="21"/>
                <w:szCs w:val="21"/>
                <w:highlight w:val="none"/>
                <w:vertAlign w:val="superscript"/>
                <w:lang w:val="en-US" w:eastAsia="zh-CN"/>
              </w:rPr>
              <w:t>-3</w:t>
            </w:r>
          </w:p>
        </w:tc>
        <w:tc>
          <w:tcPr>
            <w:tcW w:w="149" w:type="pct"/>
            <w:noWrap w:val="0"/>
            <w:vAlign w:val="center"/>
          </w:tcPr>
          <w:p w14:paraId="41B66481">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35CF273C">
            <w:pPr>
              <w:pStyle w:val="12"/>
              <w:ind w:firstLine="0" w:firstLineChars="0"/>
              <w:jc w:val="center"/>
              <w:rPr>
                <w:rFonts w:ascii="Times New Roman"/>
                <w:kern w:val="2"/>
                <w:sz w:val="21"/>
                <w:szCs w:val="21"/>
                <w:highlight w:val="none"/>
              </w:rPr>
            </w:pPr>
            <w:r>
              <w:rPr>
                <w:rFonts w:ascii="Times New Roman"/>
                <w:kern w:val="2"/>
                <w:sz w:val="21"/>
                <w:szCs w:val="21"/>
                <w:highlight w:val="none"/>
              </w:rPr>
              <w:t>23</w:t>
            </w:r>
          </w:p>
        </w:tc>
        <w:tc>
          <w:tcPr>
            <w:tcW w:w="271" w:type="pct"/>
            <w:noWrap w:val="0"/>
            <w:vAlign w:val="center"/>
          </w:tcPr>
          <w:p w14:paraId="7D9AE0F0">
            <w:pPr>
              <w:pStyle w:val="12"/>
              <w:ind w:firstLine="0" w:firstLineChars="0"/>
              <w:jc w:val="center"/>
              <w:rPr>
                <w:rFonts w:ascii="Times New Roman"/>
                <w:kern w:val="2"/>
                <w:sz w:val="21"/>
                <w:szCs w:val="21"/>
                <w:highlight w:val="none"/>
              </w:rPr>
            </w:pPr>
            <w:r>
              <w:rPr>
                <w:rFonts w:ascii="Times New Roman"/>
                <w:kern w:val="2"/>
                <w:sz w:val="21"/>
                <w:szCs w:val="21"/>
                <w:highlight w:val="none"/>
              </w:rPr>
              <w:t>0.2</w:t>
            </w:r>
          </w:p>
        </w:tc>
        <w:tc>
          <w:tcPr>
            <w:tcW w:w="262" w:type="pct"/>
            <w:noWrap w:val="0"/>
            <w:vAlign w:val="center"/>
          </w:tcPr>
          <w:p w14:paraId="02FE30ED">
            <w:pPr>
              <w:jc w:val="center"/>
              <w:rPr>
                <w:sz w:val="21"/>
                <w:szCs w:val="21"/>
                <w:highlight w:val="none"/>
              </w:rPr>
            </w:pPr>
            <w:r>
              <w:rPr>
                <w:sz w:val="21"/>
                <w:szCs w:val="21"/>
                <w:highlight w:val="none"/>
              </w:rPr>
              <w:t>120</w:t>
            </w:r>
          </w:p>
        </w:tc>
        <w:tc>
          <w:tcPr>
            <w:tcW w:w="418" w:type="pct"/>
            <w:noWrap w:val="0"/>
            <w:vAlign w:val="center"/>
          </w:tcPr>
          <w:p w14:paraId="49263EE2">
            <w:pPr>
              <w:jc w:val="center"/>
              <w:rPr>
                <w:sz w:val="21"/>
                <w:szCs w:val="21"/>
                <w:highlight w:val="none"/>
              </w:rPr>
            </w:pPr>
            <w:r>
              <w:rPr>
                <w:sz w:val="21"/>
                <w:szCs w:val="21"/>
                <w:highlight w:val="none"/>
              </w:rPr>
              <w:t>11.0</w:t>
            </w:r>
          </w:p>
        </w:tc>
        <w:tc>
          <w:tcPr>
            <w:tcW w:w="260" w:type="pct"/>
            <w:noWrap w:val="0"/>
            <w:vAlign w:val="center"/>
          </w:tcPr>
          <w:p w14:paraId="380D47B6">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5E342A82">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7C3C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28B4FB8">
            <w:pPr>
              <w:widowControl/>
              <w:snapToGrid w:val="0"/>
              <w:jc w:val="center"/>
              <w:rPr>
                <w:sz w:val="21"/>
                <w:szCs w:val="21"/>
                <w:highlight w:val="none"/>
              </w:rPr>
            </w:pPr>
          </w:p>
        </w:tc>
        <w:tc>
          <w:tcPr>
            <w:tcW w:w="339" w:type="pct"/>
            <w:gridSpan w:val="2"/>
            <w:noWrap w:val="0"/>
            <w:vAlign w:val="center"/>
          </w:tcPr>
          <w:p w14:paraId="3B83DC4A">
            <w:pPr>
              <w:pStyle w:val="12"/>
              <w:ind w:firstLine="0" w:firstLineChars="0"/>
              <w:jc w:val="center"/>
              <w:rPr>
                <w:rFonts w:ascii="Times New Roman"/>
                <w:kern w:val="2"/>
                <w:sz w:val="21"/>
                <w:szCs w:val="21"/>
                <w:highlight w:val="none"/>
              </w:rPr>
            </w:pPr>
            <w:r>
              <w:rPr>
                <w:rFonts w:ascii="Times New Roman"/>
                <w:kern w:val="2"/>
                <w:sz w:val="21"/>
                <w:szCs w:val="21"/>
                <w:highlight w:val="none"/>
              </w:rPr>
              <w:t>尾气脱碳单元</w:t>
            </w:r>
          </w:p>
        </w:tc>
        <w:tc>
          <w:tcPr>
            <w:tcW w:w="454" w:type="pct"/>
            <w:gridSpan w:val="2"/>
            <w:noWrap w:val="0"/>
            <w:vAlign w:val="center"/>
          </w:tcPr>
          <w:p w14:paraId="1A57B501">
            <w:pPr>
              <w:pStyle w:val="12"/>
              <w:ind w:firstLine="0" w:firstLineChars="0"/>
              <w:jc w:val="center"/>
              <w:rPr>
                <w:rFonts w:ascii="Times New Roman"/>
                <w:kern w:val="2"/>
                <w:sz w:val="21"/>
                <w:szCs w:val="21"/>
                <w:highlight w:val="none"/>
              </w:rPr>
            </w:pPr>
            <w:r>
              <w:rPr>
                <w:rFonts w:ascii="Times New Roman"/>
                <w:kern w:val="2"/>
                <w:sz w:val="21"/>
                <w:szCs w:val="21"/>
                <w:highlight w:val="none"/>
              </w:rPr>
              <w:t>再生气</w:t>
            </w:r>
          </w:p>
        </w:tc>
        <w:tc>
          <w:tcPr>
            <w:tcW w:w="294" w:type="pct"/>
            <w:noWrap w:val="0"/>
            <w:vAlign w:val="center"/>
          </w:tcPr>
          <w:p w14:paraId="049BEAA7">
            <w:pPr>
              <w:jc w:val="center"/>
              <w:rPr>
                <w:sz w:val="21"/>
                <w:szCs w:val="21"/>
                <w:highlight w:val="none"/>
              </w:rPr>
            </w:pPr>
            <w:r>
              <w:rPr>
                <w:sz w:val="21"/>
                <w:szCs w:val="21"/>
                <w:highlight w:val="none"/>
              </w:rPr>
              <w:t>NMHC</w:t>
            </w:r>
          </w:p>
        </w:tc>
        <w:tc>
          <w:tcPr>
            <w:tcW w:w="401" w:type="pct"/>
            <w:noWrap w:val="0"/>
            <w:vAlign w:val="center"/>
          </w:tcPr>
          <w:p w14:paraId="63D835BF">
            <w:pPr>
              <w:pStyle w:val="12"/>
              <w:ind w:firstLine="0" w:firstLineChars="0"/>
              <w:jc w:val="center"/>
              <w:rPr>
                <w:rFonts w:ascii="Times New Roman"/>
                <w:kern w:val="2"/>
                <w:sz w:val="21"/>
                <w:szCs w:val="21"/>
                <w:highlight w:val="none"/>
              </w:rPr>
            </w:pPr>
            <w:r>
              <w:rPr>
                <w:rFonts w:ascii="Times New Roman"/>
                <w:kern w:val="2"/>
                <w:sz w:val="21"/>
                <w:szCs w:val="21"/>
                <w:highlight w:val="none"/>
                <w:lang w:val="pt-BR"/>
              </w:rPr>
              <w:t>/</w:t>
            </w:r>
          </w:p>
        </w:tc>
        <w:tc>
          <w:tcPr>
            <w:tcW w:w="262" w:type="pct"/>
            <w:noWrap w:val="0"/>
            <w:vAlign w:val="center"/>
          </w:tcPr>
          <w:p w14:paraId="1F059B29">
            <w:pPr>
              <w:jc w:val="center"/>
              <w:rPr>
                <w:rFonts w:hint="default" w:eastAsia="宋体"/>
                <w:sz w:val="21"/>
                <w:szCs w:val="21"/>
                <w:highlight w:val="none"/>
                <w:lang w:val="en-US" w:eastAsia="zh-CN"/>
              </w:rPr>
            </w:pPr>
            <w:r>
              <w:rPr>
                <w:rFonts w:hint="eastAsia"/>
                <w:sz w:val="21"/>
                <w:szCs w:val="21"/>
                <w:highlight w:val="none"/>
                <w:lang w:val="en-US" w:eastAsia="zh-CN"/>
              </w:rPr>
              <w:t>1.41</w:t>
            </w:r>
          </w:p>
        </w:tc>
        <w:tc>
          <w:tcPr>
            <w:tcW w:w="373" w:type="pct"/>
            <w:noWrap w:val="0"/>
            <w:vAlign w:val="center"/>
          </w:tcPr>
          <w:p w14:paraId="2A5B34AC">
            <w:pPr>
              <w:pStyle w:val="12"/>
              <w:ind w:firstLine="0" w:firstLineChars="0"/>
              <w:jc w:val="center"/>
              <w:rPr>
                <w:rFonts w:ascii="Times New Roman"/>
                <w:sz w:val="21"/>
                <w:szCs w:val="21"/>
                <w:highlight w:val="none"/>
              </w:rPr>
            </w:pPr>
            <w:r>
              <w:rPr>
                <w:rFonts w:ascii="Times New Roman"/>
                <w:kern w:val="2"/>
                <w:sz w:val="21"/>
                <w:szCs w:val="21"/>
                <w:highlight w:val="none"/>
                <w:lang w:val="pt-BR"/>
              </w:rPr>
              <w:t>/</w:t>
            </w:r>
          </w:p>
        </w:tc>
        <w:tc>
          <w:tcPr>
            <w:tcW w:w="149" w:type="pct"/>
            <w:noWrap w:val="0"/>
            <w:vAlign w:val="center"/>
          </w:tcPr>
          <w:p w14:paraId="29D8FB24">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2C948B81">
            <w:pPr>
              <w:pStyle w:val="12"/>
              <w:ind w:firstLine="0" w:firstLineChars="0"/>
              <w:jc w:val="center"/>
              <w:rPr>
                <w:rFonts w:ascii="Times New Roman"/>
                <w:kern w:val="2"/>
                <w:sz w:val="21"/>
                <w:szCs w:val="21"/>
                <w:highlight w:val="none"/>
              </w:rPr>
            </w:pPr>
            <w:r>
              <w:rPr>
                <w:rFonts w:ascii="Times New Roman"/>
                <w:kern w:val="2"/>
                <w:sz w:val="21"/>
                <w:szCs w:val="21"/>
                <w:highlight w:val="none"/>
              </w:rPr>
              <w:t>90</w:t>
            </w:r>
          </w:p>
        </w:tc>
        <w:tc>
          <w:tcPr>
            <w:tcW w:w="271" w:type="pct"/>
            <w:noWrap w:val="0"/>
            <w:vAlign w:val="center"/>
          </w:tcPr>
          <w:p w14:paraId="22B8D76F">
            <w:pPr>
              <w:pStyle w:val="12"/>
              <w:ind w:firstLine="0" w:firstLineChars="0"/>
              <w:jc w:val="center"/>
              <w:rPr>
                <w:rFonts w:ascii="Times New Roman"/>
                <w:kern w:val="2"/>
                <w:sz w:val="21"/>
                <w:szCs w:val="21"/>
                <w:highlight w:val="none"/>
              </w:rPr>
            </w:pPr>
            <w:r>
              <w:rPr>
                <w:rFonts w:ascii="Times New Roman"/>
                <w:kern w:val="2"/>
                <w:sz w:val="21"/>
                <w:szCs w:val="21"/>
                <w:highlight w:val="none"/>
              </w:rPr>
              <w:t>1.1</w:t>
            </w:r>
          </w:p>
        </w:tc>
        <w:tc>
          <w:tcPr>
            <w:tcW w:w="262" w:type="pct"/>
            <w:noWrap w:val="0"/>
            <w:vAlign w:val="center"/>
          </w:tcPr>
          <w:p w14:paraId="736F9FA8">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120</w:t>
            </w:r>
          </w:p>
        </w:tc>
        <w:tc>
          <w:tcPr>
            <w:tcW w:w="418" w:type="pct"/>
            <w:noWrap w:val="0"/>
            <w:vAlign w:val="center"/>
          </w:tcPr>
          <w:p w14:paraId="132CB66D">
            <w:pPr>
              <w:jc w:val="center"/>
              <w:rPr>
                <w:sz w:val="21"/>
                <w:szCs w:val="21"/>
                <w:highlight w:val="none"/>
              </w:rPr>
            </w:pPr>
            <w:r>
              <w:rPr>
                <w:sz w:val="21"/>
                <w:szCs w:val="21"/>
                <w:highlight w:val="none"/>
              </w:rPr>
              <w:t>去除效率≥97%</w:t>
            </w:r>
          </w:p>
        </w:tc>
        <w:tc>
          <w:tcPr>
            <w:tcW w:w="260" w:type="pct"/>
            <w:noWrap w:val="0"/>
            <w:vAlign w:val="center"/>
          </w:tcPr>
          <w:p w14:paraId="23D05159">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31E01E4B">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w:t>
            </w:r>
          </w:p>
        </w:tc>
      </w:tr>
      <w:tr w14:paraId="5758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7FEEE1C">
            <w:pPr>
              <w:widowControl/>
              <w:snapToGrid w:val="0"/>
              <w:jc w:val="center"/>
              <w:rPr>
                <w:sz w:val="21"/>
                <w:szCs w:val="21"/>
                <w:highlight w:val="none"/>
              </w:rPr>
            </w:pPr>
          </w:p>
        </w:tc>
        <w:tc>
          <w:tcPr>
            <w:tcW w:w="339" w:type="pct"/>
            <w:gridSpan w:val="2"/>
            <w:noWrap w:val="0"/>
            <w:vAlign w:val="center"/>
          </w:tcPr>
          <w:p w14:paraId="17EF5DED">
            <w:pPr>
              <w:pStyle w:val="12"/>
              <w:ind w:firstLine="0" w:firstLineChars="0"/>
              <w:jc w:val="center"/>
              <w:rPr>
                <w:rFonts w:ascii="Times New Roman"/>
                <w:kern w:val="2"/>
                <w:sz w:val="21"/>
                <w:szCs w:val="21"/>
                <w:highlight w:val="none"/>
              </w:rPr>
            </w:pPr>
            <w:r>
              <w:rPr>
                <w:rFonts w:ascii="Times New Roman"/>
                <w:kern w:val="2"/>
                <w:sz w:val="21"/>
                <w:szCs w:val="21"/>
                <w:highlight w:val="none"/>
              </w:rPr>
              <w:t>加氢精制单元</w:t>
            </w:r>
          </w:p>
        </w:tc>
        <w:tc>
          <w:tcPr>
            <w:tcW w:w="454" w:type="pct"/>
            <w:gridSpan w:val="2"/>
            <w:noWrap w:val="0"/>
            <w:vAlign w:val="center"/>
          </w:tcPr>
          <w:p w14:paraId="41C556EF">
            <w:pPr>
              <w:pStyle w:val="12"/>
              <w:ind w:firstLine="0" w:firstLineChars="0"/>
              <w:jc w:val="center"/>
              <w:rPr>
                <w:rFonts w:ascii="Times New Roman"/>
                <w:kern w:val="2"/>
                <w:sz w:val="21"/>
                <w:szCs w:val="21"/>
                <w:highlight w:val="none"/>
              </w:rPr>
            </w:pPr>
            <w:r>
              <w:rPr>
                <w:rFonts w:ascii="Times New Roman"/>
                <w:kern w:val="2"/>
                <w:sz w:val="21"/>
                <w:szCs w:val="21"/>
                <w:highlight w:val="none"/>
              </w:rPr>
              <w:t>加热炉烟气</w:t>
            </w:r>
          </w:p>
        </w:tc>
        <w:tc>
          <w:tcPr>
            <w:tcW w:w="294" w:type="pct"/>
            <w:noWrap w:val="0"/>
            <w:vAlign w:val="center"/>
          </w:tcPr>
          <w:p w14:paraId="56F99D1C">
            <w:pPr>
              <w:jc w:val="center"/>
              <w:rPr>
                <w:sz w:val="21"/>
                <w:szCs w:val="21"/>
                <w:highlight w:val="none"/>
              </w:rPr>
            </w:pPr>
            <w:r>
              <w:rPr>
                <w:sz w:val="21"/>
                <w:szCs w:val="21"/>
                <w:highlight w:val="none"/>
              </w:rPr>
              <w:t>烟尘</w:t>
            </w:r>
          </w:p>
          <w:p w14:paraId="35A0DCE0">
            <w:pPr>
              <w:jc w:val="center"/>
              <w:rPr>
                <w:sz w:val="21"/>
                <w:szCs w:val="21"/>
                <w:highlight w:val="none"/>
              </w:rPr>
            </w:pPr>
            <w:r>
              <w:rPr>
                <w:sz w:val="21"/>
                <w:szCs w:val="21"/>
                <w:highlight w:val="none"/>
              </w:rPr>
              <w:t>NOx</w:t>
            </w:r>
          </w:p>
        </w:tc>
        <w:tc>
          <w:tcPr>
            <w:tcW w:w="401" w:type="pct"/>
            <w:noWrap w:val="0"/>
            <w:vAlign w:val="center"/>
          </w:tcPr>
          <w:p w14:paraId="3ECBE44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36473</w:t>
            </w:r>
          </w:p>
        </w:tc>
        <w:tc>
          <w:tcPr>
            <w:tcW w:w="262" w:type="pct"/>
            <w:noWrap w:val="0"/>
            <w:vAlign w:val="center"/>
          </w:tcPr>
          <w:p w14:paraId="2004A916">
            <w:pPr>
              <w:jc w:val="center"/>
              <w:rPr>
                <w:rFonts w:hint="default" w:eastAsia="宋体"/>
                <w:sz w:val="21"/>
                <w:szCs w:val="21"/>
                <w:highlight w:val="none"/>
                <w:lang w:val="en-US" w:eastAsia="zh-CN"/>
              </w:rPr>
            </w:pPr>
            <w:r>
              <w:rPr>
                <w:rFonts w:hint="eastAsia"/>
                <w:sz w:val="21"/>
                <w:szCs w:val="21"/>
                <w:highlight w:val="none"/>
                <w:lang w:val="en-US" w:eastAsia="zh-CN"/>
              </w:rPr>
              <w:t>4.5</w:t>
            </w:r>
          </w:p>
          <w:p w14:paraId="19A7E51E">
            <w:pPr>
              <w:jc w:val="center"/>
              <w:rPr>
                <w:rFonts w:hint="default" w:eastAsia="宋体"/>
                <w:sz w:val="21"/>
                <w:szCs w:val="21"/>
                <w:highlight w:val="none"/>
                <w:lang w:val="en-US" w:eastAsia="zh-CN"/>
              </w:rPr>
            </w:pPr>
            <w:r>
              <w:rPr>
                <w:rFonts w:hint="eastAsia"/>
                <w:sz w:val="21"/>
                <w:szCs w:val="21"/>
                <w:highlight w:val="none"/>
                <w:lang w:val="en-US" w:eastAsia="zh-CN"/>
              </w:rPr>
              <w:t>53</w:t>
            </w:r>
          </w:p>
        </w:tc>
        <w:tc>
          <w:tcPr>
            <w:tcW w:w="373" w:type="pct"/>
            <w:noWrap w:val="0"/>
            <w:vAlign w:val="center"/>
          </w:tcPr>
          <w:p w14:paraId="47128A8D">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0.14</w:t>
            </w:r>
          </w:p>
          <w:p w14:paraId="36F95207">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w:t>
            </w:r>
          </w:p>
        </w:tc>
        <w:tc>
          <w:tcPr>
            <w:tcW w:w="149" w:type="pct"/>
            <w:noWrap w:val="0"/>
            <w:vAlign w:val="center"/>
          </w:tcPr>
          <w:p w14:paraId="4AB347DA">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2B182F1C">
            <w:pPr>
              <w:pStyle w:val="12"/>
              <w:ind w:firstLine="0" w:firstLineChars="0"/>
              <w:jc w:val="center"/>
              <w:rPr>
                <w:rFonts w:ascii="Times New Roman"/>
                <w:kern w:val="2"/>
                <w:sz w:val="21"/>
                <w:szCs w:val="21"/>
                <w:highlight w:val="none"/>
              </w:rPr>
            </w:pPr>
            <w:r>
              <w:rPr>
                <w:rFonts w:ascii="Times New Roman"/>
                <w:kern w:val="2"/>
                <w:sz w:val="21"/>
                <w:szCs w:val="21"/>
                <w:highlight w:val="none"/>
              </w:rPr>
              <w:t>50</w:t>
            </w:r>
          </w:p>
        </w:tc>
        <w:tc>
          <w:tcPr>
            <w:tcW w:w="271" w:type="pct"/>
            <w:noWrap w:val="0"/>
            <w:vAlign w:val="center"/>
          </w:tcPr>
          <w:p w14:paraId="2E8CD8DB">
            <w:pPr>
              <w:pStyle w:val="12"/>
              <w:ind w:firstLine="0" w:firstLineChars="0"/>
              <w:jc w:val="center"/>
              <w:rPr>
                <w:rFonts w:ascii="Times New Roman"/>
                <w:kern w:val="2"/>
                <w:sz w:val="21"/>
                <w:szCs w:val="21"/>
                <w:highlight w:val="none"/>
              </w:rPr>
            </w:pPr>
            <w:r>
              <w:rPr>
                <w:rFonts w:ascii="Times New Roman"/>
                <w:kern w:val="2"/>
                <w:sz w:val="21"/>
                <w:szCs w:val="21"/>
                <w:highlight w:val="none"/>
              </w:rPr>
              <w:t>1.7</w:t>
            </w:r>
          </w:p>
        </w:tc>
        <w:tc>
          <w:tcPr>
            <w:tcW w:w="262" w:type="pct"/>
            <w:noWrap w:val="0"/>
            <w:vAlign w:val="center"/>
          </w:tcPr>
          <w:p w14:paraId="3E0F95A3">
            <w:pPr>
              <w:jc w:val="center"/>
              <w:rPr>
                <w:sz w:val="21"/>
                <w:szCs w:val="21"/>
                <w:highlight w:val="none"/>
              </w:rPr>
            </w:pPr>
            <w:r>
              <w:rPr>
                <w:sz w:val="21"/>
                <w:szCs w:val="21"/>
                <w:highlight w:val="none"/>
              </w:rPr>
              <w:t>20</w:t>
            </w:r>
          </w:p>
          <w:p w14:paraId="4FEC0EA2">
            <w:pPr>
              <w:jc w:val="center"/>
              <w:rPr>
                <w:sz w:val="21"/>
                <w:szCs w:val="21"/>
                <w:highlight w:val="none"/>
              </w:rPr>
            </w:pPr>
            <w:r>
              <w:rPr>
                <w:sz w:val="21"/>
                <w:szCs w:val="21"/>
                <w:highlight w:val="none"/>
              </w:rPr>
              <w:t>1</w:t>
            </w:r>
            <w:r>
              <w:rPr>
                <w:rFonts w:hint="eastAsia"/>
                <w:sz w:val="21"/>
                <w:szCs w:val="21"/>
                <w:highlight w:val="none"/>
                <w:lang w:val="en-US" w:eastAsia="zh-CN"/>
              </w:rPr>
              <w:t>5</w:t>
            </w:r>
            <w:r>
              <w:rPr>
                <w:sz w:val="21"/>
                <w:szCs w:val="21"/>
                <w:highlight w:val="none"/>
              </w:rPr>
              <w:t>0</w:t>
            </w:r>
          </w:p>
        </w:tc>
        <w:tc>
          <w:tcPr>
            <w:tcW w:w="418" w:type="pct"/>
            <w:noWrap w:val="0"/>
            <w:vAlign w:val="center"/>
          </w:tcPr>
          <w:p w14:paraId="12691828">
            <w:pPr>
              <w:jc w:val="center"/>
              <w:rPr>
                <w:sz w:val="21"/>
                <w:szCs w:val="21"/>
                <w:highlight w:val="none"/>
              </w:rPr>
            </w:pPr>
            <w:r>
              <w:rPr>
                <w:sz w:val="21"/>
                <w:szCs w:val="21"/>
                <w:highlight w:val="none"/>
              </w:rPr>
              <w:t>/</w:t>
            </w:r>
          </w:p>
        </w:tc>
        <w:tc>
          <w:tcPr>
            <w:tcW w:w="260" w:type="pct"/>
            <w:noWrap w:val="0"/>
            <w:vAlign w:val="center"/>
          </w:tcPr>
          <w:p w14:paraId="32EE1B88">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569EE706">
            <w:pPr>
              <w:pStyle w:val="12"/>
              <w:ind w:firstLine="0" w:firstLineChars="0"/>
              <w:jc w:val="center"/>
              <w:rPr>
                <w:rFonts w:ascii="Times New Roman"/>
                <w:kern w:val="2"/>
                <w:sz w:val="21"/>
                <w:szCs w:val="21"/>
                <w:highlight w:val="none"/>
              </w:rPr>
            </w:pPr>
            <w:r>
              <w:rPr>
                <w:rFonts w:ascii="Times New Roman"/>
                <w:kern w:val="2"/>
                <w:sz w:val="21"/>
                <w:szCs w:val="21"/>
                <w:highlight w:val="none"/>
              </w:rPr>
              <w:t>《石油炼制工业污染物排放标准》（GB31570-2015）表4大气污染物特别排放限值</w:t>
            </w:r>
          </w:p>
        </w:tc>
      </w:tr>
      <w:tr w14:paraId="573C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47D69C00">
            <w:pPr>
              <w:widowControl/>
              <w:snapToGrid w:val="0"/>
              <w:jc w:val="center"/>
              <w:rPr>
                <w:sz w:val="21"/>
                <w:szCs w:val="21"/>
                <w:highlight w:val="none"/>
              </w:rPr>
            </w:pPr>
          </w:p>
        </w:tc>
        <w:tc>
          <w:tcPr>
            <w:tcW w:w="339" w:type="pct"/>
            <w:gridSpan w:val="2"/>
            <w:noWrap w:val="0"/>
            <w:vAlign w:val="center"/>
          </w:tcPr>
          <w:p w14:paraId="1808F161">
            <w:pPr>
              <w:pStyle w:val="12"/>
              <w:ind w:firstLine="0" w:firstLineChars="0"/>
              <w:jc w:val="center"/>
              <w:rPr>
                <w:rFonts w:ascii="Times New Roman"/>
                <w:kern w:val="2"/>
                <w:sz w:val="21"/>
                <w:szCs w:val="21"/>
                <w:highlight w:val="none"/>
              </w:rPr>
            </w:pPr>
            <w:r>
              <w:rPr>
                <w:rFonts w:ascii="Times New Roman"/>
                <w:kern w:val="2"/>
                <w:sz w:val="21"/>
                <w:szCs w:val="21"/>
                <w:highlight w:val="none"/>
              </w:rPr>
              <w:t>加氢裂化单元</w:t>
            </w:r>
          </w:p>
        </w:tc>
        <w:tc>
          <w:tcPr>
            <w:tcW w:w="454" w:type="pct"/>
            <w:gridSpan w:val="2"/>
            <w:noWrap w:val="0"/>
            <w:vAlign w:val="center"/>
          </w:tcPr>
          <w:p w14:paraId="5F95D4B7">
            <w:pPr>
              <w:pStyle w:val="12"/>
              <w:ind w:firstLine="0" w:firstLineChars="0"/>
              <w:jc w:val="center"/>
              <w:rPr>
                <w:rFonts w:ascii="Times New Roman"/>
                <w:kern w:val="2"/>
                <w:sz w:val="21"/>
                <w:szCs w:val="21"/>
                <w:highlight w:val="none"/>
              </w:rPr>
            </w:pPr>
            <w:r>
              <w:rPr>
                <w:rFonts w:ascii="Times New Roman"/>
                <w:kern w:val="2"/>
                <w:sz w:val="21"/>
                <w:szCs w:val="21"/>
                <w:highlight w:val="none"/>
              </w:rPr>
              <w:t>加热炉烟气</w:t>
            </w:r>
          </w:p>
        </w:tc>
        <w:tc>
          <w:tcPr>
            <w:tcW w:w="294" w:type="pct"/>
            <w:noWrap w:val="0"/>
            <w:vAlign w:val="center"/>
          </w:tcPr>
          <w:p w14:paraId="397E4939">
            <w:pPr>
              <w:jc w:val="center"/>
              <w:rPr>
                <w:sz w:val="21"/>
                <w:szCs w:val="21"/>
                <w:highlight w:val="none"/>
              </w:rPr>
            </w:pPr>
            <w:r>
              <w:rPr>
                <w:sz w:val="21"/>
                <w:szCs w:val="21"/>
                <w:highlight w:val="none"/>
              </w:rPr>
              <w:t>烟尘</w:t>
            </w:r>
          </w:p>
          <w:p w14:paraId="60A0F59F">
            <w:pPr>
              <w:jc w:val="center"/>
              <w:rPr>
                <w:sz w:val="21"/>
                <w:szCs w:val="21"/>
                <w:highlight w:val="none"/>
              </w:rPr>
            </w:pPr>
            <w:r>
              <w:rPr>
                <w:sz w:val="21"/>
                <w:szCs w:val="21"/>
                <w:highlight w:val="none"/>
              </w:rPr>
              <w:t>NOx</w:t>
            </w:r>
          </w:p>
        </w:tc>
        <w:tc>
          <w:tcPr>
            <w:tcW w:w="401" w:type="pct"/>
            <w:noWrap w:val="0"/>
            <w:vAlign w:val="center"/>
          </w:tcPr>
          <w:p w14:paraId="13E6008C">
            <w:pPr>
              <w:pStyle w:val="12"/>
              <w:ind w:firstLine="0" w:firstLineChars="0"/>
              <w:jc w:val="center"/>
              <w:rPr>
                <w:rFonts w:hint="default" w:ascii="Times New Roman" w:eastAsia="宋体"/>
                <w:kern w:val="2"/>
                <w:sz w:val="21"/>
                <w:szCs w:val="21"/>
                <w:highlight w:val="none"/>
                <w:lang w:val="en-US" w:eastAsia="zh-CN"/>
              </w:rPr>
            </w:pPr>
            <w:r>
              <w:rPr>
                <w:rFonts w:ascii="Times New Roman"/>
                <w:kern w:val="2"/>
                <w:sz w:val="21"/>
                <w:szCs w:val="21"/>
                <w:highlight w:val="none"/>
              </w:rPr>
              <w:t>4</w:t>
            </w:r>
            <w:r>
              <w:rPr>
                <w:rFonts w:hint="eastAsia" w:ascii="Times New Roman"/>
                <w:kern w:val="2"/>
                <w:sz w:val="21"/>
                <w:szCs w:val="21"/>
                <w:highlight w:val="none"/>
                <w:lang w:val="en-US" w:eastAsia="zh-CN"/>
              </w:rPr>
              <w:t>2876</w:t>
            </w:r>
          </w:p>
        </w:tc>
        <w:tc>
          <w:tcPr>
            <w:tcW w:w="262" w:type="pct"/>
            <w:noWrap w:val="0"/>
            <w:vAlign w:val="center"/>
          </w:tcPr>
          <w:p w14:paraId="75A3B1AF">
            <w:pPr>
              <w:jc w:val="center"/>
              <w:rPr>
                <w:rFonts w:hint="default" w:eastAsia="宋体"/>
                <w:sz w:val="21"/>
                <w:szCs w:val="21"/>
                <w:highlight w:val="none"/>
                <w:lang w:val="en-US" w:eastAsia="zh-CN"/>
              </w:rPr>
            </w:pPr>
            <w:r>
              <w:rPr>
                <w:rFonts w:hint="eastAsia"/>
                <w:sz w:val="21"/>
                <w:szCs w:val="21"/>
                <w:highlight w:val="none"/>
                <w:lang w:val="en-US" w:eastAsia="zh-CN"/>
              </w:rPr>
              <w:t>3.2</w:t>
            </w:r>
          </w:p>
          <w:p w14:paraId="5A8F219D">
            <w:pPr>
              <w:jc w:val="center"/>
              <w:rPr>
                <w:rFonts w:hint="default" w:eastAsia="宋体"/>
                <w:sz w:val="21"/>
                <w:szCs w:val="21"/>
                <w:highlight w:val="none"/>
                <w:lang w:val="en-US" w:eastAsia="zh-CN"/>
              </w:rPr>
            </w:pPr>
            <w:r>
              <w:rPr>
                <w:rFonts w:hint="eastAsia"/>
                <w:sz w:val="21"/>
                <w:szCs w:val="21"/>
                <w:highlight w:val="none"/>
                <w:lang w:val="en-US" w:eastAsia="zh-CN"/>
              </w:rPr>
              <w:t>54</w:t>
            </w:r>
          </w:p>
        </w:tc>
        <w:tc>
          <w:tcPr>
            <w:tcW w:w="373" w:type="pct"/>
            <w:noWrap w:val="0"/>
            <w:vAlign w:val="center"/>
          </w:tcPr>
          <w:p w14:paraId="35267F3B">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0.12</w:t>
            </w:r>
          </w:p>
          <w:p w14:paraId="65A0E37A">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w:t>
            </w:r>
          </w:p>
        </w:tc>
        <w:tc>
          <w:tcPr>
            <w:tcW w:w="149" w:type="pct"/>
            <w:noWrap w:val="0"/>
            <w:vAlign w:val="center"/>
          </w:tcPr>
          <w:p w14:paraId="4B7C9285">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598F1916">
            <w:pPr>
              <w:pStyle w:val="12"/>
              <w:ind w:firstLine="0" w:firstLineChars="0"/>
              <w:jc w:val="center"/>
              <w:rPr>
                <w:rFonts w:ascii="Times New Roman"/>
                <w:kern w:val="2"/>
                <w:sz w:val="21"/>
                <w:szCs w:val="21"/>
                <w:highlight w:val="none"/>
              </w:rPr>
            </w:pPr>
            <w:r>
              <w:rPr>
                <w:rFonts w:ascii="Times New Roman"/>
                <w:kern w:val="2"/>
                <w:sz w:val="21"/>
                <w:szCs w:val="21"/>
                <w:highlight w:val="none"/>
              </w:rPr>
              <w:t>53</w:t>
            </w:r>
          </w:p>
        </w:tc>
        <w:tc>
          <w:tcPr>
            <w:tcW w:w="271" w:type="pct"/>
            <w:noWrap w:val="0"/>
            <w:vAlign w:val="center"/>
          </w:tcPr>
          <w:p w14:paraId="6B8657B3">
            <w:pPr>
              <w:pStyle w:val="12"/>
              <w:ind w:firstLine="0" w:firstLineChars="0"/>
              <w:jc w:val="center"/>
              <w:rPr>
                <w:rFonts w:ascii="Times New Roman"/>
                <w:kern w:val="2"/>
                <w:sz w:val="21"/>
                <w:szCs w:val="21"/>
                <w:highlight w:val="none"/>
              </w:rPr>
            </w:pPr>
            <w:r>
              <w:rPr>
                <w:rFonts w:ascii="Times New Roman"/>
                <w:kern w:val="2"/>
                <w:sz w:val="21"/>
                <w:szCs w:val="21"/>
                <w:highlight w:val="none"/>
              </w:rPr>
              <w:t>1.4</w:t>
            </w:r>
          </w:p>
        </w:tc>
        <w:tc>
          <w:tcPr>
            <w:tcW w:w="262" w:type="pct"/>
            <w:noWrap w:val="0"/>
            <w:vAlign w:val="center"/>
          </w:tcPr>
          <w:p w14:paraId="130BDD26">
            <w:pPr>
              <w:jc w:val="center"/>
              <w:rPr>
                <w:sz w:val="21"/>
                <w:szCs w:val="21"/>
                <w:highlight w:val="none"/>
              </w:rPr>
            </w:pPr>
            <w:r>
              <w:rPr>
                <w:sz w:val="21"/>
                <w:szCs w:val="21"/>
                <w:highlight w:val="none"/>
              </w:rPr>
              <w:t>20</w:t>
            </w:r>
          </w:p>
          <w:p w14:paraId="13D59F8E">
            <w:pPr>
              <w:jc w:val="center"/>
              <w:rPr>
                <w:sz w:val="21"/>
                <w:szCs w:val="21"/>
                <w:highlight w:val="none"/>
              </w:rPr>
            </w:pPr>
            <w:r>
              <w:rPr>
                <w:sz w:val="21"/>
                <w:szCs w:val="21"/>
                <w:highlight w:val="none"/>
              </w:rPr>
              <w:t>1</w:t>
            </w:r>
            <w:r>
              <w:rPr>
                <w:rFonts w:hint="eastAsia"/>
                <w:sz w:val="21"/>
                <w:szCs w:val="21"/>
                <w:highlight w:val="none"/>
                <w:lang w:val="en-US" w:eastAsia="zh-CN"/>
              </w:rPr>
              <w:t>5</w:t>
            </w:r>
            <w:r>
              <w:rPr>
                <w:sz w:val="21"/>
                <w:szCs w:val="21"/>
                <w:highlight w:val="none"/>
              </w:rPr>
              <w:t>0</w:t>
            </w:r>
          </w:p>
        </w:tc>
        <w:tc>
          <w:tcPr>
            <w:tcW w:w="418" w:type="pct"/>
            <w:noWrap w:val="0"/>
            <w:vAlign w:val="center"/>
          </w:tcPr>
          <w:p w14:paraId="1690E9A2">
            <w:pPr>
              <w:jc w:val="center"/>
              <w:rPr>
                <w:sz w:val="21"/>
                <w:szCs w:val="21"/>
                <w:highlight w:val="none"/>
              </w:rPr>
            </w:pPr>
            <w:r>
              <w:rPr>
                <w:sz w:val="21"/>
                <w:szCs w:val="21"/>
                <w:highlight w:val="none"/>
              </w:rPr>
              <w:t>/</w:t>
            </w:r>
          </w:p>
        </w:tc>
        <w:tc>
          <w:tcPr>
            <w:tcW w:w="260" w:type="pct"/>
            <w:noWrap w:val="0"/>
            <w:vAlign w:val="center"/>
          </w:tcPr>
          <w:p w14:paraId="294C98AA">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273A6E80">
            <w:pPr>
              <w:pStyle w:val="12"/>
              <w:ind w:firstLine="0" w:firstLineChars="0"/>
              <w:jc w:val="center"/>
              <w:rPr>
                <w:rFonts w:ascii="Times New Roman"/>
                <w:kern w:val="2"/>
                <w:sz w:val="21"/>
                <w:szCs w:val="21"/>
                <w:highlight w:val="none"/>
              </w:rPr>
            </w:pPr>
            <w:r>
              <w:rPr>
                <w:rFonts w:ascii="Times New Roman"/>
                <w:kern w:val="2"/>
                <w:sz w:val="21"/>
                <w:szCs w:val="21"/>
                <w:highlight w:val="none"/>
              </w:rPr>
              <w:t>《石油炼制工业污染物排放标准》（GB31570-2015）表4大气污染物特别排放限值</w:t>
            </w:r>
          </w:p>
        </w:tc>
      </w:tr>
      <w:tr w14:paraId="5A1A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362DA68D">
            <w:pPr>
              <w:widowControl/>
              <w:snapToGrid w:val="0"/>
              <w:jc w:val="center"/>
              <w:rPr>
                <w:sz w:val="21"/>
                <w:szCs w:val="21"/>
                <w:highlight w:val="none"/>
              </w:rPr>
            </w:pPr>
          </w:p>
        </w:tc>
        <w:tc>
          <w:tcPr>
            <w:tcW w:w="339" w:type="pct"/>
            <w:gridSpan w:val="2"/>
            <w:noWrap w:val="0"/>
            <w:vAlign w:val="center"/>
          </w:tcPr>
          <w:p w14:paraId="2DE83F70">
            <w:pPr>
              <w:pStyle w:val="12"/>
              <w:ind w:firstLine="0" w:firstLineChars="0"/>
              <w:jc w:val="center"/>
              <w:rPr>
                <w:rFonts w:ascii="Times New Roman"/>
                <w:kern w:val="2"/>
                <w:sz w:val="21"/>
                <w:szCs w:val="21"/>
                <w:highlight w:val="none"/>
              </w:rPr>
            </w:pPr>
            <w:r>
              <w:rPr>
                <w:rFonts w:ascii="Times New Roman"/>
                <w:kern w:val="2"/>
                <w:sz w:val="21"/>
                <w:szCs w:val="21"/>
                <w:highlight w:val="none"/>
              </w:rPr>
              <w:t>尾气转化单元</w:t>
            </w:r>
          </w:p>
        </w:tc>
        <w:tc>
          <w:tcPr>
            <w:tcW w:w="454" w:type="pct"/>
            <w:gridSpan w:val="2"/>
            <w:noWrap w:val="0"/>
            <w:vAlign w:val="center"/>
          </w:tcPr>
          <w:p w14:paraId="7391BF89">
            <w:pPr>
              <w:pStyle w:val="12"/>
              <w:ind w:firstLine="0" w:firstLineChars="0"/>
              <w:jc w:val="center"/>
              <w:rPr>
                <w:rFonts w:ascii="Times New Roman"/>
                <w:kern w:val="2"/>
                <w:sz w:val="21"/>
                <w:szCs w:val="21"/>
                <w:highlight w:val="none"/>
              </w:rPr>
            </w:pPr>
            <w:r>
              <w:rPr>
                <w:rFonts w:ascii="Times New Roman"/>
                <w:kern w:val="2"/>
                <w:sz w:val="21"/>
                <w:szCs w:val="21"/>
                <w:highlight w:val="none"/>
              </w:rPr>
              <w:t>加热炉烟气</w:t>
            </w:r>
          </w:p>
        </w:tc>
        <w:tc>
          <w:tcPr>
            <w:tcW w:w="294" w:type="pct"/>
            <w:noWrap w:val="0"/>
            <w:vAlign w:val="center"/>
          </w:tcPr>
          <w:p w14:paraId="2556F6C4">
            <w:pPr>
              <w:jc w:val="center"/>
              <w:rPr>
                <w:sz w:val="21"/>
                <w:szCs w:val="21"/>
                <w:highlight w:val="none"/>
              </w:rPr>
            </w:pPr>
            <w:r>
              <w:rPr>
                <w:sz w:val="21"/>
                <w:szCs w:val="21"/>
                <w:highlight w:val="none"/>
              </w:rPr>
              <w:t>烟尘</w:t>
            </w:r>
          </w:p>
          <w:p w14:paraId="415562FF">
            <w:pPr>
              <w:jc w:val="center"/>
              <w:rPr>
                <w:sz w:val="21"/>
                <w:szCs w:val="21"/>
                <w:highlight w:val="none"/>
              </w:rPr>
            </w:pPr>
            <w:r>
              <w:rPr>
                <w:sz w:val="21"/>
                <w:szCs w:val="21"/>
                <w:highlight w:val="none"/>
              </w:rPr>
              <w:t>NOx</w:t>
            </w:r>
          </w:p>
        </w:tc>
        <w:tc>
          <w:tcPr>
            <w:tcW w:w="401" w:type="pct"/>
            <w:noWrap w:val="0"/>
            <w:vAlign w:val="center"/>
          </w:tcPr>
          <w:p w14:paraId="21866478">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sz w:val="21"/>
                <w:szCs w:val="21"/>
                <w:highlight w:val="none"/>
                <w:lang w:val="en-US" w:eastAsia="zh-CN"/>
              </w:rPr>
              <w:t>29041</w:t>
            </w:r>
          </w:p>
        </w:tc>
        <w:tc>
          <w:tcPr>
            <w:tcW w:w="262" w:type="pct"/>
            <w:noWrap w:val="0"/>
            <w:vAlign w:val="center"/>
          </w:tcPr>
          <w:p w14:paraId="5F78B37A">
            <w:pPr>
              <w:jc w:val="center"/>
              <w:rPr>
                <w:rFonts w:hint="default" w:eastAsia="宋体"/>
                <w:sz w:val="21"/>
                <w:szCs w:val="21"/>
                <w:highlight w:val="none"/>
                <w:lang w:val="en-US" w:eastAsia="zh-CN"/>
              </w:rPr>
            </w:pPr>
            <w:r>
              <w:rPr>
                <w:rFonts w:hint="eastAsia"/>
                <w:sz w:val="21"/>
                <w:szCs w:val="21"/>
                <w:highlight w:val="none"/>
                <w:lang w:val="en-US" w:eastAsia="zh-CN"/>
              </w:rPr>
              <w:t>3.6</w:t>
            </w:r>
          </w:p>
          <w:p w14:paraId="4B136434">
            <w:pPr>
              <w:jc w:val="center"/>
              <w:rPr>
                <w:rFonts w:hint="default" w:eastAsia="宋体"/>
                <w:sz w:val="21"/>
                <w:szCs w:val="21"/>
                <w:highlight w:val="none"/>
                <w:lang w:val="en-US" w:eastAsia="zh-CN"/>
              </w:rPr>
            </w:pPr>
            <w:r>
              <w:rPr>
                <w:rFonts w:hint="eastAsia"/>
                <w:sz w:val="21"/>
                <w:szCs w:val="21"/>
                <w:highlight w:val="none"/>
                <w:lang w:val="en-US" w:eastAsia="zh-CN"/>
              </w:rPr>
              <w:t>70</w:t>
            </w:r>
          </w:p>
        </w:tc>
        <w:tc>
          <w:tcPr>
            <w:tcW w:w="373" w:type="pct"/>
            <w:noWrap w:val="0"/>
            <w:vAlign w:val="center"/>
          </w:tcPr>
          <w:p w14:paraId="241DDB4B">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0.065</w:t>
            </w:r>
          </w:p>
          <w:p w14:paraId="448A8463">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1.3</w:t>
            </w:r>
          </w:p>
        </w:tc>
        <w:tc>
          <w:tcPr>
            <w:tcW w:w="149" w:type="pct"/>
            <w:noWrap w:val="0"/>
            <w:vAlign w:val="center"/>
          </w:tcPr>
          <w:p w14:paraId="3BD87C64">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5EC98E6E">
            <w:pPr>
              <w:pStyle w:val="12"/>
              <w:ind w:firstLine="0" w:firstLineChars="0"/>
              <w:jc w:val="center"/>
              <w:rPr>
                <w:rFonts w:ascii="Times New Roman"/>
                <w:kern w:val="2"/>
                <w:sz w:val="21"/>
                <w:szCs w:val="21"/>
                <w:highlight w:val="none"/>
              </w:rPr>
            </w:pPr>
            <w:r>
              <w:rPr>
                <w:rFonts w:ascii="Times New Roman"/>
                <w:kern w:val="2"/>
                <w:sz w:val="21"/>
                <w:szCs w:val="21"/>
                <w:highlight w:val="none"/>
              </w:rPr>
              <w:t>60</w:t>
            </w:r>
          </w:p>
        </w:tc>
        <w:tc>
          <w:tcPr>
            <w:tcW w:w="271" w:type="pct"/>
            <w:noWrap w:val="0"/>
            <w:vAlign w:val="center"/>
          </w:tcPr>
          <w:p w14:paraId="1BBE121A">
            <w:pPr>
              <w:pStyle w:val="12"/>
              <w:ind w:firstLine="0" w:firstLineChars="0"/>
              <w:jc w:val="center"/>
              <w:rPr>
                <w:rFonts w:ascii="Times New Roman"/>
                <w:kern w:val="2"/>
                <w:sz w:val="21"/>
                <w:szCs w:val="21"/>
                <w:highlight w:val="none"/>
              </w:rPr>
            </w:pPr>
            <w:r>
              <w:rPr>
                <w:rFonts w:ascii="Times New Roman"/>
                <w:kern w:val="2"/>
                <w:sz w:val="21"/>
                <w:szCs w:val="21"/>
                <w:highlight w:val="none"/>
              </w:rPr>
              <w:t>0.8</w:t>
            </w:r>
          </w:p>
        </w:tc>
        <w:tc>
          <w:tcPr>
            <w:tcW w:w="262" w:type="pct"/>
            <w:noWrap w:val="0"/>
            <w:vAlign w:val="center"/>
          </w:tcPr>
          <w:p w14:paraId="2D650882">
            <w:pPr>
              <w:jc w:val="center"/>
              <w:rPr>
                <w:sz w:val="21"/>
                <w:szCs w:val="21"/>
                <w:highlight w:val="none"/>
              </w:rPr>
            </w:pPr>
            <w:r>
              <w:rPr>
                <w:sz w:val="21"/>
                <w:szCs w:val="21"/>
                <w:highlight w:val="none"/>
              </w:rPr>
              <w:t>20</w:t>
            </w:r>
          </w:p>
          <w:p w14:paraId="2EB14A7C">
            <w:pPr>
              <w:jc w:val="center"/>
              <w:rPr>
                <w:sz w:val="21"/>
                <w:szCs w:val="21"/>
                <w:highlight w:val="none"/>
              </w:rPr>
            </w:pPr>
            <w:r>
              <w:rPr>
                <w:sz w:val="21"/>
                <w:szCs w:val="21"/>
                <w:highlight w:val="none"/>
              </w:rPr>
              <w:t>1</w:t>
            </w:r>
            <w:r>
              <w:rPr>
                <w:rFonts w:hint="eastAsia"/>
                <w:sz w:val="21"/>
                <w:szCs w:val="21"/>
                <w:highlight w:val="none"/>
                <w:lang w:val="en-US" w:eastAsia="zh-CN"/>
              </w:rPr>
              <w:t>5</w:t>
            </w:r>
            <w:r>
              <w:rPr>
                <w:sz w:val="21"/>
                <w:szCs w:val="21"/>
                <w:highlight w:val="none"/>
              </w:rPr>
              <w:t>0</w:t>
            </w:r>
          </w:p>
        </w:tc>
        <w:tc>
          <w:tcPr>
            <w:tcW w:w="418" w:type="pct"/>
            <w:noWrap w:val="0"/>
            <w:vAlign w:val="center"/>
          </w:tcPr>
          <w:p w14:paraId="45D9E0C2">
            <w:pPr>
              <w:jc w:val="center"/>
              <w:rPr>
                <w:sz w:val="21"/>
                <w:szCs w:val="21"/>
                <w:highlight w:val="none"/>
              </w:rPr>
            </w:pPr>
            <w:r>
              <w:rPr>
                <w:sz w:val="21"/>
                <w:szCs w:val="21"/>
                <w:highlight w:val="none"/>
              </w:rPr>
              <w:t>/</w:t>
            </w:r>
          </w:p>
        </w:tc>
        <w:tc>
          <w:tcPr>
            <w:tcW w:w="260" w:type="pct"/>
            <w:noWrap w:val="0"/>
            <w:vAlign w:val="center"/>
          </w:tcPr>
          <w:p w14:paraId="4854E828">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7464E9E5">
            <w:pPr>
              <w:pStyle w:val="12"/>
              <w:ind w:firstLine="0" w:firstLineChars="0"/>
              <w:jc w:val="center"/>
              <w:rPr>
                <w:rFonts w:ascii="Times New Roman"/>
                <w:kern w:val="2"/>
                <w:sz w:val="21"/>
                <w:szCs w:val="21"/>
                <w:highlight w:val="none"/>
              </w:rPr>
            </w:pPr>
            <w:r>
              <w:rPr>
                <w:rFonts w:ascii="Times New Roman"/>
                <w:kern w:val="2"/>
                <w:sz w:val="21"/>
                <w:szCs w:val="21"/>
                <w:highlight w:val="none"/>
              </w:rPr>
              <w:t>《石油炼制工业污染物排放标准》（GB31570-2015）表4大气污染物特别排放限值</w:t>
            </w:r>
          </w:p>
        </w:tc>
      </w:tr>
      <w:tr w14:paraId="641F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restart"/>
            <w:noWrap w:val="0"/>
            <w:vAlign w:val="center"/>
          </w:tcPr>
          <w:p w14:paraId="72BA217F">
            <w:pPr>
              <w:widowControl/>
              <w:snapToGrid w:val="0"/>
              <w:jc w:val="center"/>
              <w:rPr>
                <w:sz w:val="21"/>
                <w:szCs w:val="21"/>
                <w:highlight w:val="none"/>
              </w:rPr>
            </w:pPr>
            <w:r>
              <w:rPr>
                <w:sz w:val="21"/>
                <w:szCs w:val="21"/>
                <w:highlight w:val="none"/>
              </w:rPr>
              <w:t>贮运系统</w:t>
            </w:r>
          </w:p>
        </w:tc>
        <w:tc>
          <w:tcPr>
            <w:tcW w:w="339" w:type="pct"/>
            <w:gridSpan w:val="2"/>
            <w:vMerge w:val="restart"/>
            <w:noWrap w:val="0"/>
            <w:vAlign w:val="center"/>
          </w:tcPr>
          <w:p w14:paraId="7E619068">
            <w:pPr>
              <w:pStyle w:val="12"/>
              <w:ind w:firstLine="0" w:firstLineChars="0"/>
              <w:jc w:val="center"/>
              <w:rPr>
                <w:rFonts w:ascii="Times New Roman"/>
                <w:kern w:val="2"/>
                <w:sz w:val="21"/>
                <w:szCs w:val="21"/>
                <w:highlight w:val="none"/>
              </w:rPr>
            </w:pPr>
            <w:r>
              <w:rPr>
                <w:rFonts w:ascii="Times New Roman"/>
                <w:kern w:val="2"/>
                <w:sz w:val="21"/>
                <w:szCs w:val="21"/>
                <w:highlight w:val="none"/>
              </w:rPr>
              <w:t>固体物料储运系统</w:t>
            </w:r>
          </w:p>
        </w:tc>
        <w:tc>
          <w:tcPr>
            <w:tcW w:w="454" w:type="pct"/>
            <w:gridSpan w:val="2"/>
            <w:noWrap w:val="0"/>
            <w:vAlign w:val="center"/>
          </w:tcPr>
          <w:p w14:paraId="21A0E87A">
            <w:pPr>
              <w:pStyle w:val="12"/>
              <w:ind w:firstLine="0" w:firstLineChars="0"/>
              <w:jc w:val="center"/>
              <w:rPr>
                <w:rFonts w:ascii="Times New Roman"/>
                <w:sz w:val="21"/>
                <w:szCs w:val="21"/>
                <w:highlight w:val="none"/>
              </w:rPr>
            </w:pPr>
            <w:r>
              <w:rPr>
                <w:rFonts w:ascii="Times New Roman"/>
                <w:sz w:val="21"/>
                <w:szCs w:val="21"/>
                <w:highlight w:val="none"/>
              </w:rPr>
              <w:t>转运站卸煤、上煤</w:t>
            </w:r>
          </w:p>
        </w:tc>
        <w:tc>
          <w:tcPr>
            <w:tcW w:w="294" w:type="pct"/>
            <w:noWrap w:val="0"/>
            <w:vAlign w:val="center"/>
          </w:tcPr>
          <w:p w14:paraId="7C5F6EB9">
            <w:pPr>
              <w:jc w:val="center"/>
              <w:rPr>
                <w:sz w:val="21"/>
                <w:szCs w:val="21"/>
                <w:highlight w:val="none"/>
              </w:rPr>
            </w:pPr>
            <w:r>
              <w:rPr>
                <w:sz w:val="21"/>
                <w:szCs w:val="21"/>
                <w:highlight w:val="none"/>
              </w:rPr>
              <w:t>颗粒物</w:t>
            </w:r>
          </w:p>
        </w:tc>
        <w:tc>
          <w:tcPr>
            <w:tcW w:w="401" w:type="pct"/>
            <w:noWrap w:val="0"/>
            <w:vAlign w:val="center"/>
          </w:tcPr>
          <w:p w14:paraId="340097F3">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11663</w:t>
            </w:r>
          </w:p>
        </w:tc>
        <w:tc>
          <w:tcPr>
            <w:tcW w:w="262" w:type="pct"/>
            <w:noWrap w:val="0"/>
            <w:vAlign w:val="center"/>
          </w:tcPr>
          <w:p w14:paraId="062C3941">
            <w:pPr>
              <w:jc w:val="center"/>
              <w:rPr>
                <w:rFonts w:hint="default" w:eastAsia="宋体"/>
                <w:sz w:val="21"/>
                <w:szCs w:val="21"/>
                <w:highlight w:val="none"/>
                <w:lang w:val="en-US" w:eastAsia="zh-CN"/>
              </w:rPr>
            </w:pPr>
            <w:r>
              <w:rPr>
                <w:rFonts w:hint="eastAsia"/>
                <w:sz w:val="21"/>
                <w:szCs w:val="21"/>
                <w:highlight w:val="none"/>
                <w:lang w:val="en-US" w:eastAsia="zh-CN"/>
              </w:rPr>
              <w:t>46</w:t>
            </w:r>
          </w:p>
        </w:tc>
        <w:tc>
          <w:tcPr>
            <w:tcW w:w="373" w:type="pct"/>
            <w:noWrap w:val="0"/>
            <w:vAlign w:val="center"/>
          </w:tcPr>
          <w:p w14:paraId="23517B63">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0.53</w:t>
            </w:r>
          </w:p>
        </w:tc>
        <w:tc>
          <w:tcPr>
            <w:tcW w:w="149" w:type="pct"/>
            <w:noWrap w:val="0"/>
            <w:vAlign w:val="center"/>
          </w:tcPr>
          <w:p w14:paraId="68B10F17">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1D812344">
            <w:pPr>
              <w:pStyle w:val="12"/>
              <w:ind w:firstLine="0" w:firstLineChars="0"/>
              <w:jc w:val="center"/>
              <w:rPr>
                <w:rFonts w:ascii="Times New Roman"/>
                <w:kern w:val="2"/>
                <w:sz w:val="21"/>
                <w:szCs w:val="21"/>
                <w:highlight w:val="none"/>
              </w:rPr>
            </w:pPr>
            <w:r>
              <w:rPr>
                <w:rFonts w:ascii="Times New Roman"/>
                <w:kern w:val="2"/>
                <w:sz w:val="21"/>
                <w:szCs w:val="21"/>
                <w:highlight w:val="none"/>
              </w:rPr>
              <w:t>24.5</w:t>
            </w:r>
          </w:p>
        </w:tc>
        <w:tc>
          <w:tcPr>
            <w:tcW w:w="271" w:type="pct"/>
            <w:noWrap w:val="0"/>
            <w:vAlign w:val="center"/>
          </w:tcPr>
          <w:p w14:paraId="51B2D70F">
            <w:pPr>
              <w:pStyle w:val="12"/>
              <w:ind w:firstLine="0" w:firstLineChars="0"/>
              <w:jc w:val="center"/>
              <w:rPr>
                <w:rFonts w:ascii="Times New Roman"/>
                <w:kern w:val="2"/>
                <w:sz w:val="21"/>
                <w:szCs w:val="21"/>
                <w:highlight w:val="none"/>
              </w:rPr>
            </w:pPr>
            <w:r>
              <w:rPr>
                <w:rFonts w:ascii="Times New Roman"/>
                <w:kern w:val="2"/>
                <w:sz w:val="21"/>
                <w:szCs w:val="21"/>
                <w:highlight w:val="none"/>
              </w:rPr>
              <w:t>1.0</w:t>
            </w:r>
          </w:p>
        </w:tc>
        <w:tc>
          <w:tcPr>
            <w:tcW w:w="262" w:type="pct"/>
            <w:noWrap w:val="0"/>
            <w:vAlign w:val="center"/>
          </w:tcPr>
          <w:p w14:paraId="7AF5242E">
            <w:pPr>
              <w:jc w:val="center"/>
              <w:rPr>
                <w:sz w:val="21"/>
                <w:szCs w:val="21"/>
                <w:highlight w:val="none"/>
              </w:rPr>
            </w:pPr>
            <w:r>
              <w:rPr>
                <w:sz w:val="21"/>
                <w:szCs w:val="21"/>
                <w:highlight w:val="none"/>
              </w:rPr>
              <w:t>120</w:t>
            </w:r>
          </w:p>
        </w:tc>
        <w:tc>
          <w:tcPr>
            <w:tcW w:w="418" w:type="pct"/>
            <w:noWrap w:val="0"/>
            <w:vAlign w:val="center"/>
          </w:tcPr>
          <w:p w14:paraId="2B73E2DF">
            <w:pPr>
              <w:jc w:val="center"/>
              <w:rPr>
                <w:rFonts w:hint="default" w:eastAsia="宋体"/>
                <w:sz w:val="21"/>
                <w:szCs w:val="21"/>
                <w:highlight w:val="none"/>
                <w:lang w:val="en-US" w:eastAsia="zh-CN"/>
              </w:rPr>
            </w:pPr>
            <w:r>
              <w:rPr>
                <w:rFonts w:hint="eastAsia"/>
                <w:sz w:val="21"/>
                <w:szCs w:val="21"/>
                <w:highlight w:val="none"/>
                <w:lang w:val="en-US" w:eastAsia="zh-CN"/>
              </w:rPr>
              <w:t>5.7</w:t>
            </w:r>
          </w:p>
        </w:tc>
        <w:tc>
          <w:tcPr>
            <w:tcW w:w="260" w:type="pct"/>
            <w:noWrap w:val="0"/>
            <w:vAlign w:val="center"/>
          </w:tcPr>
          <w:p w14:paraId="05E671AA">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1C1E1F1E">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6518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B810DCE">
            <w:pPr>
              <w:widowControl/>
              <w:snapToGrid w:val="0"/>
              <w:jc w:val="center"/>
              <w:rPr>
                <w:sz w:val="21"/>
                <w:szCs w:val="21"/>
                <w:highlight w:val="none"/>
              </w:rPr>
            </w:pPr>
          </w:p>
        </w:tc>
        <w:tc>
          <w:tcPr>
            <w:tcW w:w="339" w:type="pct"/>
            <w:gridSpan w:val="2"/>
            <w:vMerge w:val="continue"/>
            <w:noWrap w:val="0"/>
            <w:vAlign w:val="center"/>
          </w:tcPr>
          <w:p w14:paraId="6FEBD7D8">
            <w:pPr>
              <w:pStyle w:val="12"/>
              <w:ind w:firstLine="0" w:firstLineChars="0"/>
              <w:jc w:val="center"/>
              <w:rPr>
                <w:rFonts w:ascii="Times New Roman"/>
                <w:kern w:val="2"/>
                <w:sz w:val="21"/>
                <w:szCs w:val="21"/>
                <w:highlight w:val="none"/>
              </w:rPr>
            </w:pPr>
          </w:p>
        </w:tc>
        <w:tc>
          <w:tcPr>
            <w:tcW w:w="454" w:type="pct"/>
            <w:gridSpan w:val="2"/>
            <w:noWrap w:val="0"/>
            <w:vAlign w:val="center"/>
          </w:tcPr>
          <w:p w14:paraId="1B1D64F5">
            <w:pPr>
              <w:pStyle w:val="12"/>
              <w:ind w:firstLine="0" w:firstLineChars="0"/>
              <w:jc w:val="center"/>
              <w:rPr>
                <w:rFonts w:ascii="Times New Roman"/>
                <w:kern w:val="2"/>
                <w:sz w:val="21"/>
                <w:szCs w:val="21"/>
                <w:highlight w:val="none"/>
              </w:rPr>
            </w:pPr>
            <w:r>
              <w:rPr>
                <w:rFonts w:ascii="Times New Roman"/>
                <w:kern w:val="2"/>
                <w:sz w:val="21"/>
                <w:szCs w:val="21"/>
                <w:highlight w:val="none"/>
              </w:rPr>
              <w:t>5号皮带栈廊机尾</w:t>
            </w:r>
          </w:p>
        </w:tc>
        <w:tc>
          <w:tcPr>
            <w:tcW w:w="294" w:type="pct"/>
            <w:noWrap w:val="0"/>
            <w:vAlign w:val="center"/>
          </w:tcPr>
          <w:p w14:paraId="24FB600A">
            <w:pPr>
              <w:jc w:val="center"/>
              <w:rPr>
                <w:sz w:val="21"/>
                <w:szCs w:val="21"/>
                <w:highlight w:val="none"/>
              </w:rPr>
            </w:pPr>
            <w:r>
              <w:rPr>
                <w:sz w:val="21"/>
                <w:szCs w:val="21"/>
                <w:highlight w:val="none"/>
              </w:rPr>
              <w:t>颗粒物</w:t>
            </w:r>
          </w:p>
        </w:tc>
        <w:tc>
          <w:tcPr>
            <w:tcW w:w="401" w:type="pct"/>
            <w:noWrap w:val="0"/>
            <w:vAlign w:val="center"/>
          </w:tcPr>
          <w:p w14:paraId="74872069">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16557</w:t>
            </w:r>
          </w:p>
        </w:tc>
        <w:tc>
          <w:tcPr>
            <w:tcW w:w="262" w:type="pct"/>
            <w:noWrap w:val="0"/>
            <w:vAlign w:val="center"/>
          </w:tcPr>
          <w:p w14:paraId="32FA3EBE">
            <w:pPr>
              <w:jc w:val="center"/>
              <w:rPr>
                <w:rFonts w:hint="default" w:eastAsia="宋体"/>
                <w:sz w:val="21"/>
                <w:szCs w:val="21"/>
                <w:highlight w:val="none"/>
                <w:lang w:val="en-US" w:eastAsia="zh-CN"/>
              </w:rPr>
            </w:pPr>
            <w:r>
              <w:rPr>
                <w:rFonts w:hint="eastAsia"/>
                <w:sz w:val="21"/>
                <w:szCs w:val="21"/>
                <w:highlight w:val="none"/>
                <w:lang w:val="en-US" w:eastAsia="zh-CN"/>
              </w:rPr>
              <w:t>19</w:t>
            </w:r>
          </w:p>
        </w:tc>
        <w:tc>
          <w:tcPr>
            <w:tcW w:w="373" w:type="pct"/>
            <w:noWrap w:val="0"/>
            <w:vAlign w:val="center"/>
          </w:tcPr>
          <w:p w14:paraId="64B075A9">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0.31</w:t>
            </w:r>
          </w:p>
        </w:tc>
        <w:tc>
          <w:tcPr>
            <w:tcW w:w="149" w:type="pct"/>
            <w:noWrap w:val="0"/>
            <w:vAlign w:val="center"/>
          </w:tcPr>
          <w:p w14:paraId="0DA92669">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4449225A">
            <w:pPr>
              <w:pStyle w:val="12"/>
              <w:ind w:firstLine="0" w:firstLineChars="0"/>
              <w:jc w:val="center"/>
              <w:rPr>
                <w:rFonts w:ascii="Times New Roman"/>
                <w:kern w:val="2"/>
                <w:sz w:val="21"/>
                <w:szCs w:val="21"/>
                <w:highlight w:val="none"/>
              </w:rPr>
            </w:pPr>
            <w:r>
              <w:rPr>
                <w:rFonts w:ascii="Times New Roman"/>
                <w:kern w:val="2"/>
                <w:sz w:val="21"/>
                <w:szCs w:val="21"/>
                <w:highlight w:val="none"/>
              </w:rPr>
              <w:t>15</w:t>
            </w:r>
          </w:p>
        </w:tc>
        <w:tc>
          <w:tcPr>
            <w:tcW w:w="271" w:type="pct"/>
            <w:noWrap w:val="0"/>
            <w:vAlign w:val="center"/>
          </w:tcPr>
          <w:p w14:paraId="77A39FC8">
            <w:pPr>
              <w:pStyle w:val="12"/>
              <w:ind w:firstLine="0" w:firstLineChars="0"/>
              <w:jc w:val="center"/>
              <w:rPr>
                <w:rFonts w:ascii="Times New Roman"/>
                <w:kern w:val="2"/>
                <w:sz w:val="21"/>
                <w:szCs w:val="21"/>
                <w:highlight w:val="none"/>
              </w:rPr>
            </w:pPr>
            <w:r>
              <w:rPr>
                <w:rFonts w:ascii="Times New Roman"/>
                <w:kern w:val="2"/>
                <w:sz w:val="21"/>
                <w:szCs w:val="21"/>
                <w:highlight w:val="none"/>
              </w:rPr>
              <w:t>1.0</w:t>
            </w:r>
          </w:p>
        </w:tc>
        <w:tc>
          <w:tcPr>
            <w:tcW w:w="262" w:type="pct"/>
            <w:noWrap w:val="0"/>
            <w:vAlign w:val="center"/>
          </w:tcPr>
          <w:p w14:paraId="38EEC1CC">
            <w:pPr>
              <w:jc w:val="center"/>
              <w:rPr>
                <w:sz w:val="21"/>
                <w:szCs w:val="21"/>
                <w:highlight w:val="none"/>
              </w:rPr>
            </w:pPr>
            <w:r>
              <w:rPr>
                <w:sz w:val="21"/>
                <w:szCs w:val="21"/>
                <w:highlight w:val="none"/>
              </w:rPr>
              <w:t>120</w:t>
            </w:r>
          </w:p>
        </w:tc>
        <w:tc>
          <w:tcPr>
            <w:tcW w:w="418" w:type="pct"/>
            <w:noWrap w:val="0"/>
            <w:vAlign w:val="center"/>
          </w:tcPr>
          <w:p w14:paraId="331FF991">
            <w:pPr>
              <w:jc w:val="center"/>
              <w:rPr>
                <w:sz w:val="21"/>
                <w:szCs w:val="21"/>
                <w:highlight w:val="none"/>
              </w:rPr>
            </w:pPr>
            <w:r>
              <w:rPr>
                <w:sz w:val="21"/>
                <w:szCs w:val="21"/>
                <w:highlight w:val="none"/>
              </w:rPr>
              <w:t>3.5</w:t>
            </w:r>
          </w:p>
        </w:tc>
        <w:tc>
          <w:tcPr>
            <w:tcW w:w="260" w:type="pct"/>
            <w:noWrap w:val="0"/>
            <w:vAlign w:val="center"/>
          </w:tcPr>
          <w:p w14:paraId="360FFDF5">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347D7F04">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03C5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35FCB9AF">
            <w:pPr>
              <w:widowControl/>
              <w:snapToGrid w:val="0"/>
              <w:jc w:val="center"/>
              <w:rPr>
                <w:sz w:val="21"/>
                <w:szCs w:val="21"/>
                <w:highlight w:val="none"/>
              </w:rPr>
            </w:pPr>
          </w:p>
        </w:tc>
        <w:tc>
          <w:tcPr>
            <w:tcW w:w="339" w:type="pct"/>
            <w:gridSpan w:val="2"/>
            <w:vMerge w:val="continue"/>
            <w:noWrap w:val="0"/>
            <w:vAlign w:val="center"/>
          </w:tcPr>
          <w:p w14:paraId="113A713B">
            <w:pPr>
              <w:pStyle w:val="12"/>
              <w:ind w:firstLine="0" w:firstLineChars="0"/>
              <w:jc w:val="center"/>
              <w:rPr>
                <w:rFonts w:ascii="Times New Roman"/>
                <w:kern w:val="2"/>
                <w:sz w:val="21"/>
                <w:szCs w:val="21"/>
                <w:highlight w:val="none"/>
              </w:rPr>
            </w:pPr>
          </w:p>
        </w:tc>
        <w:tc>
          <w:tcPr>
            <w:tcW w:w="454" w:type="pct"/>
            <w:gridSpan w:val="2"/>
            <w:noWrap w:val="0"/>
            <w:vAlign w:val="center"/>
          </w:tcPr>
          <w:p w14:paraId="3598D246">
            <w:pPr>
              <w:pStyle w:val="12"/>
              <w:ind w:firstLine="0" w:firstLineChars="0"/>
              <w:jc w:val="center"/>
              <w:rPr>
                <w:rFonts w:ascii="Times New Roman"/>
                <w:kern w:val="2"/>
                <w:sz w:val="21"/>
                <w:szCs w:val="21"/>
                <w:highlight w:val="none"/>
              </w:rPr>
            </w:pPr>
            <w:r>
              <w:rPr>
                <w:rFonts w:ascii="Times New Roman"/>
                <w:kern w:val="2"/>
                <w:sz w:val="21"/>
                <w:szCs w:val="21"/>
                <w:highlight w:val="none"/>
              </w:rPr>
              <w:t>7号皮带栈廊机尾</w:t>
            </w:r>
          </w:p>
        </w:tc>
        <w:tc>
          <w:tcPr>
            <w:tcW w:w="294" w:type="pct"/>
            <w:noWrap w:val="0"/>
            <w:vAlign w:val="center"/>
          </w:tcPr>
          <w:p w14:paraId="2AB075C9">
            <w:pPr>
              <w:jc w:val="center"/>
              <w:rPr>
                <w:sz w:val="21"/>
                <w:szCs w:val="21"/>
                <w:highlight w:val="none"/>
              </w:rPr>
            </w:pPr>
            <w:r>
              <w:rPr>
                <w:sz w:val="21"/>
                <w:szCs w:val="21"/>
                <w:highlight w:val="none"/>
              </w:rPr>
              <w:t>颗粒物</w:t>
            </w:r>
          </w:p>
        </w:tc>
        <w:tc>
          <w:tcPr>
            <w:tcW w:w="401" w:type="pct"/>
            <w:noWrap w:val="0"/>
            <w:vAlign w:val="center"/>
          </w:tcPr>
          <w:p w14:paraId="3E3478D3">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9672</w:t>
            </w:r>
          </w:p>
        </w:tc>
        <w:tc>
          <w:tcPr>
            <w:tcW w:w="262" w:type="pct"/>
            <w:noWrap w:val="0"/>
            <w:vAlign w:val="center"/>
          </w:tcPr>
          <w:p w14:paraId="2BF6F3CD">
            <w:pPr>
              <w:jc w:val="center"/>
              <w:rPr>
                <w:rFonts w:hint="default" w:eastAsia="宋体"/>
                <w:sz w:val="21"/>
                <w:szCs w:val="21"/>
                <w:highlight w:val="none"/>
                <w:lang w:val="en-US" w:eastAsia="zh-CN"/>
              </w:rPr>
            </w:pPr>
            <w:r>
              <w:rPr>
                <w:rFonts w:hint="eastAsia"/>
                <w:sz w:val="21"/>
                <w:szCs w:val="21"/>
                <w:highlight w:val="none"/>
                <w:lang w:val="en-US" w:eastAsia="zh-CN"/>
              </w:rPr>
              <w:t>40</w:t>
            </w:r>
          </w:p>
        </w:tc>
        <w:tc>
          <w:tcPr>
            <w:tcW w:w="373" w:type="pct"/>
            <w:noWrap w:val="0"/>
            <w:vAlign w:val="center"/>
          </w:tcPr>
          <w:p w14:paraId="37950730">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0.39</w:t>
            </w:r>
          </w:p>
        </w:tc>
        <w:tc>
          <w:tcPr>
            <w:tcW w:w="149" w:type="pct"/>
            <w:noWrap w:val="0"/>
            <w:vAlign w:val="center"/>
          </w:tcPr>
          <w:p w14:paraId="1D19DC6F">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0A06FBC4">
            <w:pPr>
              <w:pStyle w:val="12"/>
              <w:ind w:firstLine="0" w:firstLineChars="0"/>
              <w:jc w:val="center"/>
              <w:rPr>
                <w:rFonts w:ascii="Times New Roman"/>
                <w:kern w:val="2"/>
                <w:sz w:val="21"/>
                <w:szCs w:val="21"/>
                <w:highlight w:val="none"/>
              </w:rPr>
            </w:pPr>
            <w:r>
              <w:rPr>
                <w:rFonts w:ascii="Times New Roman"/>
                <w:kern w:val="2"/>
                <w:sz w:val="21"/>
                <w:szCs w:val="21"/>
                <w:highlight w:val="none"/>
              </w:rPr>
              <w:t>33</w:t>
            </w:r>
          </w:p>
        </w:tc>
        <w:tc>
          <w:tcPr>
            <w:tcW w:w="271" w:type="pct"/>
            <w:noWrap w:val="0"/>
            <w:vAlign w:val="center"/>
          </w:tcPr>
          <w:p w14:paraId="3FBE5CDF">
            <w:pPr>
              <w:pStyle w:val="12"/>
              <w:ind w:firstLine="0" w:firstLineChars="0"/>
              <w:jc w:val="center"/>
              <w:rPr>
                <w:rFonts w:ascii="Times New Roman"/>
                <w:kern w:val="2"/>
                <w:sz w:val="21"/>
                <w:szCs w:val="21"/>
                <w:highlight w:val="none"/>
              </w:rPr>
            </w:pPr>
            <w:r>
              <w:rPr>
                <w:rFonts w:ascii="Times New Roman"/>
                <w:kern w:val="2"/>
                <w:sz w:val="21"/>
                <w:szCs w:val="21"/>
                <w:highlight w:val="none"/>
              </w:rPr>
              <w:t>1.0</w:t>
            </w:r>
          </w:p>
        </w:tc>
        <w:tc>
          <w:tcPr>
            <w:tcW w:w="262" w:type="pct"/>
            <w:noWrap w:val="0"/>
            <w:vAlign w:val="center"/>
          </w:tcPr>
          <w:p w14:paraId="1C92E60B">
            <w:pPr>
              <w:jc w:val="center"/>
              <w:rPr>
                <w:sz w:val="21"/>
                <w:szCs w:val="21"/>
                <w:highlight w:val="none"/>
              </w:rPr>
            </w:pPr>
            <w:r>
              <w:rPr>
                <w:sz w:val="21"/>
                <w:szCs w:val="21"/>
                <w:highlight w:val="none"/>
              </w:rPr>
              <w:t>120</w:t>
            </w:r>
          </w:p>
        </w:tc>
        <w:tc>
          <w:tcPr>
            <w:tcW w:w="418" w:type="pct"/>
            <w:noWrap w:val="0"/>
            <w:vAlign w:val="center"/>
          </w:tcPr>
          <w:p w14:paraId="01FC4E3D">
            <w:pPr>
              <w:jc w:val="center"/>
              <w:rPr>
                <w:sz w:val="21"/>
                <w:szCs w:val="21"/>
                <w:highlight w:val="none"/>
              </w:rPr>
            </w:pPr>
            <w:r>
              <w:rPr>
                <w:sz w:val="21"/>
                <w:szCs w:val="21"/>
                <w:highlight w:val="none"/>
              </w:rPr>
              <w:t>27.8</w:t>
            </w:r>
          </w:p>
        </w:tc>
        <w:tc>
          <w:tcPr>
            <w:tcW w:w="260" w:type="pct"/>
            <w:noWrap w:val="0"/>
            <w:vAlign w:val="center"/>
          </w:tcPr>
          <w:p w14:paraId="1955C231">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6114D5EF">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6A7A0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0EEEA0A5">
            <w:pPr>
              <w:widowControl/>
              <w:snapToGrid w:val="0"/>
              <w:jc w:val="center"/>
              <w:rPr>
                <w:sz w:val="21"/>
                <w:szCs w:val="21"/>
                <w:highlight w:val="none"/>
              </w:rPr>
            </w:pPr>
          </w:p>
        </w:tc>
        <w:tc>
          <w:tcPr>
            <w:tcW w:w="339" w:type="pct"/>
            <w:gridSpan w:val="2"/>
            <w:vMerge w:val="continue"/>
            <w:noWrap w:val="0"/>
            <w:vAlign w:val="center"/>
          </w:tcPr>
          <w:p w14:paraId="2FE50918">
            <w:pPr>
              <w:pStyle w:val="12"/>
              <w:ind w:firstLine="0" w:firstLineChars="0"/>
              <w:jc w:val="center"/>
              <w:rPr>
                <w:rFonts w:ascii="Times New Roman"/>
                <w:kern w:val="2"/>
                <w:sz w:val="21"/>
                <w:szCs w:val="21"/>
                <w:highlight w:val="none"/>
              </w:rPr>
            </w:pPr>
          </w:p>
        </w:tc>
        <w:tc>
          <w:tcPr>
            <w:tcW w:w="454" w:type="pct"/>
            <w:gridSpan w:val="2"/>
            <w:noWrap w:val="0"/>
            <w:vAlign w:val="center"/>
          </w:tcPr>
          <w:p w14:paraId="71CEA80F">
            <w:pPr>
              <w:pStyle w:val="12"/>
              <w:ind w:firstLine="0" w:firstLineChars="0"/>
              <w:jc w:val="center"/>
              <w:rPr>
                <w:rFonts w:ascii="Times New Roman"/>
                <w:kern w:val="2"/>
                <w:sz w:val="21"/>
                <w:szCs w:val="21"/>
                <w:highlight w:val="none"/>
              </w:rPr>
            </w:pPr>
            <w:r>
              <w:rPr>
                <w:rFonts w:ascii="Times New Roman"/>
                <w:kern w:val="2"/>
                <w:sz w:val="21"/>
                <w:szCs w:val="21"/>
                <w:highlight w:val="none"/>
              </w:rPr>
              <w:t>13号皮带栈廊机尾</w:t>
            </w:r>
          </w:p>
        </w:tc>
        <w:tc>
          <w:tcPr>
            <w:tcW w:w="294" w:type="pct"/>
            <w:noWrap w:val="0"/>
            <w:vAlign w:val="center"/>
          </w:tcPr>
          <w:p w14:paraId="115D6F60">
            <w:pPr>
              <w:jc w:val="center"/>
              <w:rPr>
                <w:sz w:val="21"/>
                <w:szCs w:val="21"/>
                <w:highlight w:val="none"/>
              </w:rPr>
            </w:pPr>
            <w:r>
              <w:rPr>
                <w:sz w:val="21"/>
                <w:szCs w:val="21"/>
                <w:highlight w:val="none"/>
              </w:rPr>
              <w:t>颗粒物</w:t>
            </w:r>
          </w:p>
        </w:tc>
        <w:tc>
          <w:tcPr>
            <w:tcW w:w="401" w:type="pct"/>
            <w:noWrap w:val="0"/>
            <w:vAlign w:val="center"/>
          </w:tcPr>
          <w:p w14:paraId="182D480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13770</w:t>
            </w:r>
          </w:p>
        </w:tc>
        <w:tc>
          <w:tcPr>
            <w:tcW w:w="262" w:type="pct"/>
            <w:noWrap w:val="0"/>
            <w:vAlign w:val="center"/>
          </w:tcPr>
          <w:p w14:paraId="72ACC020">
            <w:pPr>
              <w:jc w:val="center"/>
              <w:rPr>
                <w:rFonts w:hint="default" w:eastAsia="宋体"/>
                <w:sz w:val="21"/>
                <w:szCs w:val="21"/>
                <w:highlight w:val="none"/>
                <w:lang w:val="en-US" w:eastAsia="zh-CN"/>
              </w:rPr>
            </w:pPr>
            <w:r>
              <w:rPr>
                <w:rFonts w:hint="eastAsia"/>
                <w:sz w:val="21"/>
                <w:szCs w:val="21"/>
                <w:highlight w:val="none"/>
                <w:lang w:val="en-US" w:eastAsia="zh-CN"/>
              </w:rPr>
              <w:t>86</w:t>
            </w:r>
          </w:p>
        </w:tc>
        <w:tc>
          <w:tcPr>
            <w:tcW w:w="373" w:type="pct"/>
            <w:noWrap w:val="0"/>
            <w:vAlign w:val="center"/>
          </w:tcPr>
          <w:p w14:paraId="30485F76">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1.2</w:t>
            </w:r>
          </w:p>
        </w:tc>
        <w:tc>
          <w:tcPr>
            <w:tcW w:w="149" w:type="pct"/>
            <w:noWrap w:val="0"/>
            <w:vAlign w:val="center"/>
          </w:tcPr>
          <w:p w14:paraId="7CBFA608">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09D5F70F">
            <w:pPr>
              <w:pStyle w:val="12"/>
              <w:ind w:firstLine="0" w:firstLineChars="0"/>
              <w:jc w:val="center"/>
              <w:rPr>
                <w:rFonts w:ascii="Times New Roman"/>
                <w:kern w:val="2"/>
                <w:sz w:val="21"/>
                <w:szCs w:val="21"/>
                <w:highlight w:val="none"/>
              </w:rPr>
            </w:pPr>
            <w:r>
              <w:rPr>
                <w:rFonts w:ascii="Times New Roman"/>
                <w:kern w:val="2"/>
                <w:sz w:val="21"/>
                <w:szCs w:val="21"/>
                <w:highlight w:val="none"/>
              </w:rPr>
              <w:t>18.5</w:t>
            </w:r>
          </w:p>
        </w:tc>
        <w:tc>
          <w:tcPr>
            <w:tcW w:w="271" w:type="pct"/>
            <w:noWrap w:val="0"/>
            <w:vAlign w:val="center"/>
          </w:tcPr>
          <w:p w14:paraId="672A1B9F">
            <w:pPr>
              <w:pStyle w:val="12"/>
              <w:ind w:firstLine="0" w:firstLineChars="0"/>
              <w:jc w:val="center"/>
              <w:rPr>
                <w:rFonts w:ascii="Times New Roman"/>
                <w:kern w:val="2"/>
                <w:sz w:val="21"/>
                <w:szCs w:val="21"/>
                <w:highlight w:val="none"/>
              </w:rPr>
            </w:pPr>
            <w:r>
              <w:rPr>
                <w:rFonts w:ascii="Times New Roman"/>
                <w:kern w:val="2"/>
                <w:sz w:val="21"/>
                <w:szCs w:val="21"/>
                <w:highlight w:val="none"/>
              </w:rPr>
              <w:t>1.0</w:t>
            </w:r>
          </w:p>
        </w:tc>
        <w:tc>
          <w:tcPr>
            <w:tcW w:w="262" w:type="pct"/>
            <w:noWrap w:val="0"/>
            <w:vAlign w:val="center"/>
          </w:tcPr>
          <w:p w14:paraId="1F27131D">
            <w:pPr>
              <w:jc w:val="center"/>
              <w:rPr>
                <w:sz w:val="21"/>
                <w:szCs w:val="21"/>
                <w:highlight w:val="none"/>
              </w:rPr>
            </w:pPr>
            <w:r>
              <w:rPr>
                <w:sz w:val="21"/>
                <w:szCs w:val="21"/>
                <w:highlight w:val="none"/>
              </w:rPr>
              <w:t>120</w:t>
            </w:r>
          </w:p>
        </w:tc>
        <w:tc>
          <w:tcPr>
            <w:tcW w:w="418" w:type="pct"/>
            <w:noWrap w:val="0"/>
            <w:vAlign w:val="center"/>
          </w:tcPr>
          <w:p w14:paraId="2A6C8318">
            <w:pPr>
              <w:jc w:val="center"/>
              <w:rPr>
                <w:sz w:val="21"/>
                <w:szCs w:val="21"/>
                <w:highlight w:val="none"/>
              </w:rPr>
            </w:pPr>
            <w:r>
              <w:rPr>
                <w:sz w:val="21"/>
                <w:szCs w:val="21"/>
                <w:highlight w:val="none"/>
              </w:rPr>
              <w:t>5.2</w:t>
            </w:r>
          </w:p>
        </w:tc>
        <w:tc>
          <w:tcPr>
            <w:tcW w:w="260" w:type="pct"/>
            <w:noWrap w:val="0"/>
            <w:vAlign w:val="center"/>
          </w:tcPr>
          <w:p w14:paraId="037316F9">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7566D8DD">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4673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031ECDD">
            <w:pPr>
              <w:widowControl/>
              <w:snapToGrid w:val="0"/>
              <w:jc w:val="center"/>
              <w:rPr>
                <w:sz w:val="21"/>
                <w:szCs w:val="21"/>
                <w:highlight w:val="none"/>
              </w:rPr>
            </w:pPr>
          </w:p>
        </w:tc>
        <w:tc>
          <w:tcPr>
            <w:tcW w:w="339" w:type="pct"/>
            <w:gridSpan w:val="2"/>
            <w:vMerge w:val="continue"/>
            <w:noWrap w:val="0"/>
            <w:vAlign w:val="center"/>
          </w:tcPr>
          <w:p w14:paraId="3CD4267A">
            <w:pPr>
              <w:pStyle w:val="12"/>
              <w:ind w:firstLine="0" w:firstLineChars="0"/>
              <w:jc w:val="center"/>
              <w:rPr>
                <w:rFonts w:ascii="Times New Roman"/>
                <w:kern w:val="2"/>
                <w:sz w:val="21"/>
                <w:szCs w:val="21"/>
                <w:highlight w:val="none"/>
              </w:rPr>
            </w:pPr>
          </w:p>
        </w:tc>
        <w:tc>
          <w:tcPr>
            <w:tcW w:w="454" w:type="pct"/>
            <w:gridSpan w:val="2"/>
            <w:noWrap w:val="0"/>
            <w:vAlign w:val="center"/>
          </w:tcPr>
          <w:p w14:paraId="4D018FAE">
            <w:pPr>
              <w:pStyle w:val="12"/>
              <w:ind w:firstLine="0" w:firstLineChars="0"/>
              <w:jc w:val="center"/>
              <w:rPr>
                <w:rFonts w:ascii="Times New Roman"/>
                <w:kern w:val="2"/>
                <w:sz w:val="21"/>
                <w:szCs w:val="21"/>
                <w:highlight w:val="none"/>
              </w:rPr>
            </w:pPr>
            <w:r>
              <w:rPr>
                <w:rFonts w:ascii="Times New Roman"/>
                <w:kern w:val="2"/>
                <w:sz w:val="21"/>
                <w:szCs w:val="21"/>
                <w:highlight w:val="none"/>
              </w:rPr>
              <w:t>15号皮带栈廊机尾</w:t>
            </w:r>
          </w:p>
        </w:tc>
        <w:tc>
          <w:tcPr>
            <w:tcW w:w="294" w:type="pct"/>
            <w:noWrap w:val="0"/>
            <w:vAlign w:val="center"/>
          </w:tcPr>
          <w:p w14:paraId="674D00B6">
            <w:pPr>
              <w:jc w:val="center"/>
              <w:rPr>
                <w:sz w:val="21"/>
                <w:szCs w:val="21"/>
                <w:highlight w:val="none"/>
              </w:rPr>
            </w:pPr>
            <w:r>
              <w:rPr>
                <w:sz w:val="21"/>
                <w:szCs w:val="21"/>
                <w:highlight w:val="none"/>
              </w:rPr>
              <w:t>颗粒物</w:t>
            </w:r>
          </w:p>
        </w:tc>
        <w:tc>
          <w:tcPr>
            <w:tcW w:w="401" w:type="pct"/>
            <w:noWrap w:val="0"/>
            <w:vAlign w:val="center"/>
          </w:tcPr>
          <w:p w14:paraId="1EB705E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17724</w:t>
            </w:r>
          </w:p>
        </w:tc>
        <w:tc>
          <w:tcPr>
            <w:tcW w:w="262" w:type="pct"/>
            <w:noWrap w:val="0"/>
            <w:vAlign w:val="center"/>
          </w:tcPr>
          <w:p w14:paraId="76863B24">
            <w:pPr>
              <w:jc w:val="center"/>
              <w:rPr>
                <w:rFonts w:hint="default" w:eastAsia="宋体"/>
                <w:sz w:val="21"/>
                <w:szCs w:val="21"/>
                <w:highlight w:val="none"/>
                <w:lang w:val="en-US" w:eastAsia="zh-CN"/>
              </w:rPr>
            </w:pPr>
            <w:r>
              <w:rPr>
                <w:rFonts w:hint="eastAsia"/>
                <w:sz w:val="21"/>
                <w:szCs w:val="21"/>
                <w:highlight w:val="none"/>
                <w:lang w:val="en-US" w:eastAsia="zh-CN"/>
              </w:rPr>
              <w:t>19</w:t>
            </w:r>
          </w:p>
        </w:tc>
        <w:tc>
          <w:tcPr>
            <w:tcW w:w="373" w:type="pct"/>
            <w:noWrap w:val="0"/>
            <w:vAlign w:val="center"/>
          </w:tcPr>
          <w:p w14:paraId="166D052E">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0.33</w:t>
            </w:r>
          </w:p>
        </w:tc>
        <w:tc>
          <w:tcPr>
            <w:tcW w:w="149" w:type="pct"/>
            <w:noWrap w:val="0"/>
            <w:vAlign w:val="center"/>
          </w:tcPr>
          <w:p w14:paraId="679DD79B">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7AACA3C0">
            <w:pPr>
              <w:pStyle w:val="12"/>
              <w:ind w:firstLine="0" w:firstLineChars="0"/>
              <w:jc w:val="center"/>
              <w:rPr>
                <w:rFonts w:ascii="Times New Roman"/>
                <w:kern w:val="2"/>
                <w:sz w:val="21"/>
                <w:szCs w:val="21"/>
                <w:highlight w:val="none"/>
              </w:rPr>
            </w:pPr>
            <w:r>
              <w:rPr>
                <w:rFonts w:ascii="Times New Roman"/>
                <w:kern w:val="2"/>
                <w:sz w:val="21"/>
                <w:szCs w:val="21"/>
                <w:highlight w:val="none"/>
              </w:rPr>
              <w:t>15.9</w:t>
            </w:r>
          </w:p>
        </w:tc>
        <w:tc>
          <w:tcPr>
            <w:tcW w:w="271" w:type="pct"/>
            <w:noWrap w:val="0"/>
            <w:vAlign w:val="center"/>
          </w:tcPr>
          <w:p w14:paraId="0B5093EC">
            <w:pPr>
              <w:pStyle w:val="12"/>
              <w:ind w:firstLine="0" w:firstLineChars="0"/>
              <w:jc w:val="center"/>
              <w:rPr>
                <w:rFonts w:ascii="Times New Roman"/>
                <w:kern w:val="2"/>
                <w:sz w:val="21"/>
                <w:szCs w:val="21"/>
                <w:highlight w:val="none"/>
              </w:rPr>
            </w:pPr>
            <w:r>
              <w:rPr>
                <w:rFonts w:ascii="Times New Roman"/>
                <w:kern w:val="2"/>
                <w:sz w:val="21"/>
                <w:szCs w:val="21"/>
                <w:highlight w:val="none"/>
              </w:rPr>
              <w:t>1.0</w:t>
            </w:r>
          </w:p>
        </w:tc>
        <w:tc>
          <w:tcPr>
            <w:tcW w:w="262" w:type="pct"/>
            <w:noWrap w:val="0"/>
            <w:vAlign w:val="center"/>
          </w:tcPr>
          <w:p w14:paraId="0599363F">
            <w:pPr>
              <w:jc w:val="center"/>
              <w:rPr>
                <w:sz w:val="21"/>
                <w:szCs w:val="21"/>
                <w:highlight w:val="none"/>
              </w:rPr>
            </w:pPr>
            <w:r>
              <w:rPr>
                <w:sz w:val="21"/>
                <w:szCs w:val="21"/>
                <w:highlight w:val="none"/>
              </w:rPr>
              <w:t>120</w:t>
            </w:r>
          </w:p>
        </w:tc>
        <w:tc>
          <w:tcPr>
            <w:tcW w:w="418" w:type="pct"/>
            <w:noWrap w:val="0"/>
            <w:vAlign w:val="center"/>
          </w:tcPr>
          <w:p w14:paraId="028F626E">
            <w:pPr>
              <w:jc w:val="center"/>
              <w:rPr>
                <w:sz w:val="21"/>
                <w:szCs w:val="21"/>
                <w:highlight w:val="none"/>
              </w:rPr>
            </w:pPr>
            <w:r>
              <w:rPr>
                <w:sz w:val="21"/>
                <w:szCs w:val="21"/>
                <w:highlight w:val="none"/>
              </w:rPr>
              <w:t>3.9</w:t>
            </w:r>
          </w:p>
        </w:tc>
        <w:tc>
          <w:tcPr>
            <w:tcW w:w="260" w:type="pct"/>
            <w:noWrap w:val="0"/>
            <w:vAlign w:val="center"/>
          </w:tcPr>
          <w:p w14:paraId="4FCDB4E5">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3107DCE9">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36A7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6C837B08">
            <w:pPr>
              <w:widowControl/>
              <w:snapToGrid w:val="0"/>
              <w:jc w:val="center"/>
              <w:rPr>
                <w:sz w:val="21"/>
                <w:szCs w:val="21"/>
                <w:highlight w:val="none"/>
              </w:rPr>
            </w:pPr>
          </w:p>
        </w:tc>
        <w:tc>
          <w:tcPr>
            <w:tcW w:w="339" w:type="pct"/>
            <w:gridSpan w:val="2"/>
            <w:vMerge w:val="continue"/>
            <w:noWrap w:val="0"/>
            <w:vAlign w:val="center"/>
          </w:tcPr>
          <w:p w14:paraId="348B5C92">
            <w:pPr>
              <w:pStyle w:val="12"/>
              <w:ind w:firstLine="0" w:firstLineChars="0"/>
              <w:jc w:val="center"/>
              <w:rPr>
                <w:rFonts w:ascii="Times New Roman"/>
                <w:kern w:val="2"/>
                <w:sz w:val="21"/>
                <w:szCs w:val="21"/>
                <w:highlight w:val="none"/>
              </w:rPr>
            </w:pPr>
          </w:p>
        </w:tc>
        <w:tc>
          <w:tcPr>
            <w:tcW w:w="454" w:type="pct"/>
            <w:gridSpan w:val="2"/>
            <w:noWrap w:val="0"/>
            <w:vAlign w:val="center"/>
          </w:tcPr>
          <w:p w14:paraId="056FC808">
            <w:pPr>
              <w:pStyle w:val="12"/>
              <w:ind w:firstLine="0" w:firstLineChars="0"/>
              <w:jc w:val="center"/>
              <w:rPr>
                <w:rFonts w:ascii="Times New Roman"/>
                <w:kern w:val="2"/>
                <w:sz w:val="21"/>
                <w:szCs w:val="21"/>
                <w:highlight w:val="none"/>
              </w:rPr>
            </w:pPr>
            <w:r>
              <w:rPr>
                <w:rFonts w:ascii="Times New Roman"/>
                <w:kern w:val="2"/>
                <w:sz w:val="21"/>
                <w:szCs w:val="21"/>
                <w:highlight w:val="none"/>
              </w:rPr>
              <w:t>原料煤破碎楼</w:t>
            </w:r>
          </w:p>
        </w:tc>
        <w:tc>
          <w:tcPr>
            <w:tcW w:w="294" w:type="pct"/>
            <w:noWrap w:val="0"/>
            <w:vAlign w:val="center"/>
          </w:tcPr>
          <w:p w14:paraId="2997CFF9">
            <w:pPr>
              <w:jc w:val="center"/>
              <w:rPr>
                <w:sz w:val="21"/>
                <w:szCs w:val="21"/>
                <w:highlight w:val="none"/>
              </w:rPr>
            </w:pPr>
            <w:r>
              <w:rPr>
                <w:sz w:val="21"/>
                <w:szCs w:val="21"/>
                <w:highlight w:val="none"/>
              </w:rPr>
              <w:t>颗粒物</w:t>
            </w:r>
          </w:p>
        </w:tc>
        <w:tc>
          <w:tcPr>
            <w:tcW w:w="401" w:type="pct"/>
            <w:noWrap w:val="0"/>
            <w:vAlign w:val="center"/>
          </w:tcPr>
          <w:p w14:paraId="4E639DC1">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15637</w:t>
            </w:r>
          </w:p>
        </w:tc>
        <w:tc>
          <w:tcPr>
            <w:tcW w:w="262" w:type="pct"/>
            <w:noWrap w:val="0"/>
            <w:vAlign w:val="center"/>
          </w:tcPr>
          <w:p w14:paraId="4BDAFD45">
            <w:pPr>
              <w:jc w:val="center"/>
              <w:rPr>
                <w:rFonts w:hint="default" w:eastAsia="宋体"/>
                <w:sz w:val="21"/>
                <w:szCs w:val="21"/>
                <w:highlight w:val="none"/>
                <w:lang w:val="en-US" w:eastAsia="zh-CN"/>
              </w:rPr>
            </w:pPr>
            <w:r>
              <w:rPr>
                <w:rFonts w:hint="eastAsia"/>
                <w:sz w:val="21"/>
                <w:szCs w:val="21"/>
                <w:highlight w:val="none"/>
                <w:lang w:val="en-US" w:eastAsia="zh-CN"/>
              </w:rPr>
              <w:t>90</w:t>
            </w:r>
          </w:p>
        </w:tc>
        <w:tc>
          <w:tcPr>
            <w:tcW w:w="373" w:type="pct"/>
            <w:noWrap w:val="0"/>
            <w:vAlign w:val="center"/>
          </w:tcPr>
          <w:p w14:paraId="26907CBA">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1.4</w:t>
            </w:r>
          </w:p>
        </w:tc>
        <w:tc>
          <w:tcPr>
            <w:tcW w:w="149" w:type="pct"/>
            <w:noWrap w:val="0"/>
            <w:vAlign w:val="center"/>
          </w:tcPr>
          <w:p w14:paraId="3C4BF826">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1C338C5F">
            <w:pPr>
              <w:pStyle w:val="12"/>
              <w:ind w:firstLine="0" w:firstLineChars="0"/>
              <w:jc w:val="center"/>
              <w:rPr>
                <w:rFonts w:ascii="Times New Roman"/>
                <w:kern w:val="2"/>
                <w:sz w:val="21"/>
                <w:szCs w:val="21"/>
                <w:highlight w:val="none"/>
              </w:rPr>
            </w:pPr>
            <w:r>
              <w:rPr>
                <w:rFonts w:ascii="Times New Roman"/>
                <w:kern w:val="2"/>
                <w:sz w:val="21"/>
                <w:szCs w:val="21"/>
                <w:highlight w:val="none"/>
              </w:rPr>
              <w:t>15</w:t>
            </w:r>
          </w:p>
        </w:tc>
        <w:tc>
          <w:tcPr>
            <w:tcW w:w="271" w:type="pct"/>
            <w:noWrap w:val="0"/>
            <w:vAlign w:val="center"/>
          </w:tcPr>
          <w:p w14:paraId="1ABD9A4F">
            <w:pPr>
              <w:pStyle w:val="12"/>
              <w:ind w:firstLine="0" w:firstLineChars="0"/>
              <w:jc w:val="center"/>
              <w:rPr>
                <w:rFonts w:ascii="Times New Roman"/>
                <w:kern w:val="2"/>
                <w:sz w:val="21"/>
                <w:szCs w:val="21"/>
                <w:highlight w:val="none"/>
              </w:rPr>
            </w:pPr>
            <w:r>
              <w:rPr>
                <w:rFonts w:ascii="Times New Roman"/>
                <w:kern w:val="2"/>
                <w:sz w:val="21"/>
                <w:szCs w:val="21"/>
                <w:highlight w:val="none"/>
              </w:rPr>
              <w:t>1.0</w:t>
            </w:r>
          </w:p>
        </w:tc>
        <w:tc>
          <w:tcPr>
            <w:tcW w:w="262" w:type="pct"/>
            <w:noWrap w:val="0"/>
            <w:vAlign w:val="center"/>
          </w:tcPr>
          <w:p w14:paraId="3724DDF7">
            <w:pPr>
              <w:jc w:val="center"/>
              <w:rPr>
                <w:sz w:val="21"/>
                <w:szCs w:val="21"/>
                <w:highlight w:val="none"/>
              </w:rPr>
            </w:pPr>
            <w:r>
              <w:rPr>
                <w:sz w:val="21"/>
                <w:szCs w:val="21"/>
                <w:highlight w:val="none"/>
              </w:rPr>
              <w:t>120</w:t>
            </w:r>
          </w:p>
        </w:tc>
        <w:tc>
          <w:tcPr>
            <w:tcW w:w="418" w:type="pct"/>
            <w:noWrap w:val="0"/>
            <w:vAlign w:val="center"/>
          </w:tcPr>
          <w:p w14:paraId="05625C8A">
            <w:pPr>
              <w:jc w:val="center"/>
              <w:rPr>
                <w:sz w:val="21"/>
                <w:szCs w:val="21"/>
                <w:highlight w:val="none"/>
              </w:rPr>
            </w:pPr>
            <w:r>
              <w:rPr>
                <w:sz w:val="21"/>
                <w:szCs w:val="21"/>
                <w:highlight w:val="none"/>
              </w:rPr>
              <w:t>3.5</w:t>
            </w:r>
          </w:p>
        </w:tc>
        <w:tc>
          <w:tcPr>
            <w:tcW w:w="260" w:type="pct"/>
            <w:noWrap w:val="0"/>
            <w:vAlign w:val="center"/>
          </w:tcPr>
          <w:p w14:paraId="4C5AA3FF">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050FB4FD">
            <w:pPr>
              <w:pStyle w:val="12"/>
              <w:ind w:firstLine="0" w:firstLineChars="0"/>
              <w:jc w:val="center"/>
              <w:rPr>
                <w:rFonts w:ascii="Times New Roman"/>
                <w:kern w:val="2"/>
                <w:sz w:val="21"/>
                <w:szCs w:val="21"/>
                <w:highlight w:val="none"/>
              </w:rPr>
            </w:pPr>
            <w:r>
              <w:rPr>
                <w:rFonts w:ascii="Times New Roman"/>
                <w:kern w:val="2"/>
                <w:sz w:val="21"/>
                <w:szCs w:val="21"/>
                <w:highlight w:val="none"/>
              </w:rPr>
              <w:t>《大气污染物综合排放标准》（GB16297-1996）表2二级标准</w:t>
            </w:r>
          </w:p>
        </w:tc>
      </w:tr>
      <w:tr w14:paraId="082A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 w:type="pct"/>
            <w:vMerge w:val="continue"/>
            <w:noWrap w:val="0"/>
            <w:vAlign w:val="center"/>
          </w:tcPr>
          <w:p w14:paraId="5443E5F1">
            <w:pPr>
              <w:widowControl/>
              <w:snapToGrid w:val="0"/>
              <w:jc w:val="center"/>
              <w:rPr>
                <w:sz w:val="21"/>
                <w:szCs w:val="21"/>
                <w:highlight w:val="none"/>
              </w:rPr>
            </w:pPr>
          </w:p>
        </w:tc>
        <w:tc>
          <w:tcPr>
            <w:tcW w:w="339" w:type="pct"/>
            <w:gridSpan w:val="2"/>
            <w:noWrap w:val="0"/>
            <w:vAlign w:val="center"/>
          </w:tcPr>
          <w:p w14:paraId="68467FA6">
            <w:pPr>
              <w:pStyle w:val="12"/>
              <w:ind w:firstLine="0" w:firstLineChars="0"/>
              <w:jc w:val="center"/>
              <w:rPr>
                <w:rFonts w:ascii="Times New Roman"/>
                <w:kern w:val="2"/>
                <w:sz w:val="21"/>
                <w:szCs w:val="21"/>
                <w:highlight w:val="none"/>
              </w:rPr>
            </w:pPr>
            <w:r>
              <w:rPr>
                <w:rFonts w:ascii="Times New Roman"/>
                <w:kern w:val="2"/>
                <w:sz w:val="21"/>
                <w:szCs w:val="21"/>
                <w:highlight w:val="none"/>
              </w:rPr>
              <w:t>汽车装车设施</w:t>
            </w:r>
          </w:p>
        </w:tc>
        <w:tc>
          <w:tcPr>
            <w:tcW w:w="454" w:type="pct"/>
            <w:gridSpan w:val="2"/>
            <w:noWrap w:val="0"/>
            <w:vAlign w:val="center"/>
          </w:tcPr>
          <w:p w14:paraId="5D9BED88">
            <w:pPr>
              <w:pStyle w:val="12"/>
              <w:ind w:firstLine="0" w:firstLineChars="0"/>
              <w:jc w:val="center"/>
              <w:rPr>
                <w:rFonts w:ascii="Times New Roman"/>
                <w:kern w:val="2"/>
                <w:sz w:val="21"/>
                <w:szCs w:val="21"/>
                <w:highlight w:val="none"/>
              </w:rPr>
            </w:pPr>
            <w:r>
              <w:rPr>
                <w:rFonts w:ascii="Times New Roman"/>
                <w:kern w:val="2"/>
                <w:sz w:val="21"/>
                <w:szCs w:val="21"/>
                <w:highlight w:val="none"/>
              </w:rPr>
              <w:t>油气回收装置尾气</w:t>
            </w:r>
          </w:p>
        </w:tc>
        <w:tc>
          <w:tcPr>
            <w:tcW w:w="294" w:type="pct"/>
            <w:noWrap w:val="0"/>
            <w:vAlign w:val="center"/>
          </w:tcPr>
          <w:p w14:paraId="72B5F43F">
            <w:pPr>
              <w:jc w:val="center"/>
              <w:rPr>
                <w:sz w:val="21"/>
                <w:szCs w:val="21"/>
                <w:highlight w:val="none"/>
              </w:rPr>
            </w:pPr>
            <w:r>
              <w:rPr>
                <w:sz w:val="21"/>
                <w:szCs w:val="21"/>
                <w:highlight w:val="none"/>
              </w:rPr>
              <w:t>非甲烷总烃</w:t>
            </w:r>
          </w:p>
        </w:tc>
        <w:tc>
          <w:tcPr>
            <w:tcW w:w="401" w:type="pct"/>
            <w:noWrap w:val="0"/>
            <w:vAlign w:val="center"/>
          </w:tcPr>
          <w:p w14:paraId="7BE9B1E6">
            <w:pPr>
              <w:pStyle w:val="12"/>
              <w:ind w:firstLine="0" w:firstLineChars="0"/>
              <w:jc w:val="center"/>
              <w:rPr>
                <w:rFonts w:ascii="Times New Roman"/>
                <w:kern w:val="2"/>
                <w:sz w:val="21"/>
                <w:szCs w:val="21"/>
                <w:highlight w:val="none"/>
              </w:rPr>
            </w:pPr>
            <w:r>
              <w:rPr>
                <w:rFonts w:ascii="Times New Roman"/>
                <w:kern w:val="2"/>
                <w:sz w:val="21"/>
                <w:szCs w:val="21"/>
                <w:highlight w:val="none"/>
              </w:rPr>
              <w:t>/</w:t>
            </w:r>
          </w:p>
        </w:tc>
        <w:tc>
          <w:tcPr>
            <w:tcW w:w="262" w:type="pct"/>
            <w:noWrap w:val="0"/>
            <w:vAlign w:val="center"/>
          </w:tcPr>
          <w:p w14:paraId="462A20BF">
            <w:pPr>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69.1</w:t>
            </w:r>
          </w:p>
        </w:tc>
        <w:tc>
          <w:tcPr>
            <w:tcW w:w="373" w:type="pct"/>
            <w:noWrap w:val="0"/>
            <w:vAlign w:val="center"/>
          </w:tcPr>
          <w:p w14:paraId="5896D3EC">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noWrap w:val="0"/>
            <w:vAlign w:val="center"/>
          </w:tcPr>
          <w:p w14:paraId="0F58A558">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012815AC">
            <w:pPr>
              <w:pStyle w:val="12"/>
              <w:ind w:firstLine="0" w:firstLineChars="0"/>
              <w:jc w:val="center"/>
              <w:rPr>
                <w:rFonts w:ascii="Times New Roman"/>
                <w:kern w:val="2"/>
                <w:sz w:val="21"/>
                <w:szCs w:val="21"/>
                <w:highlight w:val="none"/>
              </w:rPr>
            </w:pPr>
            <w:r>
              <w:rPr>
                <w:rFonts w:ascii="Times New Roman"/>
                <w:kern w:val="2"/>
                <w:sz w:val="21"/>
                <w:szCs w:val="21"/>
                <w:highlight w:val="none"/>
              </w:rPr>
              <w:t>4</w:t>
            </w:r>
          </w:p>
        </w:tc>
        <w:tc>
          <w:tcPr>
            <w:tcW w:w="271" w:type="pct"/>
            <w:noWrap w:val="0"/>
            <w:vAlign w:val="center"/>
          </w:tcPr>
          <w:p w14:paraId="37539312">
            <w:pPr>
              <w:pStyle w:val="12"/>
              <w:ind w:firstLine="0" w:firstLineChars="0"/>
              <w:jc w:val="center"/>
              <w:rPr>
                <w:rFonts w:ascii="Times New Roman"/>
                <w:kern w:val="2"/>
                <w:sz w:val="21"/>
                <w:szCs w:val="21"/>
                <w:highlight w:val="none"/>
              </w:rPr>
            </w:pPr>
            <w:r>
              <w:rPr>
                <w:rFonts w:ascii="Times New Roman"/>
                <w:kern w:val="2"/>
                <w:sz w:val="21"/>
                <w:szCs w:val="21"/>
                <w:highlight w:val="none"/>
              </w:rPr>
              <w:t>0.15</w:t>
            </w:r>
          </w:p>
        </w:tc>
        <w:tc>
          <w:tcPr>
            <w:tcW w:w="262" w:type="pct"/>
            <w:noWrap w:val="0"/>
            <w:vAlign w:val="center"/>
          </w:tcPr>
          <w:p w14:paraId="202907A0">
            <w:pPr>
              <w:jc w:val="center"/>
              <w:rPr>
                <w:rFonts w:hint="default" w:eastAsia="宋体"/>
                <w:sz w:val="21"/>
                <w:szCs w:val="21"/>
                <w:highlight w:val="none"/>
                <w:lang w:val="en-US" w:eastAsia="zh-CN"/>
              </w:rPr>
            </w:pPr>
            <w:r>
              <w:rPr>
                <w:rFonts w:hint="eastAsia"/>
                <w:sz w:val="21"/>
                <w:szCs w:val="21"/>
                <w:highlight w:val="none"/>
                <w:lang w:val="en-US" w:eastAsia="zh-CN"/>
              </w:rPr>
              <w:t>120</w:t>
            </w:r>
          </w:p>
        </w:tc>
        <w:tc>
          <w:tcPr>
            <w:tcW w:w="418" w:type="pct"/>
            <w:noWrap w:val="0"/>
            <w:vAlign w:val="center"/>
          </w:tcPr>
          <w:p w14:paraId="18121D99">
            <w:pPr>
              <w:jc w:val="center"/>
              <w:rPr>
                <w:sz w:val="21"/>
                <w:szCs w:val="21"/>
                <w:highlight w:val="none"/>
              </w:rPr>
            </w:pPr>
            <w:r>
              <w:rPr>
                <w:sz w:val="21"/>
                <w:szCs w:val="21"/>
                <w:highlight w:val="none"/>
              </w:rPr>
              <w:t>去除效率≥97%</w:t>
            </w:r>
          </w:p>
        </w:tc>
        <w:tc>
          <w:tcPr>
            <w:tcW w:w="260" w:type="pct"/>
            <w:noWrap w:val="0"/>
            <w:vAlign w:val="center"/>
          </w:tcPr>
          <w:p w14:paraId="44CA48D7">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noWrap w:val="0"/>
            <w:vAlign w:val="center"/>
          </w:tcPr>
          <w:p w14:paraId="6DFA04B6">
            <w:pPr>
              <w:jc w:val="center"/>
              <w:rPr>
                <w:sz w:val="21"/>
                <w:szCs w:val="21"/>
                <w:highlight w:val="none"/>
              </w:rPr>
            </w:pPr>
            <w:r>
              <w:rPr>
                <w:rFonts w:ascii="Times New Roman"/>
                <w:kern w:val="2"/>
                <w:sz w:val="21"/>
                <w:szCs w:val="21"/>
                <w:highlight w:val="none"/>
              </w:rPr>
              <w:t>《大气污染物综合排放标准》（GB16297-1996）</w:t>
            </w:r>
          </w:p>
        </w:tc>
      </w:tr>
      <w:tr w14:paraId="77FD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restart"/>
            <w:noWrap w:val="0"/>
            <w:vAlign w:val="center"/>
          </w:tcPr>
          <w:p w14:paraId="280027DC">
            <w:pPr>
              <w:pStyle w:val="12"/>
              <w:ind w:firstLine="0" w:firstLineChars="0"/>
              <w:jc w:val="center"/>
              <w:rPr>
                <w:rFonts w:ascii="Times New Roman"/>
                <w:kern w:val="2"/>
                <w:sz w:val="21"/>
                <w:szCs w:val="21"/>
                <w:highlight w:val="none"/>
              </w:rPr>
            </w:pPr>
            <w:r>
              <w:rPr>
                <w:rFonts w:ascii="Times New Roman"/>
                <w:kern w:val="2"/>
                <w:sz w:val="21"/>
                <w:szCs w:val="21"/>
                <w:highlight w:val="none"/>
              </w:rPr>
              <w:t>热电装置</w:t>
            </w:r>
          </w:p>
        </w:tc>
        <w:tc>
          <w:tcPr>
            <w:tcW w:w="454" w:type="pct"/>
            <w:gridSpan w:val="2"/>
            <w:noWrap w:val="0"/>
            <w:vAlign w:val="center"/>
          </w:tcPr>
          <w:p w14:paraId="39C30709">
            <w:pPr>
              <w:pStyle w:val="12"/>
              <w:ind w:firstLine="0" w:firstLineChars="0"/>
              <w:jc w:val="center"/>
              <w:rPr>
                <w:rFonts w:ascii="Times New Roman"/>
                <w:kern w:val="2"/>
                <w:sz w:val="21"/>
                <w:szCs w:val="21"/>
                <w:highlight w:val="none"/>
              </w:rPr>
            </w:pPr>
            <w:r>
              <w:rPr>
                <w:rFonts w:ascii="Times New Roman"/>
                <w:kern w:val="2"/>
                <w:sz w:val="21"/>
                <w:szCs w:val="21"/>
                <w:highlight w:val="none"/>
              </w:rPr>
              <w:t>1/2#锅炉烟气</w:t>
            </w:r>
          </w:p>
        </w:tc>
        <w:tc>
          <w:tcPr>
            <w:tcW w:w="294" w:type="pct"/>
            <w:noWrap w:val="0"/>
            <w:vAlign w:val="center"/>
          </w:tcPr>
          <w:p w14:paraId="0CDFFFB8">
            <w:pPr>
              <w:jc w:val="center"/>
              <w:rPr>
                <w:sz w:val="21"/>
                <w:szCs w:val="21"/>
                <w:highlight w:val="none"/>
              </w:rPr>
            </w:pPr>
            <w:r>
              <w:rPr>
                <w:sz w:val="21"/>
                <w:szCs w:val="21"/>
                <w:highlight w:val="none"/>
              </w:rPr>
              <w:t>烟尘</w:t>
            </w:r>
          </w:p>
          <w:p w14:paraId="789B24A5">
            <w:pPr>
              <w:jc w:val="center"/>
              <w:rPr>
                <w:sz w:val="21"/>
                <w:szCs w:val="21"/>
                <w:highlight w:val="none"/>
              </w:rPr>
            </w:pPr>
            <w:r>
              <w:rPr>
                <w:sz w:val="21"/>
                <w:szCs w:val="21"/>
                <w:highlight w:val="none"/>
              </w:rPr>
              <w:t>SO</w:t>
            </w:r>
            <w:r>
              <w:rPr>
                <w:sz w:val="21"/>
                <w:szCs w:val="21"/>
                <w:highlight w:val="none"/>
                <w:vertAlign w:val="subscript"/>
              </w:rPr>
              <w:t>2</w:t>
            </w:r>
          </w:p>
          <w:p w14:paraId="3D3515B9">
            <w:pPr>
              <w:jc w:val="center"/>
              <w:rPr>
                <w:sz w:val="21"/>
                <w:szCs w:val="21"/>
                <w:highlight w:val="none"/>
              </w:rPr>
            </w:pPr>
            <w:r>
              <w:rPr>
                <w:sz w:val="21"/>
                <w:szCs w:val="21"/>
                <w:highlight w:val="none"/>
              </w:rPr>
              <w:t>NOx</w:t>
            </w:r>
          </w:p>
          <w:p w14:paraId="7A2CB3AA">
            <w:pPr>
              <w:jc w:val="center"/>
              <w:rPr>
                <w:sz w:val="21"/>
                <w:szCs w:val="21"/>
                <w:highlight w:val="none"/>
              </w:rPr>
            </w:pPr>
            <w:r>
              <w:rPr>
                <w:sz w:val="21"/>
                <w:szCs w:val="21"/>
                <w:highlight w:val="none"/>
              </w:rPr>
              <w:t>Hg</w:t>
            </w:r>
          </w:p>
        </w:tc>
        <w:tc>
          <w:tcPr>
            <w:tcW w:w="401" w:type="pct"/>
            <w:noWrap w:val="0"/>
            <w:vAlign w:val="center"/>
          </w:tcPr>
          <w:p w14:paraId="09B84DF4">
            <w:pPr>
              <w:ind w:firstLine="0" w:firstLineChars="0"/>
              <w:jc w:val="center"/>
              <w:rPr>
                <w:rFonts w:hint="default" w:ascii="Times New Roman" w:eastAsia="宋体"/>
                <w:kern w:val="2"/>
                <w:sz w:val="21"/>
                <w:szCs w:val="21"/>
                <w:highlight w:val="none"/>
                <w:lang w:val="en-US" w:eastAsia="zh-CN"/>
              </w:rPr>
            </w:pPr>
            <w:r>
              <w:rPr>
                <w:rFonts w:ascii="Times New Roman"/>
                <w:kern w:val="2"/>
                <w:sz w:val="21"/>
                <w:szCs w:val="21"/>
                <w:highlight w:val="none"/>
              </w:rPr>
              <w:t>/</w:t>
            </w:r>
          </w:p>
        </w:tc>
        <w:tc>
          <w:tcPr>
            <w:tcW w:w="262" w:type="pct"/>
            <w:noWrap w:val="0"/>
            <w:vAlign w:val="center"/>
          </w:tcPr>
          <w:p w14:paraId="2F33DCBC">
            <w:pPr>
              <w:jc w:val="center"/>
              <w:rPr>
                <w:rFonts w:hint="default" w:eastAsia="宋体"/>
                <w:sz w:val="21"/>
                <w:szCs w:val="21"/>
                <w:highlight w:val="none"/>
                <w:lang w:val="en-US" w:eastAsia="zh-CN"/>
              </w:rPr>
            </w:pPr>
            <w:r>
              <w:rPr>
                <w:rFonts w:hint="eastAsia"/>
                <w:sz w:val="21"/>
                <w:szCs w:val="21"/>
                <w:highlight w:val="none"/>
                <w:lang w:val="en-US" w:eastAsia="zh-CN"/>
              </w:rPr>
              <w:t>2.55</w:t>
            </w:r>
          </w:p>
          <w:p w14:paraId="5FBD77DE">
            <w:pPr>
              <w:jc w:val="center"/>
              <w:rPr>
                <w:rFonts w:hint="default"/>
                <w:sz w:val="21"/>
                <w:szCs w:val="21"/>
                <w:highlight w:val="none"/>
                <w:lang w:val="en-US"/>
              </w:rPr>
            </w:pPr>
            <w:r>
              <w:rPr>
                <w:rFonts w:hint="eastAsia"/>
                <w:sz w:val="21"/>
                <w:szCs w:val="21"/>
                <w:highlight w:val="none"/>
                <w:lang w:val="en-US" w:eastAsia="zh-CN"/>
              </w:rPr>
              <w:t>24.77</w:t>
            </w:r>
          </w:p>
          <w:p w14:paraId="15AA7A4F">
            <w:pPr>
              <w:jc w:val="center"/>
              <w:rPr>
                <w:rFonts w:hint="default" w:eastAsia="宋体"/>
                <w:sz w:val="21"/>
                <w:szCs w:val="21"/>
                <w:highlight w:val="none"/>
                <w:lang w:val="en-US" w:eastAsia="zh-CN"/>
              </w:rPr>
            </w:pPr>
            <w:r>
              <w:rPr>
                <w:sz w:val="21"/>
                <w:szCs w:val="21"/>
                <w:highlight w:val="none"/>
              </w:rPr>
              <w:t>4</w:t>
            </w:r>
            <w:r>
              <w:rPr>
                <w:rFonts w:hint="eastAsia"/>
                <w:sz w:val="21"/>
                <w:szCs w:val="21"/>
                <w:highlight w:val="none"/>
                <w:lang w:val="en-US" w:eastAsia="zh-CN"/>
              </w:rPr>
              <w:t>0.96</w:t>
            </w:r>
          </w:p>
          <w:p w14:paraId="1E2C664D">
            <w:pPr>
              <w:jc w:val="center"/>
              <w:rPr>
                <w:rFonts w:hint="default" w:eastAsia="宋体"/>
                <w:sz w:val="21"/>
                <w:szCs w:val="21"/>
                <w:highlight w:val="none"/>
                <w:lang w:val="en-US" w:eastAsia="zh-CN"/>
              </w:rPr>
            </w:pPr>
            <w:r>
              <w:rPr>
                <w:rFonts w:hint="eastAsia"/>
                <w:sz w:val="21"/>
                <w:szCs w:val="21"/>
                <w:highlight w:val="none"/>
                <w:lang w:val="en-US" w:eastAsia="zh-CN"/>
              </w:rPr>
              <w:t>ND</w:t>
            </w:r>
          </w:p>
        </w:tc>
        <w:tc>
          <w:tcPr>
            <w:tcW w:w="373" w:type="pct"/>
            <w:noWrap w:val="0"/>
            <w:vAlign w:val="center"/>
          </w:tcPr>
          <w:p w14:paraId="1DFE85BB">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vMerge w:val="restart"/>
            <w:noWrap w:val="0"/>
            <w:vAlign w:val="center"/>
          </w:tcPr>
          <w:p w14:paraId="4DB5111A">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vMerge w:val="restart"/>
            <w:noWrap w:val="0"/>
            <w:vAlign w:val="center"/>
          </w:tcPr>
          <w:p w14:paraId="43F80507">
            <w:pPr>
              <w:pStyle w:val="12"/>
              <w:ind w:firstLine="0" w:firstLineChars="0"/>
              <w:jc w:val="center"/>
              <w:rPr>
                <w:rFonts w:ascii="Times New Roman"/>
                <w:kern w:val="2"/>
                <w:sz w:val="21"/>
                <w:szCs w:val="21"/>
                <w:highlight w:val="none"/>
              </w:rPr>
            </w:pPr>
            <w:r>
              <w:rPr>
                <w:rFonts w:ascii="Times New Roman"/>
                <w:kern w:val="2"/>
                <w:sz w:val="21"/>
                <w:szCs w:val="21"/>
                <w:highlight w:val="none"/>
              </w:rPr>
              <w:t>180</w:t>
            </w:r>
          </w:p>
        </w:tc>
        <w:tc>
          <w:tcPr>
            <w:tcW w:w="271" w:type="pct"/>
            <w:vMerge w:val="restart"/>
            <w:noWrap w:val="0"/>
            <w:vAlign w:val="center"/>
          </w:tcPr>
          <w:p w14:paraId="378A794A">
            <w:pPr>
              <w:pStyle w:val="12"/>
              <w:ind w:firstLine="0" w:firstLineChars="0"/>
              <w:jc w:val="center"/>
              <w:rPr>
                <w:rFonts w:ascii="Times New Roman"/>
                <w:kern w:val="2"/>
                <w:sz w:val="21"/>
                <w:szCs w:val="21"/>
                <w:highlight w:val="none"/>
              </w:rPr>
            </w:pPr>
            <w:r>
              <w:rPr>
                <w:rFonts w:ascii="Times New Roman"/>
                <w:kern w:val="2"/>
                <w:sz w:val="21"/>
                <w:szCs w:val="21"/>
                <w:highlight w:val="none"/>
              </w:rPr>
              <w:t>5.5/5.5</w:t>
            </w:r>
          </w:p>
        </w:tc>
        <w:tc>
          <w:tcPr>
            <w:tcW w:w="262" w:type="pct"/>
            <w:vMerge w:val="restart"/>
            <w:noWrap w:val="0"/>
            <w:vAlign w:val="center"/>
          </w:tcPr>
          <w:p w14:paraId="35EAC008">
            <w:pPr>
              <w:jc w:val="center"/>
              <w:rPr>
                <w:sz w:val="21"/>
                <w:szCs w:val="21"/>
                <w:highlight w:val="none"/>
              </w:rPr>
            </w:pPr>
            <w:r>
              <w:rPr>
                <w:sz w:val="21"/>
                <w:szCs w:val="21"/>
                <w:highlight w:val="none"/>
              </w:rPr>
              <w:t>10</w:t>
            </w:r>
          </w:p>
          <w:p w14:paraId="437901F7">
            <w:pPr>
              <w:jc w:val="center"/>
              <w:rPr>
                <w:sz w:val="21"/>
                <w:szCs w:val="21"/>
                <w:highlight w:val="none"/>
              </w:rPr>
            </w:pPr>
            <w:r>
              <w:rPr>
                <w:sz w:val="21"/>
                <w:szCs w:val="21"/>
                <w:highlight w:val="none"/>
              </w:rPr>
              <w:t>35</w:t>
            </w:r>
          </w:p>
          <w:p w14:paraId="2ED37C8B">
            <w:pPr>
              <w:jc w:val="center"/>
              <w:rPr>
                <w:sz w:val="21"/>
                <w:szCs w:val="21"/>
                <w:highlight w:val="none"/>
              </w:rPr>
            </w:pPr>
            <w:r>
              <w:rPr>
                <w:sz w:val="21"/>
                <w:szCs w:val="21"/>
                <w:highlight w:val="none"/>
              </w:rPr>
              <w:t>50</w:t>
            </w:r>
          </w:p>
          <w:p w14:paraId="0D676B6A">
            <w:pPr>
              <w:jc w:val="center"/>
              <w:rPr>
                <w:sz w:val="21"/>
                <w:szCs w:val="21"/>
                <w:highlight w:val="none"/>
              </w:rPr>
            </w:pPr>
            <w:r>
              <w:rPr>
                <w:sz w:val="21"/>
                <w:szCs w:val="21"/>
                <w:highlight w:val="none"/>
              </w:rPr>
              <w:t>0.03</w:t>
            </w:r>
          </w:p>
        </w:tc>
        <w:tc>
          <w:tcPr>
            <w:tcW w:w="418" w:type="pct"/>
            <w:vMerge w:val="restart"/>
            <w:noWrap w:val="0"/>
            <w:vAlign w:val="center"/>
          </w:tcPr>
          <w:p w14:paraId="645E659E">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lang w:val="pt-BR"/>
              </w:rPr>
              <w:t>/</w:t>
            </w:r>
          </w:p>
        </w:tc>
        <w:tc>
          <w:tcPr>
            <w:tcW w:w="260" w:type="pct"/>
            <w:vMerge w:val="restart"/>
            <w:noWrap w:val="0"/>
            <w:vAlign w:val="center"/>
          </w:tcPr>
          <w:p w14:paraId="2640DA5A">
            <w:pPr>
              <w:jc w:val="center"/>
              <w:rPr>
                <w:rFonts w:ascii="Times New Roman"/>
                <w:kern w:val="2"/>
                <w:sz w:val="21"/>
                <w:szCs w:val="21"/>
                <w:highlight w:val="none"/>
              </w:rPr>
            </w:pPr>
            <w:r>
              <w:rPr>
                <w:sz w:val="21"/>
                <w:szCs w:val="21"/>
                <w:highlight w:val="none"/>
              </w:rPr>
              <w:t>达标</w:t>
            </w:r>
          </w:p>
        </w:tc>
        <w:tc>
          <w:tcPr>
            <w:tcW w:w="1160" w:type="pct"/>
            <w:vMerge w:val="restart"/>
            <w:noWrap w:val="0"/>
            <w:vAlign w:val="center"/>
          </w:tcPr>
          <w:p w14:paraId="0D6B8DCE">
            <w:pPr>
              <w:jc w:val="center"/>
              <w:rPr>
                <w:rFonts w:hint="eastAsia" w:eastAsia="宋体"/>
                <w:sz w:val="21"/>
                <w:szCs w:val="21"/>
                <w:highlight w:val="none"/>
                <w:lang w:eastAsia="zh-CN"/>
              </w:rPr>
            </w:pPr>
            <w:r>
              <w:rPr>
                <w:sz w:val="21"/>
                <w:szCs w:val="21"/>
                <w:highlight w:val="none"/>
              </w:rPr>
              <w:t>烟尘、SO</w:t>
            </w:r>
            <w:r>
              <w:rPr>
                <w:sz w:val="21"/>
                <w:szCs w:val="21"/>
                <w:highlight w:val="none"/>
                <w:vertAlign w:val="subscript"/>
              </w:rPr>
              <w:t>2</w:t>
            </w:r>
            <w:r>
              <w:rPr>
                <w:sz w:val="21"/>
                <w:szCs w:val="21"/>
                <w:highlight w:val="none"/>
              </w:rPr>
              <w:t>、NOx执行《全面实施燃煤电厂超低排放和节能改造方案》中提出的燃煤锅炉超低排放标准（即在基准氧含量6%条件下，烟尘、二氧化硫、氮氧化物排放浓度分别不高于10、35、50mg/m</w:t>
            </w:r>
            <w:r>
              <w:rPr>
                <w:sz w:val="21"/>
                <w:szCs w:val="21"/>
                <w:highlight w:val="none"/>
                <w:vertAlign w:val="superscript"/>
              </w:rPr>
              <w:t>3</w:t>
            </w:r>
            <w:r>
              <w:rPr>
                <w:sz w:val="21"/>
                <w:szCs w:val="21"/>
                <w:highlight w:val="none"/>
              </w:rPr>
              <w:t>），Hg执行《火电厂大气污染物排放标准》（GB13223-2011）表2大气污染物特别排放限值</w:t>
            </w:r>
            <w:r>
              <w:rPr>
                <w:rFonts w:hint="eastAsia"/>
                <w:sz w:val="21"/>
                <w:szCs w:val="21"/>
                <w:highlight w:val="none"/>
                <w:lang w:eastAsia="zh-CN"/>
              </w:rPr>
              <w:t>。</w:t>
            </w:r>
          </w:p>
        </w:tc>
      </w:tr>
      <w:tr w14:paraId="722A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1F7B9B3D">
            <w:pPr>
              <w:pStyle w:val="12"/>
              <w:ind w:firstLine="0" w:firstLineChars="0"/>
              <w:jc w:val="center"/>
              <w:rPr>
                <w:rFonts w:ascii="Times New Roman"/>
                <w:kern w:val="2"/>
                <w:sz w:val="21"/>
                <w:szCs w:val="21"/>
                <w:highlight w:val="none"/>
              </w:rPr>
            </w:pPr>
          </w:p>
        </w:tc>
        <w:tc>
          <w:tcPr>
            <w:tcW w:w="454" w:type="pct"/>
            <w:gridSpan w:val="2"/>
            <w:noWrap w:val="0"/>
            <w:vAlign w:val="center"/>
          </w:tcPr>
          <w:p w14:paraId="77DEF0EE">
            <w:pPr>
              <w:pStyle w:val="12"/>
              <w:ind w:firstLine="0" w:firstLineChars="0"/>
              <w:jc w:val="center"/>
              <w:rPr>
                <w:rFonts w:ascii="Times New Roman"/>
                <w:kern w:val="2"/>
                <w:sz w:val="21"/>
                <w:szCs w:val="21"/>
                <w:highlight w:val="none"/>
              </w:rPr>
            </w:pPr>
            <w:r>
              <w:rPr>
                <w:rFonts w:ascii="Times New Roman"/>
                <w:kern w:val="2"/>
                <w:sz w:val="21"/>
                <w:szCs w:val="21"/>
                <w:highlight w:val="none"/>
              </w:rPr>
              <w:t>3/4#锅炉烟气</w:t>
            </w:r>
          </w:p>
        </w:tc>
        <w:tc>
          <w:tcPr>
            <w:tcW w:w="294" w:type="pct"/>
            <w:noWrap w:val="0"/>
            <w:vAlign w:val="center"/>
          </w:tcPr>
          <w:p w14:paraId="6B5C0425">
            <w:pPr>
              <w:jc w:val="center"/>
              <w:rPr>
                <w:sz w:val="21"/>
                <w:szCs w:val="21"/>
                <w:highlight w:val="none"/>
              </w:rPr>
            </w:pPr>
            <w:r>
              <w:rPr>
                <w:sz w:val="21"/>
                <w:szCs w:val="21"/>
                <w:highlight w:val="none"/>
              </w:rPr>
              <w:t>烟尘</w:t>
            </w:r>
          </w:p>
          <w:p w14:paraId="48F70727">
            <w:pPr>
              <w:jc w:val="center"/>
              <w:rPr>
                <w:sz w:val="21"/>
                <w:szCs w:val="21"/>
                <w:highlight w:val="none"/>
              </w:rPr>
            </w:pPr>
            <w:r>
              <w:rPr>
                <w:sz w:val="21"/>
                <w:szCs w:val="21"/>
                <w:highlight w:val="none"/>
              </w:rPr>
              <w:t>SO</w:t>
            </w:r>
            <w:r>
              <w:rPr>
                <w:sz w:val="21"/>
                <w:szCs w:val="21"/>
                <w:highlight w:val="none"/>
                <w:vertAlign w:val="subscript"/>
              </w:rPr>
              <w:t>2</w:t>
            </w:r>
          </w:p>
          <w:p w14:paraId="44B4C14D">
            <w:pPr>
              <w:jc w:val="center"/>
              <w:rPr>
                <w:sz w:val="21"/>
                <w:szCs w:val="21"/>
                <w:highlight w:val="none"/>
              </w:rPr>
            </w:pPr>
            <w:r>
              <w:rPr>
                <w:sz w:val="21"/>
                <w:szCs w:val="21"/>
                <w:highlight w:val="none"/>
              </w:rPr>
              <w:t>NOx</w:t>
            </w:r>
          </w:p>
          <w:p w14:paraId="517186D1">
            <w:pPr>
              <w:jc w:val="center"/>
              <w:rPr>
                <w:sz w:val="21"/>
                <w:szCs w:val="21"/>
                <w:highlight w:val="none"/>
              </w:rPr>
            </w:pPr>
            <w:r>
              <w:rPr>
                <w:sz w:val="21"/>
                <w:szCs w:val="21"/>
                <w:highlight w:val="none"/>
              </w:rPr>
              <w:t>Hg</w:t>
            </w:r>
          </w:p>
        </w:tc>
        <w:tc>
          <w:tcPr>
            <w:tcW w:w="401" w:type="pct"/>
            <w:noWrap w:val="0"/>
            <w:vAlign w:val="center"/>
          </w:tcPr>
          <w:p w14:paraId="0CC31CE8">
            <w:pPr>
              <w:ind w:firstLine="0" w:firstLineChars="0"/>
              <w:jc w:val="center"/>
              <w:rPr>
                <w:rFonts w:hint="default" w:ascii="Times New Roman" w:eastAsia="宋体"/>
                <w:kern w:val="2"/>
                <w:sz w:val="21"/>
                <w:szCs w:val="21"/>
                <w:highlight w:val="none"/>
                <w:lang w:val="en-US" w:eastAsia="zh-CN"/>
              </w:rPr>
            </w:pPr>
            <w:r>
              <w:rPr>
                <w:rFonts w:ascii="Times New Roman"/>
                <w:kern w:val="2"/>
                <w:sz w:val="21"/>
                <w:szCs w:val="21"/>
                <w:highlight w:val="none"/>
              </w:rPr>
              <w:t>/</w:t>
            </w:r>
          </w:p>
        </w:tc>
        <w:tc>
          <w:tcPr>
            <w:tcW w:w="262" w:type="pct"/>
            <w:noWrap w:val="0"/>
            <w:vAlign w:val="center"/>
          </w:tcPr>
          <w:p w14:paraId="275F315B">
            <w:pPr>
              <w:jc w:val="center"/>
              <w:rPr>
                <w:rFonts w:hint="default" w:eastAsia="宋体"/>
                <w:sz w:val="21"/>
                <w:szCs w:val="21"/>
                <w:highlight w:val="none"/>
                <w:lang w:val="en-US" w:eastAsia="zh-CN"/>
              </w:rPr>
            </w:pPr>
            <w:r>
              <w:rPr>
                <w:rFonts w:hint="eastAsia"/>
                <w:sz w:val="21"/>
                <w:szCs w:val="21"/>
                <w:highlight w:val="none"/>
                <w:lang w:val="en-US" w:eastAsia="zh-CN"/>
              </w:rPr>
              <w:t>3.44</w:t>
            </w:r>
          </w:p>
          <w:p w14:paraId="29848BE0">
            <w:pPr>
              <w:jc w:val="center"/>
              <w:rPr>
                <w:rFonts w:hint="default" w:eastAsia="宋体"/>
                <w:sz w:val="21"/>
                <w:szCs w:val="21"/>
                <w:highlight w:val="none"/>
                <w:lang w:val="en-US" w:eastAsia="zh-CN"/>
              </w:rPr>
            </w:pPr>
            <w:r>
              <w:rPr>
                <w:rFonts w:hint="eastAsia"/>
                <w:sz w:val="21"/>
                <w:szCs w:val="21"/>
                <w:highlight w:val="none"/>
                <w:lang w:val="en-US" w:eastAsia="zh-CN"/>
              </w:rPr>
              <w:t>9.00</w:t>
            </w:r>
          </w:p>
          <w:p w14:paraId="1CB2F5B8">
            <w:pPr>
              <w:jc w:val="center"/>
              <w:rPr>
                <w:rFonts w:hint="default" w:eastAsia="宋体"/>
                <w:sz w:val="21"/>
                <w:szCs w:val="21"/>
                <w:highlight w:val="none"/>
                <w:lang w:val="en-US" w:eastAsia="zh-CN"/>
              </w:rPr>
            </w:pPr>
            <w:r>
              <w:rPr>
                <w:rFonts w:hint="eastAsia"/>
                <w:sz w:val="21"/>
                <w:szCs w:val="21"/>
                <w:highlight w:val="none"/>
                <w:lang w:val="en-US" w:eastAsia="zh-CN"/>
              </w:rPr>
              <w:t>36.44</w:t>
            </w:r>
          </w:p>
          <w:p w14:paraId="5FDB7AC8">
            <w:pPr>
              <w:jc w:val="center"/>
              <w:rPr>
                <w:sz w:val="21"/>
                <w:szCs w:val="21"/>
                <w:highlight w:val="none"/>
              </w:rPr>
            </w:pPr>
            <w:r>
              <w:rPr>
                <w:rFonts w:hint="eastAsia"/>
                <w:sz w:val="21"/>
                <w:szCs w:val="21"/>
                <w:highlight w:val="none"/>
                <w:lang w:val="en-US" w:eastAsia="zh-CN"/>
              </w:rPr>
              <w:t>ND</w:t>
            </w:r>
          </w:p>
        </w:tc>
        <w:tc>
          <w:tcPr>
            <w:tcW w:w="373" w:type="pct"/>
            <w:noWrap w:val="0"/>
            <w:vAlign w:val="center"/>
          </w:tcPr>
          <w:p w14:paraId="2615942E">
            <w:pPr>
              <w:pStyle w:val="12"/>
              <w:ind w:firstLine="0" w:firstLineChars="0"/>
              <w:jc w:val="center"/>
              <w:rPr>
                <w:rFonts w:hint="eastAsia" w:ascii="Times New Roman" w:eastAsia="宋体"/>
                <w:sz w:val="21"/>
                <w:szCs w:val="21"/>
                <w:highlight w:val="none"/>
                <w:lang w:val="en-US" w:eastAsia="zh-CN"/>
              </w:rPr>
            </w:pPr>
            <w:r>
              <w:rPr>
                <w:rFonts w:hint="eastAsia" w:ascii="Times New Roman"/>
                <w:sz w:val="21"/>
                <w:szCs w:val="21"/>
                <w:highlight w:val="none"/>
                <w:lang w:val="en-US" w:eastAsia="zh-CN"/>
              </w:rPr>
              <w:t>/</w:t>
            </w:r>
          </w:p>
        </w:tc>
        <w:tc>
          <w:tcPr>
            <w:tcW w:w="149" w:type="pct"/>
            <w:vMerge w:val="continue"/>
            <w:noWrap w:val="0"/>
            <w:vAlign w:val="center"/>
          </w:tcPr>
          <w:p w14:paraId="1E006C95">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72274F5A">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7A08CCE7">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07B7EDE5">
            <w:pPr>
              <w:jc w:val="center"/>
              <w:rPr>
                <w:sz w:val="21"/>
                <w:szCs w:val="21"/>
                <w:highlight w:val="none"/>
              </w:rPr>
            </w:pPr>
          </w:p>
        </w:tc>
        <w:tc>
          <w:tcPr>
            <w:tcW w:w="418" w:type="pct"/>
            <w:vMerge w:val="continue"/>
            <w:noWrap w:val="0"/>
            <w:vAlign w:val="center"/>
          </w:tcPr>
          <w:p w14:paraId="38905092">
            <w:pPr>
              <w:jc w:val="center"/>
              <w:rPr>
                <w:sz w:val="21"/>
                <w:szCs w:val="21"/>
                <w:highlight w:val="none"/>
              </w:rPr>
            </w:pPr>
          </w:p>
        </w:tc>
        <w:tc>
          <w:tcPr>
            <w:tcW w:w="260" w:type="pct"/>
            <w:vMerge w:val="continue"/>
            <w:noWrap w:val="0"/>
            <w:vAlign w:val="center"/>
          </w:tcPr>
          <w:p w14:paraId="14C89546">
            <w:pPr>
              <w:pStyle w:val="12"/>
              <w:ind w:firstLine="0" w:firstLineChars="0"/>
              <w:jc w:val="center"/>
              <w:rPr>
                <w:rFonts w:ascii="Times New Roman"/>
                <w:kern w:val="2"/>
                <w:sz w:val="21"/>
                <w:szCs w:val="21"/>
                <w:highlight w:val="none"/>
              </w:rPr>
            </w:pPr>
          </w:p>
        </w:tc>
        <w:tc>
          <w:tcPr>
            <w:tcW w:w="1160" w:type="pct"/>
            <w:vMerge w:val="continue"/>
            <w:noWrap w:val="0"/>
            <w:vAlign w:val="center"/>
          </w:tcPr>
          <w:p w14:paraId="5A5B8AB2">
            <w:pPr>
              <w:jc w:val="center"/>
              <w:rPr>
                <w:sz w:val="21"/>
                <w:szCs w:val="21"/>
                <w:highlight w:val="none"/>
              </w:rPr>
            </w:pPr>
          </w:p>
        </w:tc>
      </w:tr>
      <w:tr w14:paraId="66D2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2E2D6D64">
            <w:pPr>
              <w:pStyle w:val="12"/>
              <w:ind w:firstLine="0" w:firstLineChars="0"/>
              <w:jc w:val="center"/>
              <w:rPr>
                <w:rFonts w:ascii="Times New Roman"/>
                <w:kern w:val="2"/>
                <w:sz w:val="21"/>
                <w:szCs w:val="21"/>
                <w:highlight w:val="none"/>
              </w:rPr>
            </w:pPr>
          </w:p>
        </w:tc>
        <w:tc>
          <w:tcPr>
            <w:tcW w:w="277" w:type="pct"/>
            <w:vMerge w:val="restart"/>
            <w:noWrap w:val="0"/>
            <w:vAlign w:val="center"/>
          </w:tcPr>
          <w:p w14:paraId="170A0475">
            <w:pPr>
              <w:pStyle w:val="12"/>
              <w:ind w:firstLine="0" w:firstLineChars="0"/>
              <w:jc w:val="center"/>
              <w:rPr>
                <w:rFonts w:hint="default" w:ascii="Times New Roman" w:eastAsia="宋体"/>
                <w:kern w:val="2"/>
                <w:sz w:val="21"/>
                <w:szCs w:val="21"/>
                <w:highlight w:val="none"/>
                <w:lang w:val="en-US" w:eastAsia="zh-CN" w:bidi="ar-SA"/>
              </w:rPr>
            </w:pPr>
            <w:r>
              <w:rPr>
                <w:rFonts w:ascii="Times New Roman"/>
                <w:kern w:val="2"/>
                <w:sz w:val="21"/>
                <w:szCs w:val="21"/>
                <w:highlight w:val="none"/>
              </w:rPr>
              <w:t>灰库废气</w:t>
            </w:r>
          </w:p>
        </w:tc>
        <w:tc>
          <w:tcPr>
            <w:tcW w:w="176" w:type="pct"/>
            <w:noWrap w:val="0"/>
            <w:vAlign w:val="center"/>
          </w:tcPr>
          <w:p w14:paraId="32CF9637">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1#</w:t>
            </w:r>
          </w:p>
        </w:tc>
        <w:tc>
          <w:tcPr>
            <w:tcW w:w="294" w:type="pct"/>
            <w:vMerge w:val="restart"/>
            <w:noWrap w:val="0"/>
            <w:vAlign w:val="center"/>
          </w:tcPr>
          <w:p w14:paraId="7EA02178">
            <w:pPr>
              <w:jc w:val="center"/>
              <w:rPr>
                <w:sz w:val="21"/>
                <w:szCs w:val="21"/>
                <w:highlight w:val="none"/>
              </w:rPr>
            </w:pPr>
            <w:r>
              <w:rPr>
                <w:sz w:val="21"/>
                <w:szCs w:val="21"/>
                <w:highlight w:val="none"/>
              </w:rPr>
              <w:t>颗粒物</w:t>
            </w:r>
          </w:p>
        </w:tc>
        <w:tc>
          <w:tcPr>
            <w:tcW w:w="401" w:type="pct"/>
            <w:noWrap w:val="0"/>
            <w:vAlign w:val="center"/>
          </w:tcPr>
          <w:p w14:paraId="75046145">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1465</w:t>
            </w:r>
          </w:p>
        </w:tc>
        <w:tc>
          <w:tcPr>
            <w:tcW w:w="262" w:type="pct"/>
            <w:noWrap w:val="0"/>
            <w:vAlign w:val="center"/>
          </w:tcPr>
          <w:p w14:paraId="2AC56CC8">
            <w:pPr>
              <w:jc w:val="center"/>
              <w:rPr>
                <w:rFonts w:hint="default" w:eastAsia="宋体"/>
                <w:sz w:val="21"/>
                <w:szCs w:val="21"/>
                <w:highlight w:val="none"/>
                <w:lang w:val="en-US" w:eastAsia="zh-CN"/>
              </w:rPr>
            </w:pPr>
            <w:r>
              <w:rPr>
                <w:rFonts w:hint="eastAsia"/>
                <w:sz w:val="21"/>
                <w:szCs w:val="21"/>
                <w:highlight w:val="none"/>
                <w:lang w:val="en-US" w:eastAsia="zh-CN"/>
              </w:rPr>
              <w:t>14</w:t>
            </w:r>
          </w:p>
        </w:tc>
        <w:tc>
          <w:tcPr>
            <w:tcW w:w="373" w:type="pct"/>
            <w:noWrap w:val="0"/>
            <w:vAlign w:val="center"/>
          </w:tcPr>
          <w:p w14:paraId="6395A5CA">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0.02</w:t>
            </w:r>
          </w:p>
        </w:tc>
        <w:tc>
          <w:tcPr>
            <w:tcW w:w="149" w:type="pct"/>
            <w:vMerge w:val="restart"/>
            <w:noWrap w:val="0"/>
            <w:vAlign w:val="center"/>
          </w:tcPr>
          <w:p w14:paraId="4CD5CA38">
            <w:pPr>
              <w:pStyle w:val="12"/>
              <w:ind w:firstLine="0" w:firstLineChars="0"/>
              <w:jc w:val="center"/>
              <w:rPr>
                <w:rFonts w:ascii="Times New Roman"/>
                <w:kern w:val="2"/>
                <w:sz w:val="21"/>
                <w:szCs w:val="21"/>
                <w:highlight w:val="none"/>
              </w:rPr>
            </w:pPr>
            <w:r>
              <w:rPr>
                <w:rFonts w:ascii="Times New Roman"/>
                <w:kern w:val="2"/>
                <w:sz w:val="21"/>
                <w:szCs w:val="21"/>
                <w:highlight w:val="none"/>
              </w:rPr>
              <w:t>3</w:t>
            </w:r>
          </w:p>
        </w:tc>
        <w:tc>
          <w:tcPr>
            <w:tcW w:w="200" w:type="pct"/>
            <w:vMerge w:val="restart"/>
            <w:noWrap w:val="0"/>
            <w:vAlign w:val="center"/>
          </w:tcPr>
          <w:p w14:paraId="4DC8258A">
            <w:pPr>
              <w:pStyle w:val="12"/>
              <w:ind w:firstLine="0" w:firstLineChars="0"/>
              <w:jc w:val="center"/>
              <w:rPr>
                <w:rFonts w:ascii="Times New Roman"/>
                <w:kern w:val="2"/>
                <w:sz w:val="21"/>
                <w:szCs w:val="21"/>
                <w:highlight w:val="none"/>
              </w:rPr>
            </w:pPr>
            <w:r>
              <w:rPr>
                <w:rFonts w:ascii="Times New Roman"/>
                <w:kern w:val="2"/>
                <w:sz w:val="21"/>
                <w:szCs w:val="21"/>
                <w:highlight w:val="none"/>
              </w:rPr>
              <w:t>32</w:t>
            </w:r>
          </w:p>
        </w:tc>
        <w:tc>
          <w:tcPr>
            <w:tcW w:w="271" w:type="pct"/>
            <w:vMerge w:val="restart"/>
            <w:noWrap w:val="0"/>
            <w:vAlign w:val="center"/>
          </w:tcPr>
          <w:p w14:paraId="228D6CB8">
            <w:pPr>
              <w:pStyle w:val="12"/>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262" w:type="pct"/>
            <w:vMerge w:val="restart"/>
            <w:noWrap w:val="0"/>
            <w:vAlign w:val="center"/>
          </w:tcPr>
          <w:p w14:paraId="7CA6146E">
            <w:pPr>
              <w:jc w:val="center"/>
              <w:rPr>
                <w:sz w:val="21"/>
                <w:szCs w:val="21"/>
                <w:highlight w:val="none"/>
              </w:rPr>
            </w:pPr>
            <w:r>
              <w:rPr>
                <w:sz w:val="21"/>
                <w:szCs w:val="21"/>
                <w:highlight w:val="none"/>
              </w:rPr>
              <w:t>120</w:t>
            </w:r>
          </w:p>
        </w:tc>
        <w:tc>
          <w:tcPr>
            <w:tcW w:w="418" w:type="pct"/>
            <w:vMerge w:val="restart"/>
            <w:noWrap w:val="0"/>
            <w:vAlign w:val="center"/>
          </w:tcPr>
          <w:p w14:paraId="4ECD1662">
            <w:pPr>
              <w:jc w:val="center"/>
              <w:rPr>
                <w:sz w:val="21"/>
                <w:szCs w:val="21"/>
                <w:highlight w:val="none"/>
              </w:rPr>
            </w:pPr>
            <w:r>
              <w:rPr>
                <w:sz w:val="21"/>
                <w:szCs w:val="21"/>
                <w:highlight w:val="none"/>
              </w:rPr>
              <w:t>26.2</w:t>
            </w:r>
          </w:p>
        </w:tc>
        <w:tc>
          <w:tcPr>
            <w:tcW w:w="260" w:type="pct"/>
            <w:noWrap w:val="0"/>
            <w:vAlign w:val="center"/>
          </w:tcPr>
          <w:p w14:paraId="666EBEC0">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2FB3526E">
            <w:pPr>
              <w:jc w:val="center"/>
              <w:rPr>
                <w:sz w:val="21"/>
                <w:szCs w:val="21"/>
                <w:highlight w:val="none"/>
              </w:rPr>
            </w:pPr>
            <w:r>
              <w:rPr>
                <w:sz w:val="21"/>
                <w:szCs w:val="21"/>
                <w:highlight w:val="none"/>
              </w:rPr>
              <w:t>《大气污染物综合排放标准》（GB16297-1996）表2二级标准</w:t>
            </w:r>
          </w:p>
        </w:tc>
      </w:tr>
      <w:tr w14:paraId="5F0A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3888D151">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542F198A">
            <w:pPr>
              <w:pStyle w:val="12"/>
              <w:ind w:firstLine="0" w:firstLineChars="0"/>
              <w:jc w:val="center"/>
              <w:rPr>
                <w:rFonts w:hint="default" w:ascii="Times New Roman" w:eastAsia="宋体"/>
                <w:kern w:val="2"/>
                <w:sz w:val="21"/>
                <w:szCs w:val="21"/>
                <w:highlight w:val="none"/>
                <w:lang w:val="en-US" w:eastAsia="zh-CN" w:bidi="ar-SA"/>
              </w:rPr>
            </w:pPr>
          </w:p>
        </w:tc>
        <w:tc>
          <w:tcPr>
            <w:tcW w:w="176" w:type="pct"/>
            <w:noWrap w:val="0"/>
            <w:vAlign w:val="center"/>
          </w:tcPr>
          <w:p w14:paraId="0051DD2F">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2#</w:t>
            </w:r>
          </w:p>
        </w:tc>
        <w:tc>
          <w:tcPr>
            <w:tcW w:w="294" w:type="pct"/>
            <w:vMerge w:val="continue"/>
            <w:noWrap w:val="0"/>
            <w:vAlign w:val="center"/>
          </w:tcPr>
          <w:p w14:paraId="4BB0FEE0">
            <w:pPr>
              <w:jc w:val="center"/>
              <w:rPr>
                <w:sz w:val="21"/>
                <w:szCs w:val="21"/>
                <w:highlight w:val="none"/>
              </w:rPr>
            </w:pPr>
          </w:p>
        </w:tc>
        <w:tc>
          <w:tcPr>
            <w:tcW w:w="401" w:type="pct"/>
            <w:noWrap w:val="0"/>
            <w:vAlign w:val="center"/>
          </w:tcPr>
          <w:p w14:paraId="6369B518">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1440</w:t>
            </w:r>
          </w:p>
        </w:tc>
        <w:tc>
          <w:tcPr>
            <w:tcW w:w="262" w:type="pct"/>
            <w:noWrap w:val="0"/>
            <w:vAlign w:val="center"/>
          </w:tcPr>
          <w:p w14:paraId="74325B59">
            <w:pPr>
              <w:jc w:val="center"/>
              <w:rPr>
                <w:rFonts w:hint="default" w:eastAsia="宋体"/>
                <w:sz w:val="21"/>
                <w:szCs w:val="21"/>
                <w:highlight w:val="none"/>
                <w:lang w:val="en-US" w:eastAsia="zh-CN"/>
              </w:rPr>
            </w:pPr>
            <w:r>
              <w:rPr>
                <w:rFonts w:hint="eastAsia"/>
                <w:sz w:val="21"/>
                <w:szCs w:val="21"/>
                <w:highlight w:val="none"/>
                <w:lang w:val="en-US" w:eastAsia="zh-CN"/>
              </w:rPr>
              <w:t>32</w:t>
            </w:r>
          </w:p>
        </w:tc>
        <w:tc>
          <w:tcPr>
            <w:tcW w:w="373" w:type="pct"/>
            <w:noWrap w:val="0"/>
            <w:vAlign w:val="center"/>
          </w:tcPr>
          <w:p w14:paraId="67934892">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0.046</w:t>
            </w:r>
          </w:p>
        </w:tc>
        <w:tc>
          <w:tcPr>
            <w:tcW w:w="149" w:type="pct"/>
            <w:vMerge w:val="continue"/>
            <w:noWrap w:val="0"/>
            <w:vAlign w:val="center"/>
          </w:tcPr>
          <w:p w14:paraId="729109D8">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109AB4C7">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7E139505">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218F2416">
            <w:pPr>
              <w:jc w:val="center"/>
              <w:rPr>
                <w:sz w:val="21"/>
                <w:szCs w:val="21"/>
                <w:highlight w:val="none"/>
              </w:rPr>
            </w:pPr>
          </w:p>
        </w:tc>
        <w:tc>
          <w:tcPr>
            <w:tcW w:w="418" w:type="pct"/>
            <w:vMerge w:val="continue"/>
            <w:noWrap w:val="0"/>
            <w:vAlign w:val="center"/>
          </w:tcPr>
          <w:p w14:paraId="593E2BCF">
            <w:pPr>
              <w:jc w:val="center"/>
              <w:rPr>
                <w:sz w:val="21"/>
                <w:szCs w:val="21"/>
                <w:highlight w:val="none"/>
              </w:rPr>
            </w:pPr>
          </w:p>
        </w:tc>
        <w:tc>
          <w:tcPr>
            <w:tcW w:w="260" w:type="pct"/>
            <w:noWrap w:val="0"/>
            <w:vAlign w:val="center"/>
          </w:tcPr>
          <w:p w14:paraId="7B91DE4B">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2E3F3D98">
            <w:pPr>
              <w:jc w:val="center"/>
              <w:rPr>
                <w:sz w:val="21"/>
                <w:szCs w:val="21"/>
                <w:highlight w:val="none"/>
              </w:rPr>
            </w:pPr>
          </w:p>
        </w:tc>
      </w:tr>
      <w:tr w14:paraId="47A0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6560E4F0">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409E8FBD">
            <w:pPr>
              <w:pStyle w:val="12"/>
              <w:ind w:firstLine="0" w:firstLineChars="0"/>
              <w:jc w:val="center"/>
              <w:rPr>
                <w:rFonts w:hint="default" w:ascii="Times New Roman" w:eastAsia="宋体"/>
                <w:kern w:val="2"/>
                <w:sz w:val="21"/>
                <w:szCs w:val="21"/>
                <w:highlight w:val="none"/>
                <w:lang w:val="en-US" w:eastAsia="zh-CN" w:bidi="ar-SA"/>
              </w:rPr>
            </w:pPr>
          </w:p>
        </w:tc>
        <w:tc>
          <w:tcPr>
            <w:tcW w:w="176" w:type="pct"/>
            <w:noWrap w:val="0"/>
            <w:vAlign w:val="center"/>
          </w:tcPr>
          <w:p w14:paraId="759437AD">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3#</w:t>
            </w:r>
          </w:p>
        </w:tc>
        <w:tc>
          <w:tcPr>
            <w:tcW w:w="294" w:type="pct"/>
            <w:vMerge w:val="continue"/>
            <w:noWrap w:val="0"/>
            <w:vAlign w:val="center"/>
          </w:tcPr>
          <w:p w14:paraId="2715B2BD">
            <w:pPr>
              <w:jc w:val="center"/>
              <w:rPr>
                <w:sz w:val="21"/>
                <w:szCs w:val="21"/>
                <w:highlight w:val="none"/>
              </w:rPr>
            </w:pPr>
          </w:p>
        </w:tc>
        <w:tc>
          <w:tcPr>
            <w:tcW w:w="401" w:type="pct"/>
            <w:noWrap w:val="0"/>
            <w:vAlign w:val="center"/>
          </w:tcPr>
          <w:p w14:paraId="458CE75E">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1494</w:t>
            </w:r>
          </w:p>
        </w:tc>
        <w:tc>
          <w:tcPr>
            <w:tcW w:w="262" w:type="pct"/>
            <w:noWrap w:val="0"/>
            <w:vAlign w:val="center"/>
          </w:tcPr>
          <w:p w14:paraId="65944A3A">
            <w:pPr>
              <w:jc w:val="center"/>
              <w:rPr>
                <w:rFonts w:hint="default" w:eastAsia="宋体"/>
                <w:sz w:val="21"/>
                <w:szCs w:val="21"/>
                <w:highlight w:val="none"/>
                <w:lang w:val="en-US" w:eastAsia="zh-CN"/>
              </w:rPr>
            </w:pPr>
            <w:r>
              <w:rPr>
                <w:rFonts w:hint="eastAsia"/>
                <w:sz w:val="21"/>
                <w:szCs w:val="21"/>
                <w:highlight w:val="none"/>
                <w:lang w:val="en-US" w:eastAsia="zh-CN"/>
              </w:rPr>
              <w:t>34</w:t>
            </w:r>
          </w:p>
        </w:tc>
        <w:tc>
          <w:tcPr>
            <w:tcW w:w="373" w:type="pct"/>
            <w:noWrap w:val="0"/>
            <w:vAlign w:val="center"/>
          </w:tcPr>
          <w:p w14:paraId="24FBA4F3">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0.051</w:t>
            </w:r>
          </w:p>
        </w:tc>
        <w:tc>
          <w:tcPr>
            <w:tcW w:w="149" w:type="pct"/>
            <w:vMerge w:val="continue"/>
            <w:noWrap w:val="0"/>
            <w:vAlign w:val="center"/>
          </w:tcPr>
          <w:p w14:paraId="3BE3E966">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7802135A">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59EFD693">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2C3FAB81">
            <w:pPr>
              <w:jc w:val="center"/>
              <w:rPr>
                <w:sz w:val="21"/>
                <w:szCs w:val="21"/>
                <w:highlight w:val="none"/>
              </w:rPr>
            </w:pPr>
          </w:p>
        </w:tc>
        <w:tc>
          <w:tcPr>
            <w:tcW w:w="418" w:type="pct"/>
            <w:vMerge w:val="continue"/>
            <w:noWrap w:val="0"/>
            <w:vAlign w:val="center"/>
          </w:tcPr>
          <w:p w14:paraId="1C89BD65">
            <w:pPr>
              <w:jc w:val="center"/>
              <w:rPr>
                <w:sz w:val="21"/>
                <w:szCs w:val="21"/>
                <w:highlight w:val="none"/>
              </w:rPr>
            </w:pPr>
          </w:p>
        </w:tc>
        <w:tc>
          <w:tcPr>
            <w:tcW w:w="260" w:type="pct"/>
            <w:noWrap w:val="0"/>
            <w:vAlign w:val="center"/>
          </w:tcPr>
          <w:p w14:paraId="1EE24705">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04CEAB52">
            <w:pPr>
              <w:jc w:val="center"/>
              <w:rPr>
                <w:sz w:val="21"/>
                <w:szCs w:val="21"/>
                <w:highlight w:val="none"/>
              </w:rPr>
            </w:pPr>
          </w:p>
        </w:tc>
      </w:tr>
      <w:tr w14:paraId="2F95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2F296285">
            <w:pPr>
              <w:pStyle w:val="12"/>
              <w:ind w:firstLine="0" w:firstLineChars="0"/>
              <w:jc w:val="center"/>
              <w:rPr>
                <w:rFonts w:ascii="Times New Roman"/>
                <w:kern w:val="2"/>
                <w:sz w:val="21"/>
                <w:szCs w:val="21"/>
                <w:highlight w:val="none"/>
              </w:rPr>
            </w:pPr>
          </w:p>
        </w:tc>
        <w:tc>
          <w:tcPr>
            <w:tcW w:w="277" w:type="pct"/>
            <w:vMerge w:val="restart"/>
            <w:noWrap w:val="0"/>
            <w:vAlign w:val="center"/>
          </w:tcPr>
          <w:p w14:paraId="669D9419">
            <w:pPr>
              <w:pStyle w:val="12"/>
              <w:ind w:firstLine="0" w:firstLineChars="0"/>
              <w:jc w:val="center"/>
              <w:rPr>
                <w:rFonts w:hint="default" w:ascii="Times New Roman" w:eastAsia="宋体"/>
                <w:kern w:val="2"/>
                <w:sz w:val="21"/>
                <w:szCs w:val="21"/>
                <w:highlight w:val="none"/>
                <w:lang w:val="en-US" w:eastAsia="zh-CN"/>
              </w:rPr>
            </w:pPr>
            <w:r>
              <w:rPr>
                <w:rFonts w:ascii="Times New Roman"/>
                <w:kern w:val="2"/>
                <w:sz w:val="21"/>
                <w:szCs w:val="21"/>
                <w:highlight w:val="none"/>
              </w:rPr>
              <w:t>渣仓废气</w:t>
            </w:r>
          </w:p>
        </w:tc>
        <w:tc>
          <w:tcPr>
            <w:tcW w:w="176" w:type="pct"/>
            <w:noWrap w:val="0"/>
            <w:vAlign w:val="center"/>
          </w:tcPr>
          <w:p w14:paraId="4132DB67">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1#</w:t>
            </w:r>
          </w:p>
        </w:tc>
        <w:tc>
          <w:tcPr>
            <w:tcW w:w="294" w:type="pct"/>
            <w:vMerge w:val="restart"/>
            <w:noWrap w:val="0"/>
            <w:vAlign w:val="center"/>
          </w:tcPr>
          <w:p w14:paraId="4711FFAF">
            <w:pPr>
              <w:jc w:val="center"/>
              <w:rPr>
                <w:sz w:val="21"/>
                <w:szCs w:val="21"/>
                <w:highlight w:val="none"/>
              </w:rPr>
            </w:pPr>
            <w:r>
              <w:rPr>
                <w:sz w:val="21"/>
                <w:szCs w:val="21"/>
                <w:highlight w:val="none"/>
              </w:rPr>
              <w:t>颗粒物</w:t>
            </w:r>
          </w:p>
        </w:tc>
        <w:tc>
          <w:tcPr>
            <w:tcW w:w="401" w:type="pct"/>
            <w:noWrap w:val="0"/>
            <w:vAlign w:val="center"/>
          </w:tcPr>
          <w:p w14:paraId="0EC2366B">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413</w:t>
            </w:r>
          </w:p>
        </w:tc>
        <w:tc>
          <w:tcPr>
            <w:tcW w:w="262" w:type="pct"/>
            <w:noWrap w:val="0"/>
            <w:vAlign w:val="center"/>
          </w:tcPr>
          <w:p w14:paraId="7764A605">
            <w:pPr>
              <w:jc w:val="center"/>
              <w:rPr>
                <w:rFonts w:hint="default" w:eastAsia="宋体"/>
                <w:sz w:val="21"/>
                <w:szCs w:val="21"/>
                <w:highlight w:val="none"/>
                <w:lang w:val="en-US" w:eastAsia="zh-CN"/>
              </w:rPr>
            </w:pPr>
            <w:r>
              <w:rPr>
                <w:rFonts w:hint="eastAsia"/>
                <w:sz w:val="21"/>
                <w:szCs w:val="21"/>
                <w:highlight w:val="none"/>
                <w:lang w:val="en-US" w:eastAsia="zh-CN"/>
              </w:rPr>
              <w:t>10</w:t>
            </w:r>
          </w:p>
        </w:tc>
        <w:tc>
          <w:tcPr>
            <w:tcW w:w="373" w:type="pct"/>
            <w:noWrap w:val="0"/>
            <w:vAlign w:val="center"/>
          </w:tcPr>
          <w:p w14:paraId="2146431C">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4.0×10</w:t>
            </w:r>
            <w:r>
              <w:rPr>
                <w:rFonts w:hint="eastAsia" w:ascii="Times New Roman"/>
                <w:sz w:val="21"/>
                <w:szCs w:val="21"/>
                <w:highlight w:val="none"/>
                <w:vertAlign w:val="superscript"/>
                <w:lang w:val="en-US" w:eastAsia="zh-CN"/>
              </w:rPr>
              <w:t>-3</w:t>
            </w:r>
          </w:p>
        </w:tc>
        <w:tc>
          <w:tcPr>
            <w:tcW w:w="149" w:type="pct"/>
            <w:vMerge w:val="restart"/>
            <w:noWrap w:val="0"/>
            <w:vAlign w:val="center"/>
          </w:tcPr>
          <w:p w14:paraId="0483A153">
            <w:pPr>
              <w:pStyle w:val="12"/>
              <w:ind w:firstLine="0" w:firstLineChars="0"/>
              <w:jc w:val="center"/>
              <w:rPr>
                <w:rFonts w:ascii="Times New Roman"/>
                <w:kern w:val="2"/>
                <w:sz w:val="21"/>
                <w:szCs w:val="21"/>
                <w:highlight w:val="none"/>
              </w:rPr>
            </w:pPr>
            <w:r>
              <w:rPr>
                <w:rFonts w:ascii="Times New Roman"/>
                <w:kern w:val="2"/>
                <w:sz w:val="21"/>
                <w:szCs w:val="21"/>
                <w:highlight w:val="none"/>
              </w:rPr>
              <w:t>2</w:t>
            </w:r>
          </w:p>
        </w:tc>
        <w:tc>
          <w:tcPr>
            <w:tcW w:w="200" w:type="pct"/>
            <w:vMerge w:val="restart"/>
            <w:noWrap w:val="0"/>
            <w:vAlign w:val="center"/>
          </w:tcPr>
          <w:p w14:paraId="462FB30E">
            <w:pPr>
              <w:pStyle w:val="12"/>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271" w:type="pct"/>
            <w:vMerge w:val="restart"/>
            <w:noWrap w:val="0"/>
            <w:vAlign w:val="center"/>
          </w:tcPr>
          <w:p w14:paraId="79A7882C">
            <w:pPr>
              <w:pStyle w:val="12"/>
              <w:ind w:firstLine="0" w:firstLineChars="0"/>
              <w:jc w:val="center"/>
              <w:rPr>
                <w:rFonts w:ascii="Times New Roman"/>
                <w:kern w:val="2"/>
                <w:sz w:val="21"/>
                <w:szCs w:val="21"/>
                <w:highlight w:val="none"/>
              </w:rPr>
            </w:pPr>
            <w:r>
              <w:rPr>
                <w:rFonts w:ascii="Times New Roman"/>
                <w:kern w:val="2"/>
                <w:sz w:val="21"/>
                <w:szCs w:val="21"/>
                <w:highlight w:val="none"/>
              </w:rPr>
              <w:t>0.4</w:t>
            </w:r>
          </w:p>
        </w:tc>
        <w:tc>
          <w:tcPr>
            <w:tcW w:w="262" w:type="pct"/>
            <w:vMerge w:val="restart"/>
            <w:noWrap w:val="0"/>
            <w:vAlign w:val="center"/>
          </w:tcPr>
          <w:p w14:paraId="1EB48578">
            <w:pPr>
              <w:jc w:val="center"/>
              <w:rPr>
                <w:sz w:val="21"/>
                <w:szCs w:val="21"/>
                <w:highlight w:val="none"/>
              </w:rPr>
            </w:pPr>
            <w:r>
              <w:rPr>
                <w:sz w:val="21"/>
                <w:szCs w:val="21"/>
                <w:highlight w:val="none"/>
              </w:rPr>
              <w:t>120</w:t>
            </w:r>
          </w:p>
        </w:tc>
        <w:tc>
          <w:tcPr>
            <w:tcW w:w="418" w:type="pct"/>
            <w:vMerge w:val="restart"/>
            <w:noWrap w:val="0"/>
            <w:vAlign w:val="center"/>
          </w:tcPr>
          <w:p w14:paraId="4858FEC4">
            <w:pPr>
              <w:jc w:val="center"/>
              <w:rPr>
                <w:sz w:val="21"/>
                <w:szCs w:val="21"/>
                <w:highlight w:val="none"/>
              </w:rPr>
            </w:pPr>
            <w:r>
              <w:rPr>
                <w:sz w:val="21"/>
                <w:szCs w:val="21"/>
                <w:highlight w:val="none"/>
              </w:rPr>
              <w:t>14</w:t>
            </w:r>
          </w:p>
        </w:tc>
        <w:tc>
          <w:tcPr>
            <w:tcW w:w="260" w:type="pct"/>
            <w:noWrap w:val="0"/>
            <w:vAlign w:val="center"/>
          </w:tcPr>
          <w:p w14:paraId="6BFE3AC8">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restart"/>
            <w:noWrap w:val="0"/>
            <w:vAlign w:val="center"/>
          </w:tcPr>
          <w:p w14:paraId="6F90B347">
            <w:pPr>
              <w:jc w:val="center"/>
              <w:rPr>
                <w:sz w:val="21"/>
                <w:szCs w:val="21"/>
                <w:highlight w:val="none"/>
              </w:rPr>
            </w:pPr>
            <w:r>
              <w:rPr>
                <w:sz w:val="21"/>
                <w:szCs w:val="21"/>
                <w:highlight w:val="none"/>
              </w:rPr>
              <w:t>《大气污染物综合排放标准》（GB16297-1996）表2二级标准</w:t>
            </w:r>
          </w:p>
        </w:tc>
      </w:tr>
      <w:tr w14:paraId="77934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65124BC8">
            <w:pPr>
              <w:pStyle w:val="12"/>
              <w:ind w:firstLine="0" w:firstLineChars="0"/>
              <w:jc w:val="center"/>
              <w:rPr>
                <w:rFonts w:ascii="Times New Roman"/>
                <w:kern w:val="2"/>
                <w:sz w:val="21"/>
                <w:szCs w:val="21"/>
                <w:highlight w:val="none"/>
              </w:rPr>
            </w:pPr>
          </w:p>
        </w:tc>
        <w:tc>
          <w:tcPr>
            <w:tcW w:w="277" w:type="pct"/>
            <w:vMerge w:val="continue"/>
            <w:noWrap w:val="0"/>
            <w:vAlign w:val="center"/>
          </w:tcPr>
          <w:p w14:paraId="0DF6F053">
            <w:pPr>
              <w:pStyle w:val="12"/>
              <w:ind w:firstLine="0" w:firstLineChars="0"/>
              <w:jc w:val="center"/>
              <w:rPr>
                <w:rFonts w:hint="default" w:ascii="Times New Roman" w:eastAsia="宋体"/>
                <w:kern w:val="2"/>
                <w:sz w:val="21"/>
                <w:szCs w:val="21"/>
                <w:highlight w:val="none"/>
                <w:lang w:val="en-US" w:eastAsia="zh-CN" w:bidi="ar-SA"/>
              </w:rPr>
            </w:pPr>
          </w:p>
        </w:tc>
        <w:tc>
          <w:tcPr>
            <w:tcW w:w="176" w:type="pct"/>
            <w:noWrap w:val="0"/>
            <w:vAlign w:val="center"/>
          </w:tcPr>
          <w:p w14:paraId="40711032">
            <w:pPr>
              <w:pStyle w:val="12"/>
              <w:ind w:firstLine="0" w:firstLineChars="0"/>
              <w:jc w:val="center"/>
              <w:rPr>
                <w:rFonts w:ascii="Times New Roman"/>
                <w:kern w:val="2"/>
                <w:sz w:val="21"/>
                <w:szCs w:val="21"/>
                <w:highlight w:val="none"/>
              </w:rPr>
            </w:pPr>
            <w:r>
              <w:rPr>
                <w:rFonts w:hint="eastAsia" w:ascii="Times New Roman"/>
                <w:kern w:val="2"/>
                <w:sz w:val="21"/>
                <w:szCs w:val="21"/>
                <w:highlight w:val="none"/>
                <w:lang w:val="en-US" w:eastAsia="zh-CN"/>
              </w:rPr>
              <w:t>2#</w:t>
            </w:r>
          </w:p>
        </w:tc>
        <w:tc>
          <w:tcPr>
            <w:tcW w:w="294" w:type="pct"/>
            <w:vMerge w:val="continue"/>
            <w:noWrap w:val="0"/>
            <w:vAlign w:val="center"/>
          </w:tcPr>
          <w:p w14:paraId="5DAF76EF">
            <w:pPr>
              <w:jc w:val="center"/>
              <w:rPr>
                <w:sz w:val="21"/>
                <w:szCs w:val="21"/>
                <w:highlight w:val="none"/>
              </w:rPr>
            </w:pPr>
          </w:p>
        </w:tc>
        <w:tc>
          <w:tcPr>
            <w:tcW w:w="401" w:type="pct"/>
            <w:noWrap w:val="0"/>
            <w:vAlign w:val="center"/>
          </w:tcPr>
          <w:p w14:paraId="6D881343">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376</w:t>
            </w:r>
          </w:p>
        </w:tc>
        <w:tc>
          <w:tcPr>
            <w:tcW w:w="262" w:type="pct"/>
            <w:noWrap w:val="0"/>
            <w:vAlign w:val="center"/>
          </w:tcPr>
          <w:p w14:paraId="708FB985">
            <w:pPr>
              <w:jc w:val="center"/>
              <w:rPr>
                <w:rFonts w:hint="eastAsia" w:eastAsia="宋体"/>
                <w:sz w:val="21"/>
                <w:szCs w:val="21"/>
                <w:highlight w:val="none"/>
                <w:lang w:val="en-US" w:eastAsia="zh-CN"/>
              </w:rPr>
            </w:pPr>
            <w:r>
              <w:rPr>
                <w:rFonts w:hint="eastAsia"/>
                <w:sz w:val="21"/>
                <w:szCs w:val="21"/>
                <w:highlight w:val="none"/>
                <w:lang w:val="en-US" w:eastAsia="zh-CN"/>
              </w:rPr>
              <w:t>9</w:t>
            </w:r>
          </w:p>
        </w:tc>
        <w:tc>
          <w:tcPr>
            <w:tcW w:w="373" w:type="pct"/>
            <w:noWrap w:val="0"/>
            <w:vAlign w:val="center"/>
          </w:tcPr>
          <w:p w14:paraId="207B2D26">
            <w:pPr>
              <w:pStyle w:val="12"/>
              <w:ind w:firstLine="0" w:firstLineChars="0"/>
              <w:jc w:val="center"/>
              <w:rPr>
                <w:rFonts w:hint="default" w:ascii="Times New Roman" w:eastAsia="宋体"/>
                <w:kern w:val="0"/>
                <w:sz w:val="21"/>
                <w:szCs w:val="21"/>
                <w:highlight w:val="none"/>
                <w:lang w:val="en-US" w:eastAsia="zh-CN" w:bidi="ar-SA"/>
              </w:rPr>
            </w:pPr>
            <w:r>
              <w:rPr>
                <w:rFonts w:hint="eastAsia" w:ascii="Times New Roman"/>
                <w:sz w:val="21"/>
                <w:szCs w:val="21"/>
                <w:highlight w:val="none"/>
                <w:lang w:val="en-US" w:eastAsia="zh-CN"/>
              </w:rPr>
              <w:t>3.2×10</w:t>
            </w:r>
            <w:r>
              <w:rPr>
                <w:rFonts w:hint="eastAsia" w:ascii="Times New Roman"/>
                <w:sz w:val="21"/>
                <w:szCs w:val="21"/>
                <w:highlight w:val="none"/>
                <w:vertAlign w:val="superscript"/>
                <w:lang w:val="en-US" w:eastAsia="zh-CN"/>
              </w:rPr>
              <w:t>-3</w:t>
            </w:r>
          </w:p>
        </w:tc>
        <w:tc>
          <w:tcPr>
            <w:tcW w:w="149" w:type="pct"/>
            <w:vMerge w:val="continue"/>
            <w:noWrap w:val="0"/>
            <w:vAlign w:val="center"/>
          </w:tcPr>
          <w:p w14:paraId="2C2109B3">
            <w:pPr>
              <w:pStyle w:val="12"/>
              <w:ind w:firstLine="0" w:firstLineChars="0"/>
              <w:jc w:val="center"/>
              <w:rPr>
                <w:rFonts w:ascii="Times New Roman"/>
                <w:kern w:val="2"/>
                <w:sz w:val="21"/>
                <w:szCs w:val="21"/>
                <w:highlight w:val="none"/>
              </w:rPr>
            </w:pPr>
          </w:p>
        </w:tc>
        <w:tc>
          <w:tcPr>
            <w:tcW w:w="200" w:type="pct"/>
            <w:vMerge w:val="continue"/>
            <w:noWrap w:val="0"/>
            <w:vAlign w:val="center"/>
          </w:tcPr>
          <w:p w14:paraId="2F6814A8">
            <w:pPr>
              <w:pStyle w:val="12"/>
              <w:ind w:firstLine="0" w:firstLineChars="0"/>
              <w:jc w:val="center"/>
              <w:rPr>
                <w:rFonts w:ascii="Times New Roman"/>
                <w:kern w:val="2"/>
                <w:sz w:val="21"/>
                <w:szCs w:val="21"/>
                <w:highlight w:val="none"/>
              </w:rPr>
            </w:pPr>
          </w:p>
        </w:tc>
        <w:tc>
          <w:tcPr>
            <w:tcW w:w="271" w:type="pct"/>
            <w:vMerge w:val="continue"/>
            <w:noWrap w:val="0"/>
            <w:vAlign w:val="center"/>
          </w:tcPr>
          <w:p w14:paraId="04B2C161">
            <w:pPr>
              <w:pStyle w:val="12"/>
              <w:ind w:firstLine="0" w:firstLineChars="0"/>
              <w:jc w:val="center"/>
              <w:rPr>
                <w:rFonts w:ascii="Times New Roman"/>
                <w:kern w:val="2"/>
                <w:sz w:val="21"/>
                <w:szCs w:val="21"/>
                <w:highlight w:val="none"/>
              </w:rPr>
            </w:pPr>
          </w:p>
        </w:tc>
        <w:tc>
          <w:tcPr>
            <w:tcW w:w="262" w:type="pct"/>
            <w:vMerge w:val="continue"/>
            <w:noWrap w:val="0"/>
            <w:vAlign w:val="center"/>
          </w:tcPr>
          <w:p w14:paraId="379FDFA6">
            <w:pPr>
              <w:jc w:val="center"/>
              <w:rPr>
                <w:sz w:val="21"/>
                <w:szCs w:val="21"/>
                <w:highlight w:val="none"/>
              </w:rPr>
            </w:pPr>
          </w:p>
        </w:tc>
        <w:tc>
          <w:tcPr>
            <w:tcW w:w="418" w:type="pct"/>
            <w:vMerge w:val="continue"/>
            <w:noWrap w:val="0"/>
            <w:vAlign w:val="center"/>
          </w:tcPr>
          <w:p w14:paraId="12B80730">
            <w:pPr>
              <w:jc w:val="center"/>
              <w:rPr>
                <w:sz w:val="21"/>
                <w:szCs w:val="21"/>
                <w:highlight w:val="none"/>
              </w:rPr>
            </w:pPr>
          </w:p>
        </w:tc>
        <w:tc>
          <w:tcPr>
            <w:tcW w:w="260" w:type="pct"/>
            <w:noWrap w:val="0"/>
            <w:vAlign w:val="center"/>
          </w:tcPr>
          <w:p w14:paraId="6B0C3332">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tc>
        <w:tc>
          <w:tcPr>
            <w:tcW w:w="1160" w:type="pct"/>
            <w:vMerge w:val="continue"/>
            <w:noWrap w:val="0"/>
            <w:vAlign w:val="center"/>
          </w:tcPr>
          <w:p w14:paraId="3B7EDDD5">
            <w:pPr>
              <w:jc w:val="center"/>
              <w:rPr>
                <w:sz w:val="21"/>
                <w:szCs w:val="21"/>
                <w:highlight w:val="none"/>
              </w:rPr>
            </w:pPr>
          </w:p>
        </w:tc>
      </w:tr>
      <w:tr w14:paraId="1F58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vMerge w:val="continue"/>
            <w:noWrap w:val="0"/>
            <w:vAlign w:val="center"/>
          </w:tcPr>
          <w:p w14:paraId="4B5F28DA">
            <w:pPr>
              <w:pStyle w:val="12"/>
              <w:ind w:firstLine="0" w:firstLineChars="0"/>
              <w:jc w:val="center"/>
              <w:rPr>
                <w:rFonts w:ascii="Times New Roman"/>
                <w:kern w:val="2"/>
                <w:sz w:val="21"/>
                <w:szCs w:val="21"/>
                <w:highlight w:val="none"/>
              </w:rPr>
            </w:pPr>
          </w:p>
        </w:tc>
        <w:tc>
          <w:tcPr>
            <w:tcW w:w="454" w:type="pct"/>
            <w:gridSpan w:val="2"/>
            <w:noWrap w:val="0"/>
            <w:vAlign w:val="center"/>
          </w:tcPr>
          <w:p w14:paraId="05304DEC">
            <w:pPr>
              <w:pStyle w:val="12"/>
              <w:ind w:firstLine="0" w:firstLineChars="0"/>
              <w:jc w:val="center"/>
              <w:rPr>
                <w:rFonts w:ascii="Times New Roman"/>
                <w:kern w:val="2"/>
                <w:sz w:val="21"/>
                <w:szCs w:val="21"/>
                <w:highlight w:val="none"/>
              </w:rPr>
            </w:pPr>
            <w:r>
              <w:rPr>
                <w:rFonts w:ascii="Times New Roman"/>
                <w:kern w:val="2"/>
                <w:sz w:val="21"/>
                <w:szCs w:val="21"/>
                <w:highlight w:val="none"/>
              </w:rPr>
              <w:t>硫铵干燥废气</w:t>
            </w:r>
          </w:p>
        </w:tc>
        <w:tc>
          <w:tcPr>
            <w:tcW w:w="294" w:type="pct"/>
            <w:noWrap w:val="0"/>
            <w:vAlign w:val="center"/>
          </w:tcPr>
          <w:p w14:paraId="5045D9B5">
            <w:pPr>
              <w:jc w:val="center"/>
              <w:rPr>
                <w:sz w:val="21"/>
                <w:szCs w:val="21"/>
                <w:highlight w:val="none"/>
              </w:rPr>
            </w:pPr>
            <w:r>
              <w:rPr>
                <w:sz w:val="21"/>
                <w:szCs w:val="21"/>
                <w:highlight w:val="none"/>
              </w:rPr>
              <w:t>颗粒物</w:t>
            </w:r>
          </w:p>
        </w:tc>
        <w:tc>
          <w:tcPr>
            <w:tcW w:w="401" w:type="pct"/>
            <w:noWrap w:val="0"/>
            <w:vAlign w:val="center"/>
          </w:tcPr>
          <w:p w14:paraId="157F2E6B">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30596</w:t>
            </w:r>
          </w:p>
        </w:tc>
        <w:tc>
          <w:tcPr>
            <w:tcW w:w="262" w:type="pct"/>
            <w:noWrap w:val="0"/>
            <w:vAlign w:val="center"/>
          </w:tcPr>
          <w:p w14:paraId="451999A5">
            <w:pPr>
              <w:jc w:val="center"/>
              <w:rPr>
                <w:sz w:val="21"/>
                <w:szCs w:val="21"/>
                <w:highlight w:val="none"/>
              </w:rPr>
            </w:pPr>
            <w:r>
              <w:rPr>
                <w:rFonts w:hint="eastAsia"/>
                <w:sz w:val="21"/>
                <w:szCs w:val="21"/>
                <w:highlight w:val="none"/>
                <w:lang w:val="en-US" w:eastAsia="zh-CN"/>
              </w:rPr>
              <w:t>11</w:t>
            </w:r>
          </w:p>
        </w:tc>
        <w:tc>
          <w:tcPr>
            <w:tcW w:w="373" w:type="pct"/>
            <w:noWrap w:val="0"/>
            <w:vAlign w:val="center"/>
          </w:tcPr>
          <w:p w14:paraId="664DBE29">
            <w:pPr>
              <w:pStyle w:val="12"/>
              <w:ind w:firstLine="0" w:firstLineChars="0"/>
              <w:jc w:val="center"/>
              <w:rPr>
                <w:rFonts w:hint="default" w:ascii="Times New Roman" w:eastAsia="宋体"/>
                <w:sz w:val="21"/>
                <w:szCs w:val="21"/>
                <w:highlight w:val="none"/>
                <w:lang w:val="en-US" w:eastAsia="zh-CN"/>
              </w:rPr>
            </w:pPr>
            <w:r>
              <w:rPr>
                <w:rFonts w:hint="eastAsia" w:ascii="Times New Roman"/>
                <w:sz w:val="21"/>
                <w:szCs w:val="21"/>
                <w:highlight w:val="none"/>
                <w:lang w:val="en-US" w:eastAsia="zh-CN"/>
              </w:rPr>
              <w:t>0.35</w:t>
            </w:r>
          </w:p>
        </w:tc>
        <w:tc>
          <w:tcPr>
            <w:tcW w:w="149" w:type="pct"/>
            <w:noWrap w:val="0"/>
            <w:vAlign w:val="center"/>
          </w:tcPr>
          <w:p w14:paraId="1633607C">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643F368C">
            <w:pPr>
              <w:pStyle w:val="12"/>
              <w:ind w:firstLine="0" w:firstLineChars="0"/>
              <w:jc w:val="center"/>
              <w:rPr>
                <w:rFonts w:ascii="Times New Roman"/>
                <w:kern w:val="2"/>
                <w:sz w:val="21"/>
                <w:szCs w:val="21"/>
                <w:highlight w:val="none"/>
              </w:rPr>
            </w:pPr>
            <w:r>
              <w:rPr>
                <w:rFonts w:ascii="Times New Roman"/>
                <w:kern w:val="2"/>
                <w:sz w:val="21"/>
                <w:szCs w:val="21"/>
                <w:highlight w:val="none"/>
              </w:rPr>
              <w:t>20</w:t>
            </w:r>
          </w:p>
        </w:tc>
        <w:tc>
          <w:tcPr>
            <w:tcW w:w="271" w:type="pct"/>
            <w:noWrap w:val="0"/>
            <w:vAlign w:val="center"/>
          </w:tcPr>
          <w:p w14:paraId="52C5DEDC">
            <w:pPr>
              <w:pStyle w:val="12"/>
              <w:ind w:firstLine="0" w:firstLineChars="0"/>
              <w:jc w:val="center"/>
              <w:rPr>
                <w:rFonts w:ascii="Times New Roman"/>
                <w:kern w:val="2"/>
                <w:sz w:val="21"/>
                <w:szCs w:val="21"/>
                <w:highlight w:val="none"/>
              </w:rPr>
            </w:pPr>
            <w:r>
              <w:rPr>
                <w:rFonts w:ascii="Times New Roman"/>
                <w:kern w:val="2"/>
                <w:sz w:val="21"/>
                <w:szCs w:val="21"/>
                <w:highlight w:val="none"/>
              </w:rPr>
              <w:t>1.4</w:t>
            </w:r>
          </w:p>
        </w:tc>
        <w:tc>
          <w:tcPr>
            <w:tcW w:w="262" w:type="pct"/>
            <w:noWrap w:val="0"/>
            <w:vAlign w:val="center"/>
          </w:tcPr>
          <w:p w14:paraId="185D32CF">
            <w:pPr>
              <w:jc w:val="center"/>
              <w:rPr>
                <w:sz w:val="21"/>
                <w:szCs w:val="21"/>
                <w:highlight w:val="none"/>
              </w:rPr>
            </w:pPr>
            <w:r>
              <w:rPr>
                <w:sz w:val="21"/>
                <w:szCs w:val="21"/>
                <w:highlight w:val="none"/>
                <w:lang w:val="pt-BR"/>
              </w:rPr>
              <w:t>120</w:t>
            </w:r>
          </w:p>
        </w:tc>
        <w:tc>
          <w:tcPr>
            <w:tcW w:w="418" w:type="pct"/>
            <w:noWrap w:val="0"/>
            <w:vAlign w:val="center"/>
          </w:tcPr>
          <w:p w14:paraId="38B5B1D2">
            <w:pPr>
              <w:jc w:val="center"/>
              <w:rPr>
                <w:rFonts w:hint="default" w:eastAsia="宋体"/>
                <w:sz w:val="21"/>
                <w:szCs w:val="21"/>
                <w:highlight w:val="none"/>
                <w:lang w:val="en-US" w:eastAsia="zh-CN"/>
              </w:rPr>
            </w:pPr>
            <w:r>
              <w:rPr>
                <w:rFonts w:hint="eastAsia"/>
                <w:sz w:val="21"/>
                <w:szCs w:val="21"/>
                <w:highlight w:val="none"/>
                <w:lang w:val="en-US" w:eastAsia="zh-CN"/>
              </w:rPr>
              <w:t>213</w:t>
            </w:r>
          </w:p>
        </w:tc>
        <w:tc>
          <w:tcPr>
            <w:tcW w:w="260" w:type="pct"/>
            <w:noWrap w:val="0"/>
            <w:vAlign w:val="center"/>
          </w:tcPr>
          <w:p w14:paraId="592859FB">
            <w:pPr>
              <w:jc w:val="center"/>
              <w:rPr>
                <w:rFonts w:ascii="Times New Roman"/>
                <w:kern w:val="2"/>
                <w:sz w:val="21"/>
                <w:szCs w:val="21"/>
                <w:highlight w:val="none"/>
              </w:rPr>
            </w:pPr>
            <w:r>
              <w:rPr>
                <w:sz w:val="21"/>
                <w:szCs w:val="21"/>
                <w:highlight w:val="none"/>
              </w:rPr>
              <w:t>达标</w:t>
            </w:r>
          </w:p>
        </w:tc>
        <w:tc>
          <w:tcPr>
            <w:tcW w:w="1160" w:type="pct"/>
            <w:noWrap w:val="0"/>
            <w:vAlign w:val="center"/>
          </w:tcPr>
          <w:p w14:paraId="05240CCA">
            <w:pPr>
              <w:jc w:val="center"/>
              <w:rPr>
                <w:sz w:val="21"/>
                <w:szCs w:val="21"/>
                <w:highlight w:val="none"/>
              </w:rPr>
            </w:pPr>
            <w:r>
              <w:rPr>
                <w:sz w:val="21"/>
                <w:szCs w:val="21"/>
                <w:highlight w:val="none"/>
              </w:rPr>
              <w:t>《大气污染物综合排放标准》（GB16297-1996）表2二级标准</w:t>
            </w:r>
          </w:p>
        </w:tc>
      </w:tr>
      <w:tr w14:paraId="5512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8" w:type="pct"/>
            <w:gridSpan w:val="3"/>
            <w:noWrap w:val="0"/>
            <w:vAlign w:val="center"/>
          </w:tcPr>
          <w:p w14:paraId="397B82D6">
            <w:pPr>
              <w:pStyle w:val="12"/>
              <w:ind w:firstLine="0" w:firstLineChars="0"/>
              <w:jc w:val="center"/>
              <w:rPr>
                <w:rFonts w:hint="eastAsia" w:ascii="Times New Roman" w:eastAsia="宋体"/>
                <w:kern w:val="2"/>
                <w:sz w:val="21"/>
                <w:szCs w:val="21"/>
                <w:highlight w:val="none"/>
                <w:lang w:val="en-US" w:eastAsia="zh-CN"/>
              </w:rPr>
            </w:pPr>
            <w:r>
              <w:rPr>
                <w:rFonts w:ascii="Times New Roman"/>
                <w:kern w:val="2"/>
                <w:sz w:val="21"/>
                <w:szCs w:val="21"/>
                <w:highlight w:val="none"/>
              </w:rPr>
              <w:t>污水处理</w:t>
            </w:r>
            <w:r>
              <w:rPr>
                <w:rFonts w:hint="eastAsia" w:ascii="Times New Roman"/>
                <w:kern w:val="2"/>
                <w:sz w:val="21"/>
                <w:szCs w:val="21"/>
                <w:highlight w:val="none"/>
                <w:lang w:val="en-US" w:eastAsia="zh-CN"/>
              </w:rPr>
              <w:t>厂</w:t>
            </w:r>
          </w:p>
        </w:tc>
        <w:tc>
          <w:tcPr>
            <w:tcW w:w="454" w:type="pct"/>
            <w:gridSpan w:val="2"/>
            <w:noWrap w:val="0"/>
            <w:vAlign w:val="center"/>
          </w:tcPr>
          <w:p w14:paraId="61FE11A5">
            <w:pPr>
              <w:pStyle w:val="12"/>
              <w:ind w:firstLine="0" w:firstLineChars="0"/>
              <w:jc w:val="center"/>
              <w:rPr>
                <w:rFonts w:ascii="Times New Roman"/>
                <w:kern w:val="2"/>
                <w:sz w:val="21"/>
                <w:szCs w:val="21"/>
                <w:highlight w:val="none"/>
              </w:rPr>
            </w:pPr>
            <w:r>
              <w:rPr>
                <w:rFonts w:ascii="Times New Roman"/>
                <w:kern w:val="2"/>
                <w:sz w:val="21"/>
                <w:szCs w:val="21"/>
                <w:highlight w:val="none"/>
              </w:rPr>
              <w:t>臭气</w:t>
            </w:r>
          </w:p>
        </w:tc>
        <w:tc>
          <w:tcPr>
            <w:tcW w:w="294" w:type="pct"/>
            <w:noWrap w:val="0"/>
            <w:vAlign w:val="center"/>
          </w:tcPr>
          <w:p w14:paraId="134D59F5">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H</w:t>
            </w:r>
            <w:r>
              <w:rPr>
                <w:rFonts w:ascii="Times New Roman" w:hAnsi="Times New Roman" w:eastAsia="宋体" w:cs="Times New Roman"/>
                <w:sz w:val="21"/>
                <w:szCs w:val="21"/>
                <w:highlight w:val="none"/>
                <w:vertAlign w:val="subscript"/>
              </w:rPr>
              <w:t>2</w:t>
            </w:r>
            <w:r>
              <w:rPr>
                <w:rFonts w:ascii="Times New Roman" w:hAnsi="Times New Roman" w:eastAsia="宋体" w:cs="Times New Roman"/>
                <w:sz w:val="21"/>
                <w:szCs w:val="21"/>
                <w:highlight w:val="none"/>
              </w:rPr>
              <w:t>S</w:t>
            </w:r>
          </w:p>
          <w:p w14:paraId="4520970A">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NH</w:t>
            </w:r>
            <w:r>
              <w:rPr>
                <w:rFonts w:ascii="Times New Roman" w:hAnsi="Times New Roman" w:eastAsia="宋体" w:cs="Times New Roman"/>
                <w:sz w:val="21"/>
                <w:szCs w:val="21"/>
                <w:highlight w:val="none"/>
                <w:vertAlign w:val="subscript"/>
              </w:rPr>
              <w:t>3</w:t>
            </w:r>
          </w:p>
          <w:p w14:paraId="6C893326">
            <w:pPr>
              <w:jc w:val="center"/>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臭气</w:t>
            </w:r>
          </w:p>
          <w:p w14:paraId="2E821E46">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非甲烷总烃</w:t>
            </w:r>
          </w:p>
        </w:tc>
        <w:tc>
          <w:tcPr>
            <w:tcW w:w="401" w:type="pct"/>
            <w:noWrap w:val="0"/>
            <w:vAlign w:val="center"/>
          </w:tcPr>
          <w:p w14:paraId="0D343DCB">
            <w:pPr>
              <w:pStyle w:val="12"/>
              <w:ind w:firstLine="0" w:firstLineChars="0"/>
              <w:jc w:val="center"/>
              <w:rPr>
                <w:rFonts w:hint="default" w:ascii="Times New Roman" w:eastAsia="宋体"/>
                <w:kern w:val="2"/>
                <w:sz w:val="21"/>
                <w:szCs w:val="21"/>
                <w:highlight w:val="none"/>
                <w:lang w:val="en-US" w:eastAsia="zh-CN"/>
              </w:rPr>
            </w:pPr>
            <w:r>
              <w:rPr>
                <w:rFonts w:hint="eastAsia" w:ascii="Times New Roman"/>
                <w:kern w:val="2"/>
                <w:sz w:val="21"/>
                <w:szCs w:val="21"/>
                <w:highlight w:val="none"/>
                <w:lang w:val="en-US" w:eastAsia="zh-CN"/>
              </w:rPr>
              <w:t>24824</w:t>
            </w:r>
          </w:p>
        </w:tc>
        <w:tc>
          <w:tcPr>
            <w:tcW w:w="262" w:type="pct"/>
            <w:noWrap w:val="0"/>
            <w:vAlign w:val="center"/>
          </w:tcPr>
          <w:p w14:paraId="35823884">
            <w:pPr>
              <w:jc w:val="center"/>
              <w:rPr>
                <w:rFonts w:hint="default" w:eastAsia="宋体"/>
                <w:sz w:val="21"/>
                <w:szCs w:val="21"/>
                <w:highlight w:val="none"/>
                <w:lang w:val="en-US" w:eastAsia="zh-CN"/>
              </w:rPr>
            </w:pPr>
            <w:r>
              <w:rPr>
                <w:rFonts w:hint="eastAsia"/>
                <w:sz w:val="21"/>
                <w:szCs w:val="21"/>
                <w:highlight w:val="none"/>
                <w:lang w:val="en-US" w:eastAsia="zh-CN"/>
              </w:rPr>
              <w:t>0.341</w:t>
            </w:r>
          </w:p>
          <w:p w14:paraId="3436599E">
            <w:pPr>
              <w:jc w:val="center"/>
              <w:rPr>
                <w:rFonts w:hint="default" w:eastAsia="宋体"/>
                <w:sz w:val="21"/>
                <w:szCs w:val="21"/>
                <w:highlight w:val="none"/>
                <w:lang w:val="en-US" w:eastAsia="zh-CN"/>
              </w:rPr>
            </w:pPr>
            <w:r>
              <w:rPr>
                <w:rFonts w:hint="eastAsia"/>
                <w:sz w:val="21"/>
                <w:szCs w:val="21"/>
                <w:highlight w:val="none"/>
                <w:lang w:val="en-US" w:eastAsia="zh-CN"/>
              </w:rPr>
              <w:t>0.9</w:t>
            </w:r>
          </w:p>
          <w:p w14:paraId="767D42F5">
            <w:pPr>
              <w:jc w:val="center"/>
              <w:rPr>
                <w:rFonts w:hint="eastAsia"/>
                <w:sz w:val="21"/>
                <w:szCs w:val="21"/>
                <w:highlight w:val="none"/>
                <w:lang w:val="en-US" w:eastAsia="zh-CN"/>
              </w:rPr>
            </w:pPr>
            <w:r>
              <w:rPr>
                <w:rFonts w:hint="eastAsia"/>
                <w:sz w:val="21"/>
                <w:szCs w:val="21"/>
                <w:highlight w:val="none"/>
                <w:lang w:val="en-US" w:eastAsia="zh-CN"/>
              </w:rPr>
              <w:t>282</w:t>
            </w:r>
          </w:p>
          <w:p w14:paraId="0912F891">
            <w:pPr>
              <w:jc w:val="center"/>
              <w:rPr>
                <w:rFonts w:hint="default"/>
                <w:sz w:val="21"/>
                <w:szCs w:val="21"/>
                <w:highlight w:val="none"/>
                <w:lang w:val="en-US" w:eastAsia="zh-CN"/>
              </w:rPr>
            </w:pPr>
            <w:r>
              <w:rPr>
                <w:rFonts w:hint="eastAsia"/>
                <w:sz w:val="21"/>
                <w:szCs w:val="21"/>
                <w:highlight w:val="none"/>
                <w:lang w:val="en-US" w:eastAsia="zh-CN"/>
              </w:rPr>
              <w:t>2.1</w:t>
            </w:r>
          </w:p>
        </w:tc>
        <w:tc>
          <w:tcPr>
            <w:tcW w:w="373" w:type="pct"/>
            <w:noWrap w:val="0"/>
            <w:vAlign w:val="center"/>
          </w:tcPr>
          <w:p w14:paraId="13CBF9EA">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8.5×10</w:t>
            </w:r>
            <w:r>
              <w:rPr>
                <w:rFonts w:hint="eastAsia" w:ascii="Times New Roman" w:hAnsi="Times New Roman" w:eastAsia="宋体" w:cs="Times New Roman"/>
                <w:sz w:val="21"/>
                <w:szCs w:val="21"/>
                <w:highlight w:val="none"/>
                <w:vertAlign w:val="superscript"/>
                <w:lang w:val="en-US" w:eastAsia="zh-CN"/>
              </w:rPr>
              <w:t>-3</w:t>
            </w:r>
          </w:p>
          <w:p w14:paraId="3FF3ECDE">
            <w:pPr>
              <w:jc w:val="center"/>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0.02</w:t>
            </w:r>
          </w:p>
          <w:p w14:paraId="5958956E">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w:t>
            </w:r>
          </w:p>
          <w:p w14:paraId="7147F034">
            <w:pPr>
              <w:jc w:val="center"/>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5.2×10</w:t>
            </w:r>
            <w:r>
              <w:rPr>
                <w:rFonts w:hint="eastAsia" w:ascii="Times New Roman" w:hAnsi="Times New Roman" w:eastAsia="宋体" w:cs="Times New Roman"/>
                <w:sz w:val="21"/>
                <w:szCs w:val="21"/>
                <w:highlight w:val="none"/>
                <w:vertAlign w:val="superscript"/>
                <w:lang w:val="en-US" w:eastAsia="zh-CN"/>
              </w:rPr>
              <w:t>-2</w:t>
            </w:r>
          </w:p>
        </w:tc>
        <w:tc>
          <w:tcPr>
            <w:tcW w:w="149" w:type="pct"/>
            <w:noWrap w:val="0"/>
            <w:vAlign w:val="center"/>
          </w:tcPr>
          <w:p w14:paraId="40B22869">
            <w:pPr>
              <w:pStyle w:val="12"/>
              <w:ind w:firstLine="0" w:firstLineChars="0"/>
              <w:jc w:val="center"/>
              <w:rPr>
                <w:rFonts w:ascii="Times New Roman"/>
                <w:kern w:val="2"/>
                <w:sz w:val="21"/>
                <w:szCs w:val="21"/>
                <w:highlight w:val="none"/>
              </w:rPr>
            </w:pPr>
            <w:r>
              <w:rPr>
                <w:rFonts w:ascii="Times New Roman"/>
                <w:kern w:val="2"/>
                <w:sz w:val="21"/>
                <w:szCs w:val="21"/>
                <w:highlight w:val="none"/>
              </w:rPr>
              <w:t>1</w:t>
            </w:r>
          </w:p>
        </w:tc>
        <w:tc>
          <w:tcPr>
            <w:tcW w:w="200" w:type="pct"/>
            <w:noWrap w:val="0"/>
            <w:vAlign w:val="center"/>
          </w:tcPr>
          <w:p w14:paraId="7998C6B6">
            <w:pPr>
              <w:pStyle w:val="12"/>
              <w:ind w:firstLine="0" w:firstLineChars="0"/>
              <w:jc w:val="center"/>
              <w:rPr>
                <w:rFonts w:ascii="Times New Roman"/>
                <w:kern w:val="2"/>
                <w:sz w:val="21"/>
                <w:szCs w:val="21"/>
                <w:highlight w:val="none"/>
              </w:rPr>
            </w:pPr>
            <w:r>
              <w:rPr>
                <w:rFonts w:ascii="Times New Roman"/>
                <w:kern w:val="2"/>
                <w:sz w:val="21"/>
                <w:szCs w:val="21"/>
                <w:highlight w:val="none"/>
              </w:rPr>
              <w:t>25</w:t>
            </w:r>
          </w:p>
        </w:tc>
        <w:tc>
          <w:tcPr>
            <w:tcW w:w="271" w:type="pct"/>
            <w:noWrap w:val="0"/>
            <w:vAlign w:val="center"/>
          </w:tcPr>
          <w:p w14:paraId="2FBC4FA0">
            <w:pPr>
              <w:pStyle w:val="12"/>
              <w:ind w:firstLine="0" w:firstLineChars="0"/>
              <w:jc w:val="center"/>
              <w:rPr>
                <w:rFonts w:ascii="Times New Roman"/>
                <w:kern w:val="2"/>
                <w:sz w:val="21"/>
                <w:szCs w:val="21"/>
                <w:highlight w:val="none"/>
              </w:rPr>
            </w:pPr>
            <w:r>
              <w:rPr>
                <w:rFonts w:ascii="Times New Roman"/>
                <w:kern w:val="2"/>
                <w:sz w:val="21"/>
                <w:szCs w:val="21"/>
                <w:highlight w:val="none"/>
              </w:rPr>
              <w:t>0.3</w:t>
            </w:r>
          </w:p>
        </w:tc>
        <w:tc>
          <w:tcPr>
            <w:tcW w:w="262" w:type="pct"/>
            <w:noWrap w:val="0"/>
            <w:vAlign w:val="center"/>
          </w:tcPr>
          <w:p w14:paraId="0AC1B473">
            <w:pPr>
              <w:jc w:val="center"/>
              <w:rPr>
                <w:sz w:val="21"/>
                <w:szCs w:val="21"/>
                <w:highlight w:val="none"/>
                <w:lang w:val="pt-BR"/>
              </w:rPr>
            </w:pPr>
            <w:r>
              <w:rPr>
                <w:sz w:val="21"/>
                <w:szCs w:val="21"/>
                <w:highlight w:val="none"/>
                <w:lang w:val="pt-BR"/>
              </w:rPr>
              <w:t>/</w:t>
            </w:r>
          </w:p>
          <w:p w14:paraId="557AA2E5">
            <w:pPr>
              <w:jc w:val="center"/>
              <w:rPr>
                <w:sz w:val="21"/>
                <w:szCs w:val="21"/>
                <w:highlight w:val="none"/>
                <w:lang w:val="pt-BR"/>
              </w:rPr>
            </w:pPr>
            <w:r>
              <w:rPr>
                <w:sz w:val="21"/>
                <w:szCs w:val="21"/>
                <w:highlight w:val="none"/>
                <w:lang w:val="pt-BR"/>
              </w:rPr>
              <w:t>/</w:t>
            </w:r>
          </w:p>
          <w:p w14:paraId="35C73D2B">
            <w:pPr>
              <w:jc w:val="center"/>
              <w:rPr>
                <w:rFonts w:hint="eastAsia"/>
                <w:sz w:val="21"/>
                <w:szCs w:val="21"/>
                <w:highlight w:val="none"/>
                <w:lang w:val="en-US" w:eastAsia="zh-CN"/>
              </w:rPr>
            </w:pPr>
            <w:r>
              <w:rPr>
                <w:rFonts w:hint="eastAsia"/>
                <w:sz w:val="21"/>
                <w:szCs w:val="21"/>
                <w:highlight w:val="none"/>
                <w:lang w:val="en-US" w:eastAsia="zh-CN"/>
              </w:rPr>
              <w:t>4000</w:t>
            </w:r>
          </w:p>
          <w:p w14:paraId="767B642E">
            <w:pPr>
              <w:jc w:val="center"/>
              <w:rPr>
                <w:rFonts w:hint="default"/>
                <w:sz w:val="21"/>
                <w:szCs w:val="21"/>
                <w:highlight w:val="none"/>
                <w:lang w:val="en-US" w:eastAsia="zh-CN"/>
              </w:rPr>
            </w:pPr>
            <w:r>
              <w:rPr>
                <w:rFonts w:hint="eastAsia"/>
                <w:sz w:val="21"/>
                <w:szCs w:val="21"/>
                <w:highlight w:val="none"/>
                <w:lang w:val="en-US" w:eastAsia="zh-CN"/>
              </w:rPr>
              <w:t>120</w:t>
            </w:r>
          </w:p>
        </w:tc>
        <w:tc>
          <w:tcPr>
            <w:tcW w:w="418" w:type="pct"/>
            <w:noWrap w:val="0"/>
            <w:vAlign w:val="center"/>
          </w:tcPr>
          <w:p w14:paraId="1C7D0DB9">
            <w:pPr>
              <w:jc w:val="center"/>
              <w:rPr>
                <w:rFonts w:hint="default" w:eastAsia="宋体"/>
                <w:sz w:val="21"/>
                <w:szCs w:val="21"/>
                <w:highlight w:val="none"/>
                <w:lang w:val="en-US" w:eastAsia="zh-CN"/>
              </w:rPr>
            </w:pPr>
            <w:r>
              <w:rPr>
                <w:rFonts w:hint="eastAsia"/>
                <w:sz w:val="21"/>
                <w:szCs w:val="21"/>
                <w:highlight w:val="none"/>
                <w:lang w:val="en-US" w:eastAsia="zh-CN"/>
              </w:rPr>
              <w:t>0.58</w:t>
            </w:r>
          </w:p>
          <w:p w14:paraId="3CD6E7A0">
            <w:pPr>
              <w:jc w:val="center"/>
              <w:rPr>
                <w:rFonts w:hint="default" w:eastAsia="宋体"/>
                <w:sz w:val="21"/>
                <w:szCs w:val="21"/>
                <w:highlight w:val="none"/>
                <w:lang w:val="en-US" w:eastAsia="zh-CN"/>
              </w:rPr>
            </w:pPr>
            <w:r>
              <w:rPr>
                <w:rFonts w:hint="eastAsia"/>
                <w:sz w:val="21"/>
                <w:szCs w:val="21"/>
                <w:highlight w:val="none"/>
                <w:lang w:val="en-US" w:eastAsia="zh-CN"/>
              </w:rPr>
              <w:t>8.7</w:t>
            </w:r>
          </w:p>
          <w:p w14:paraId="52C9306D">
            <w:pPr>
              <w:jc w:val="center"/>
              <w:rPr>
                <w:rFonts w:hint="eastAsia"/>
                <w:sz w:val="21"/>
                <w:szCs w:val="21"/>
                <w:highlight w:val="none"/>
                <w:lang w:val="en-US" w:eastAsia="zh-CN"/>
              </w:rPr>
            </w:pPr>
            <w:r>
              <w:rPr>
                <w:rFonts w:hint="eastAsia"/>
                <w:sz w:val="21"/>
                <w:szCs w:val="21"/>
                <w:highlight w:val="none"/>
                <w:lang w:val="en-US" w:eastAsia="zh-CN"/>
              </w:rPr>
              <w:t>/</w:t>
            </w:r>
          </w:p>
          <w:p w14:paraId="4C88C1B8">
            <w:pPr>
              <w:jc w:val="center"/>
              <w:rPr>
                <w:rFonts w:hint="default"/>
                <w:sz w:val="21"/>
                <w:szCs w:val="21"/>
                <w:highlight w:val="none"/>
                <w:lang w:val="en-US" w:eastAsia="zh-CN"/>
              </w:rPr>
            </w:pPr>
            <w:r>
              <w:rPr>
                <w:rFonts w:hint="eastAsia"/>
                <w:sz w:val="21"/>
                <w:szCs w:val="21"/>
                <w:highlight w:val="none"/>
                <w:lang w:val="en-US" w:eastAsia="zh-CN"/>
              </w:rPr>
              <w:t>17</w:t>
            </w:r>
          </w:p>
        </w:tc>
        <w:tc>
          <w:tcPr>
            <w:tcW w:w="260" w:type="pct"/>
            <w:noWrap w:val="0"/>
            <w:vAlign w:val="center"/>
          </w:tcPr>
          <w:p w14:paraId="64A969D8">
            <w:pPr>
              <w:jc w:val="center"/>
              <w:rPr>
                <w:sz w:val="21"/>
                <w:szCs w:val="21"/>
                <w:highlight w:val="none"/>
                <w:lang w:val="pt-BR"/>
              </w:rPr>
            </w:pPr>
            <w:r>
              <w:rPr>
                <w:sz w:val="21"/>
                <w:szCs w:val="21"/>
                <w:highlight w:val="none"/>
              </w:rPr>
              <w:t>达标</w:t>
            </w:r>
          </w:p>
          <w:p w14:paraId="4CD7E1E6">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p w14:paraId="3C0BF5ED">
            <w:pPr>
              <w:pStyle w:val="12"/>
              <w:ind w:firstLine="0" w:firstLineChars="0"/>
              <w:jc w:val="center"/>
              <w:rPr>
                <w:rFonts w:ascii="Times New Roman"/>
                <w:kern w:val="2"/>
                <w:sz w:val="21"/>
                <w:szCs w:val="21"/>
                <w:highlight w:val="none"/>
              </w:rPr>
            </w:pPr>
            <w:r>
              <w:rPr>
                <w:rFonts w:ascii="Times New Roman"/>
                <w:kern w:val="2"/>
                <w:sz w:val="21"/>
                <w:szCs w:val="21"/>
                <w:highlight w:val="none"/>
              </w:rPr>
              <w:t>达标</w:t>
            </w:r>
          </w:p>
          <w:p w14:paraId="322933C0">
            <w:pPr>
              <w:pStyle w:val="13"/>
              <w:ind w:left="0" w:leftChars="0" w:firstLine="0" w:firstLineChars="0"/>
              <w:jc w:val="center"/>
              <w:rPr>
                <w:sz w:val="21"/>
                <w:szCs w:val="21"/>
                <w:highlight w:val="none"/>
              </w:rPr>
            </w:pPr>
            <w:r>
              <w:rPr>
                <w:rFonts w:ascii="Times New Roman"/>
                <w:kern w:val="2"/>
                <w:sz w:val="21"/>
                <w:szCs w:val="21"/>
                <w:highlight w:val="none"/>
              </w:rPr>
              <w:t>达标</w:t>
            </w:r>
          </w:p>
        </w:tc>
        <w:tc>
          <w:tcPr>
            <w:tcW w:w="1160" w:type="pct"/>
            <w:noWrap w:val="0"/>
            <w:vAlign w:val="center"/>
          </w:tcPr>
          <w:p w14:paraId="6137D23D">
            <w:pPr>
              <w:jc w:val="center"/>
              <w:rPr>
                <w:rFonts w:hint="eastAsia" w:eastAsia="宋体"/>
                <w:sz w:val="21"/>
                <w:szCs w:val="21"/>
                <w:highlight w:val="none"/>
                <w:lang w:val="en-US" w:eastAsia="zh-CN"/>
              </w:rPr>
            </w:pPr>
            <w:r>
              <w:rPr>
                <w:sz w:val="21"/>
                <w:szCs w:val="21"/>
                <w:highlight w:val="none"/>
              </w:rPr>
              <w:t>《恶臭污染物排放标准》（GB14554-93）二级标准</w:t>
            </w:r>
            <w:r>
              <w:rPr>
                <w:rFonts w:hint="eastAsia"/>
                <w:sz w:val="21"/>
                <w:szCs w:val="21"/>
                <w:highlight w:val="none"/>
                <w:lang w:eastAsia="zh-CN"/>
              </w:rPr>
              <w:t>；</w:t>
            </w:r>
            <w:r>
              <w:rPr>
                <w:sz w:val="21"/>
                <w:szCs w:val="21"/>
                <w:highlight w:val="none"/>
              </w:rPr>
              <w:t>《大气污染物综合排放标准》（GB16297-1996）表2二级标准</w:t>
            </w:r>
            <w:r>
              <w:rPr>
                <w:rFonts w:hint="eastAsia"/>
                <w:sz w:val="21"/>
                <w:szCs w:val="21"/>
                <w:highlight w:val="none"/>
                <w:lang w:eastAsia="zh-CN"/>
              </w:rPr>
              <w:t>。</w:t>
            </w:r>
          </w:p>
        </w:tc>
      </w:tr>
    </w:tbl>
    <w:p w14:paraId="10269B73">
      <w:pPr>
        <w:pStyle w:val="12"/>
        <w:rPr>
          <w:rFonts w:ascii="Times New Roman"/>
          <w:highlight w:val="none"/>
        </w:rPr>
      </w:pPr>
    </w:p>
    <w:p w14:paraId="7D1CA057">
      <w:pPr>
        <w:spacing w:line="360" w:lineRule="auto"/>
        <w:ind w:firstLine="480"/>
        <w:rPr>
          <w:highlight w:val="none"/>
        </w:rPr>
      </w:pPr>
      <w:r>
        <w:rPr>
          <w:highlight w:val="none"/>
        </w:rPr>
        <w:t>从</w:t>
      </w:r>
      <w:r>
        <w:rPr>
          <w:rFonts w:hint="eastAsia"/>
          <w:highlight w:val="none"/>
        </w:rPr>
        <w:t>上</w:t>
      </w:r>
      <w:r>
        <w:rPr>
          <w:highlight w:val="none"/>
        </w:rPr>
        <w:t>表可以看出，现有项目废气主要污染物排放满足验收时相应排放标准要求。</w:t>
      </w:r>
    </w:p>
    <w:p w14:paraId="433C61E9">
      <w:pPr>
        <w:ind w:firstLine="420"/>
        <w:jc w:val="center"/>
        <w:rPr>
          <w:szCs w:val="21"/>
          <w:highlight w:val="none"/>
        </w:rPr>
      </w:pPr>
      <w:r>
        <w:rPr>
          <w:b/>
          <w:bCs/>
          <w:szCs w:val="21"/>
          <w:highlight w:val="none"/>
        </w:rPr>
        <w:t>表2-1</w:t>
      </w:r>
      <w:r>
        <w:rPr>
          <w:rFonts w:hint="eastAsia"/>
          <w:b/>
          <w:bCs/>
          <w:szCs w:val="21"/>
          <w:highlight w:val="none"/>
          <w:lang w:val="en-US" w:eastAsia="zh-CN"/>
        </w:rPr>
        <w:t>4：</w:t>
      </w:r>
      <w:r>
        <w:rPr>
          <w:b/>
          <w:bCs/>
          <w:szCs w:val="21"/>
          <w:highlight w:val="none"/>
        </w:rPr>
        <w:t>现有项目废水污染物排放及采取的环保措施一览表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
        <w:gridCol w:w="2065"/>
        <w:gridCol w:w="2306"/>
        <w:gridCol w:w="1821"/>
        <w:gridCol w:w="1198"/>
        <w:gridCol w:w="1531"/>
        <w:gridCol w:w="873"/>
        <w:gridCol w:w="3553"/>
      </w:tblGrid>
      <w:tr w14:paraId="28B9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Merge w:val="restart"/>
            <w:noWrap w:val="0"/>
            <w:vAlign w:val="center"/>
          </w:tcPr>
          <w:p w14:paraId="5640BAC2">
            <w:pPr>
              <w:widowControl/>
              <w:snapToGrid w:val="0"/>
              <w:jc w:val="center"/>
              <w:rPr>
                <w:sz w:val="21"/>
                <w:szCs w:val="21"/>
                <w:highlight w:val="none"/>
              </w:rPr>
            </w:pPr>
            <w:r>
              <w:rPr>
                <w:sz w:val="21"/>
                <w:szCs w:val="21"/>
                <w:highlight w:val="none"/>
              </w:rPr>
              <w:t>装置名称</w:t>
            </w:r>
          </w:p>
        </w:tc>
        <w:tc>
          <w:tcPr>
            <w:tcW w:w="795" w:type="pct"/>
            <w:vMerge w:val="restart"/>
            <w:noWrap w:val="0"/>
            <w:vAlign w:val="center"/>
          </w:tcPr>
          <w:p w14:paraId="7F64A5E3">
            <w:pPr>
              <w:widowControl/>
              <w:snapToGrid w:val="0"/>
              <w:jc w:val="center"/>
              <w:rPr>
                <w:sz w:val="21"/>
                <w:szCs w:val="21"/>
                <w:highlight w:val="none"/>
              </w:rPr>
            </w:pPr>
            <w:r>
              <w:rPr>
                <w:sz w:val="21"/>
                <w:szCs w:val="21"/>
                <w:highlight w:val="none"/>
              </w:rPr>
              <w:t>污染源名称</w:t>
            </w:r>
          </w:p>
        </w:tc>
        <w:tc>
          <w:tcPr>
            <w:tcW w:w="628" w:type="pct"/>
            <w:vMerge w:val="restart"/>
            <w:noWrap w:val="0"/>
            <w:vAlign w:val="center"/>
          </w:tcPr>
          <w:p w14:paraId="6FC1B312">
            <w:pPr>
              <w:widowControl/>
              <w:snapToGrid w:val="0"/>
              <w:jc w:val="center"/>
              <w:rPr>
                <w:sz w:val="21"/>
                <w:szCs w:val="21"/>
                <w:highlight w:val="none"/>
              </w:rPr>
            </w:pPr>
            <w:r>
              <w:rPr>
                <w:sz w:val="21"/>
                <w:szCs w:val="21"/>
                <w:highlight w:val="none"/>
              </w:rPr>
              <w:t>产生量（m</w:t>
            </w:r>
            <w:r>
              <w:rPr>
                <w:sz w:val="21"/>
                <w:szCs w:val="21"/>
                <w:highlight w:val="none"/>
                <w:vertAlign w:val="superscript"/>
              </w:rPr>
              <w:t>3</w:t>
            </w:r>
            <w:r>
              <w:rPr>
                <w:sz w:val="21"/>
                <w:szCs w:val="21"/>
                <w:highlight w:val="none"/>
              </w:rPr>
              <w:t>/h）</w:t>
            </w:r>
          </w:p>
        </w:tc>
        <w:tc>
          <w:tcPr>
            <w:tcW w:w="941" w:type="pct"/>
            <w:gridSpan w:val="2"/>
            <w:noWrap w:val="0"/>
            <w:vAlign w:val="center"/>
          </w:tcPr>
          <w:p w14:paraId="2A3A1F3C">
            <w:pPr>
              <w:widowControl/>
              <w:snapToGrid w:val="0"/>
              <w:jc w:val="center"/>
              <w:rPr>
                <w:sz w:val="21"/>
                <w:szCs w:val="21"/>
                <w:highlight w:val="none"/>
              </w:rPr>
            </w:pPr>
            <w:r>
              <w:rPr>
                <w:sz w:val="21"/>
                <w:szCs w:val="21"/>
                <w:highlight w:val="none"/>
              </w:rPr>
              <w:t>主要污染物</w:t>
            </w:r>
          </w:p>
        </w:tc>
        <w:tc>
          <w:tcPr>
            <w:tcW w:w="301" w:type="pct"/>
            <w:vMerge w:val="restart"/>
            <w:noWrap w:val="0"/>
            <w:vAlign w:val="center"/>
          </w:tcPr>
          <w:p w14:paraId="28D5B070">
            <w:pPr>
              <w:widowControl/>
              <w:snapToGrid w:val="0"/>
              <w:jc w:val="center"/>
              <w:rPr>
                <w:sz w:val="21"/>
                <w:szCs w:val="21"/>
                <w:highlight w:val="none"/>
              </w:rPr>
            </w:pPr>
            <w:r>
              <w:rPr>
                <w:sz w:val="21"/>
                <w:szCs w:val="21"/>
                <w:highlight w:val="none"/>
              </w:rPr>
              <w:t>排放</w:t>
            </w:r>
          </w:p>
          <w:p w14:paraId="0DC2C367">
            <w:pPr>
              <w:widowControl/>
              <w:snapToGrid w:val="0"/>
              <w:jc w:val="center"/>
              <w:rPr>
                <w:sz w:val="21"/>
                <w:szCs w:val="21"/>
                <w:highlight w:val="none"/>
              </w:rPr>
            </w:pPr>
            <w:r>
              <w:rPr>
                <w:sz w:val="21"/>
                <w:szCs w:val="21"/>
                <w:highlight w:val="none"/>
              </w:rPr>
              <w:t>规律</w:t>
            </w:r>
          </w:p>
        </w:tc>
        <w:tc>
          <w:tcPr>
            <w:tcW w:w="1225" w:type="pct"/>
            <w:vMerge w:val="restart"/>
            <w:noWrap w:val="0"/>
            <w:vAlign w:val="center"/>
          </w:tcPr>
          <w:p w14:paraId="531E9984">
            <w:pPr>
              <w:widowControl/>
              <w:snapToGrid w:val="0"/>
              <w:jc w:val="center"/>
              <w:rPr>
                <w:sz w:val="21"/>
                <w:szCs w:val="21"/>
                <w:highlight w:val="none"/>
              </w:rPr>
            </w:pPr>
            <w:r>
              <w:rPr>
                <w:sz w:val="21"/>
                <w:szCs w:val="21"/>
                <w:highlight w:val="none"/>
              </w:rPr>
              <w:t>治理措施</w:t>
            </w:r>
          </w:p>
        </w:tc>
      </w:tr>
      <w:tr w14:paraId="5170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08" w:type="pct"/>
            <w:gridSpan w:val="2"/>
            <w:vMerge w:val="continue"/>
            <w:noWrap w:val="0"/>
            <w:vAlign w:val="center"/>
          </w:tcPr>
          <w:p w14:paraId="2997B1E6">
            <w:pPr>
              <w:widowControl/>
              <w:snapToGrid w:val="0"/>
              <w:jc w:val="center"/>
              <w:rPr>
                <w:sz w:val="21"/>
                <w:szCs w:val="21"/>
                <w:highlight w:val="none"/>
              </w:rPr>
            </w:pPr>
          </w:p>
        </w:tc>
        <w:tc>
          <w:tcPr>
            <w:tcW w:w="795" w:type="pct"/>
            <w:vMerge w:val="continue"/>
            <w:noWrap w:val="0"/>
            <w:vAlign w:val="center"/>
          </w:tcPr>
          <w:p w14:paraId="6298582A">
            <w:pPr>
              <w:widowControl/>
              <w:snapToGrid w:val="0"/>
              <w:jc w:val="center"/>
              <w:rPr>
                <w:sz w:val="21"/>
                <w:szCs w:val="21"/>
                <w:highlight w:val="none"/>
              </w:rPr>
            </w:pPr>
          </w:p>
        </w:tc>
        <w:tc>
          <w:tcPr>
            <w:tcW w:w="628" w:type="pct"/>
            <w:vMerge w:val="continue"/>
            <w:noWrap w:val="0"/>
            <w:vAlign w:val="center"/>
          </w:tcPr>
          <w:p w14:paraId="48459B34">
            <w:pPr>
              <w:widowControl/>
              <w:snapToGrid w:val="0"/>
              <w:jc w:val="center"/>
              <w:rPr>
                <w:sz w:val="21"/>
                <w:szCs w:val="21"/>
                <w:highlight w:val="none"/>
              </w:rPr>
            </w:pPr>
          </w:p>
        </w:tc>
        <w:tc>
          <w:tcPr>
            <w:tcW w:w="413" w:type="pct"/>
            <w:noWrap w:val="0"/>
            <w:vAlign w:val="center"/>
          </w:tcPr>
          <w:p w14:paraId="65F8514A">
            <w:pPr>
              <w:widowControl/>
              <w:snapToGrid w:val="0"/>
              <w:jc w:val="center"/>
              <w:rPr>
                <w:sz w:val="21"/>
                <w:szCs w:val="21"/>
                <w:highlight w:val="none"/>
              </w:rPr>
            </w:pPr>
            <w:r>
              <w:rPr>
                <w:sz w:val="21"/>
                <w:szCs w:val="21"/>
                <w:highlight w:val="none"/>
              </w:rPr>
              <w:t>名称</w:t>
            </w:r>
          </w:p>
        </w:tc>
        <w:tc>
          <w:tcPr>
            <w:tcW w:w="528" w:type="pct"/>
            <w:noWrap w:val="0"/>
            <w:vAlign w:val="center"/>
          </w:tcPr>
          <w:p w14:paraId="1E219AA6">
            <w:pPr>
              <w:widowControl/>
              <w:snapToGrid w:val="0"/>
              <w:jc w:val="center"/>
              <w:rPr>
                <w:rFonts w:hint="eastAsia" w:eastAsia="宋体"/>
                <w:sz w:val="21"/>
                <w:szCs w:val="21"/>
                <w:highlight w:val="none"/>
                <w:lang w:eastAsia="zh-CN"/>
              </w:rPr>
            </w:pPr>
            <w:r>
              <w:rPr>
                <w:sz w:val="21"/>
                <w:szCs w:val="21"/>
                <w:highlight w:val="none"/>
              </w:rPr>
              <w:t>排放浓度</w:t>
            </w:r>
            <w:r>
              <w:rPr>
                <w:rFonts w:hint="eastAsia"/>
                <w:sz w:val="21"/>
                <w:szCs w:val="21"/>
                <w:highlight w:val="none"/>
                <w:lang w:eastAsia="zh-CN"/>
              </w:rPr>
              <w:t>（</w:t>
            </w:r>
            <w:r>
              <w:rPr>
                <w:sz w:val="21"/>
                <w:szCs w:val="21"/>
                <w:highlight w:val="none"/>
              </w:rPr>
              <w:t>mg/L</w:t>
            </w:r>
            <w:r>
              <w:rPr>
                <w:rFonts w:hint="eastAsia"/>
                <w:sz w:val="21"/>
                <w:szCs w:val="21"/>
                <w:highlight w:val="none"/>
                <w:lang w:eastAsia="zh-CN"/>
              </w:rPr>
              <w:t>）</w:t>
            </w:r>
          </w:p>
        </w:tc>
        <w:tc>
          <w:tcPr>
            <w:tcW w:w="301" w:type="pct"/>
            <w:vMerge w:val="continue"/>
            <w:noWrap w:val="0"/>
            <w:vAlign w:val="center"/>
          </w:tcPr>
          <w:p w14:paraId="1BDC81FC">
            <w:pPr>
              <w:widowControl/>
              <w:snapToGrid w:val="0"/>
              <w:jc w:val="center"/>
              <w:rPr>
                <w:sz w:val="21"/>
                <w:szCs w:val="21"/>
                <w:highlight w:val="none"/>
              </w:rPr>
            </w:pPr>
          </w:p>
        </w:tc>
        <w:tc>
          <w:tcPr>
            <w:tcW w:w="1225" w:type="pct"/>
            <w:vMerge w:val="continue"/>
            <w:noWrap w:val="0"/>
            <w:vAlign w:val="center"/>
          </w:tcPr>
          <w:p w14:paraId="0AD83CE0">
            <w:pPr>
              <w:widowControl/>
              <w:snapToGrid w:val="0"/>
              <w:jc w:val="center"/>
              <w:rPr>
                <w:sz w:val="21"/>
                <w:szCs w:val="21"/>
                <w:highlight w:val="none"/>
              </w:rPr>
            </w:pPr>
          </w:p>
        </w:tc>
      </w:tr>
      <w:tr w14:paraId="4379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40711219">
            <w:pPr>
              <w:widowControl/>
              <w:snapToGrid w:val="0"/>
              <w:jc w:val="center"/>
              <w:rPr>
                <w:sz w:val="21"/>
                <w:szCs w:val="21"/>
                <w:highlight w:val="none"/>
              </w:rPr>
            </w:pPr>
            <w:r>
              <w:rPr>
                <w:sz w:val="21"/>
                <w:szCs w:val="21"/>
                <w:highlight w:val="none"/>
              </w:rPr>
              <w:t>煤气化装置</w:t>
            </w:r>
          </w:p>
        </w:tc>
        <w:tc>
          <w:tcPr>
            <w:tcW w:w="712" w:type="pct"/>
            <w:noWrap w:val="0"/>
            <w:vAlign w:val="center"/>
          </w:tcPr>
          <w:p w14:paraId="12D7040F">
            <w:pPr>
              <w:widowControl/>
              <w:snapToGrid w:val="0"/>
              <w:jc w:val="center"/>
              <w:rPr>
                <w:sz w:val="21"/>
                <w:szCs w:val="21"/>
                <w:highlight w:val="none"/>
              </w:rPr>
            </w:pPr>
            <w:r>
              <w:rPr>
                <w:sz w:val="21"/>
                <w:szCs w:val="21"/>
                <w:highlight w:val="none"/>
              </w:rPr>
              <w:t>粉煤气化（渣及灰水处理单元）</w:t>
            </w:r>
          </w:p>
        </w:tc>
        <w:tc>
          <w:tcPr>
            <w:tcW w:w="795" w:type="pct"/>
            <w:noWrap w:val="0"/>
            <w:vAlign w:val="center"/>
          </w:tcPr>
          <w:p w14:paraId="6DE0325C">
            <w:pPr>
              <w:widowControl/>
              <w:snapToGrid w:val="0"/>
              <w:jc w:val="center"/>
              <w:rPr>
                <w:sz w:val="21"/>
                <w:szCs w:val="21"/>
                <w:highlight w:val="none"/>
              </w:rPr>
            </w:pPr>
            <w:r>
              <w:rPr>
                <w:sz w:val="21"/>
                <w:szCs w:val="21"/>
                <w:highlight w:val="none"/>
              </w:rPr>
              <w:t>粉煤气化废水</w:t>
            </w:r>
          </w:p>
        </w:tc>
        <w:tc>
          <w:tcPr>
            <w:tcW w:w="628" w:type="pct"/>
            <w:noWrap w:val="0"/>
            <w:vAlign w:val="center"/>
          </w:tcPr>
          <w:p w14:paraId="26342310">
            <w:pPr>
              <w:widowControl/>
              <w:snapToGrid w:val="0"/>
              <w:jc w:val="center"/>
              <w:rPr>
                <w:sz w:val="21"/>
                <w:szCs w:val="21"/>
                <w:highlight w:val="none"/>
              </w:rPr>
            </w:pPr>
            <w:r>
              <w:rPr>
                <w:sz w:val="21"/>
                <w:szCs w:val="21"/>
                <w:highlight w:val="none"/>
              </w:rPr>
              <w:t>600</w:t>
            </w:r>
          </w:p>
        </w:tc>
        <w:tc>
          <w:tcPr>
            <w:tcW w:w="413" w:type="pct"/>
            <w:noWrap w:val="0"/>
            <w:vAlign w:val="center"/>
          </w:tcPr>
          <w:p w14:paraId="2B573F56">
            <w:pPr>
              <w:widowControl/>
              <w:snapToGrid w:val="0"/>
              <w:jc w:val="center"/>
              <w:rPr>
                <w:sz w:val="21"/>
                <w:szCs w:val="21"/>
                <w:highlight w:val="none"/>
              </w:rPr>
            </w:pPr>
            <w:r>
              <w:rPr>
                <w:sz w:val="21"/>
                <w:szCs w:val="21"/>
                <w:highlight w:val="none"/>
              </w:rPr>
              <w:t>氨氮</w:t>
            </w:r>
          </w:p>
          <w:p w14:paraId="66F9B4F2">
            <w:pPr>
              <w:widowControl/>
              <w:snapToGrid w:val="0"/>
              <w:jc w:val="center"/>
              <w:rPr>
                <w:sz w:val="21"/>
                <w:szCs w:val="21"/>
                <w:highlight w:val="none"/>
              </w:rPr>
            </w:pPr>
            <w:r>
              <w:rPr>
                <w:sz w:val="21"/>
                <w:szCs w:val="21"/>
                <w:highlight w:val="none"/>
              </w:rPr>
              <w:t>SS</w:t>
            </w:r>
          </w:p>
          <w:p w14:paraId="1ED60DCD">
            <w:pPr>
              <w:widowControl/>
              <w:snapToGrid w:val="0"/>
              <w:jc w:val="center"/>
              <w:rPr>
                <w:sz w:val="21"/>
                <w:szCs w:val="21"/>
                <w:highlight w:val="none"/>
              </w:rPr>
            </w:pPr>
            <w:r>
              <w:rPr>
                <w:sz w:val="21"/>
                <w:szCs w:val="21"/>
                <w:highlight w:val="none"/>
              </w:rPr>
              <w:t>BOD</w:t>
            </w:r>
          </w:p>
          <w:p w14:paraId="42048F14">
            <w:pPr>
              <w:widowControl/>
              <w:snapToGrid w:val="0"/>
              <w:jc w:val="center"/>
              <w:rPr>
                <w:sz w:val="21"/>
                <w:szCs w:val="21"/>
                <w:highlight w:val="none"/>
              </w:rPr>
            </w:pPr>
            <w:r>
              <w:rPr>
                <w:sz w:val="21"/>
                <w:szCs w:val="21"/>
                <w:highlight w:val="none"/>
              </w:rPr>
              <w:t>COD</w:t>
            </w:r>
          </w:p>
          <w:p w14:paraId="03B3D336">
            <w:pPr>
              <w:widowControl/>
              <w:snapToGrid w:val="0"/>
              <w:jc w:val="center"/>
              <w:rPr>
                <w:sz w:val="21"/>
                <w:szCs w:val="21"/>
                <w:highlight w:val="none"/>
              </w:rPr>
            </w:pPr>
            <w:r>
              <w:rPr>
                <w:sz w:val="21"/>
                <w:szCs w:val="21"/>
                <w:highlight w:val="none"/>
              </w:rPr>
              <w:t>TDS</w:t>
            </w:r>
          </w:p>
          <w:p w14:paraId="2037A02E">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1A3C11CB">
            <w:pPr>
              <w:widowControl/>
              <w:snapToGrid w:val="0"/>
              <w:jc w:val="center"/>
              <w:rPr>
                <w:sz w:val="21"/>
                <w:szCs w:val="21"/>
                <w:highlight w:val="none"/>
              </w:rPr>
            </w:pPr>
            <w:r>
              <w:rPr>
                <w:sz w:val="21"/>
                <w:szCs w:val="21"/>
                <w:highlight w:val="none"/>
              </w:rPr>
              <w:t>PH</w:t>
            </w:r>
          </w:p>
          <w:p w14:paraId="2D2A9C8A">
            <w:pPr>
              <w:widowControl/>
              <w:snapToGrid w:val="0"/>
              <w:jc w:val="center"/>
              <w:rPr>
                <w:sz w:val="21"/>
                <w:szCs w:val="21"/>
                <w:highlight w:val="none"/>
              </w:rPr>
            </w:pPr>
            <w:r>
              <w:rPr>
                <w:sz w:val="21"/>
                <w:szCs w:val="21"/>
                <w:highlight w:val="none"/>
              </w:rPr>
              <w:t>CN</w:t>
            </w:r>
            <w:r>
              <w:rPr>
                <w:sz w:val="21"/>
                <w:szCs w:val="21"/>
                <w:highlight w:val="none"/>
                <w:vertAlign w:val="superscript"/>
              </w:rPr>
              <w:t>-</w:t>
            </w:r>
          </w:p>
          <w:p w14:paraId="75B3887B">
            <w:pPr>
              <w:widowControl/>
              <w:snapToGrid w:val="0"/>
              <w:jc w:val="center"/>
              <w:rPr>
                <w:sz w:val="21"/>
                <w:szCs w:val="21"/>
                <w:highlight w:val="none"/>
              </w:rPr>
            </w:pPr>
            <w:r>
              <w:rPr>
                <w:sz w:val="21"/>
                <w:szCs w:val="21"/>
                <w:highlight w:val="none"/>
              </w:rPr>
              <w:t>硬度</w:t>
            </w:r>
          </w:p>
          <w:p w14:paraId="060D329A">
            <w:pPr>
              <w:widowControl/>
              <w:snapToGrid w:val="0"/>
              <w:jc w:val="center"/>
              <w:rPr>
                <w:sz w:val="21"/>
                <w:szCs w:val="21"/>
                <w:highlight w:val="none"/>
              </w:rPr>
            </w:pPr>
            <w:r>
              <w:rPr>
                <w:sz w:val="21"/>
                <w:szCs w:val="21"/>
                <w:highlight w:val="none"/>
              </w:rPr>
              <w:t>碱度</w:t>
            </w:r>
          </w:p>
          <w:p w14:paraId="4E19B76A">
            <w:pPr>
              <w:widowControl/>
              <w:snapToGrid w:val="0"/>
              <w:jc w:val="center"/>
              <w:rPr>
                <w:sz w:val="21"/>
                <w:szCs w:val="21"/>
                <w:highlight w:val="none"/>
              </w:rPr>
            </w:pPr>
            <w:r>
              <w:rPr>
                <w:sz w:val="21"/>
                <w:szCs w:val="21"/>
                <w:highlight w:val="none"/>
              </w:rPr>
              <w:t>硫化物</w:t>
            </w:r>
          </w:p>
        </w:tc>
        <w:tc>
          <w:tcPr>
            <w:tcW w:w="528" w:type="pct"/>
            <w:noWrap w:val="0"/>
            <w:vAlign w:val="center"/>
          </w:tcPr>
          <w:p w14:paraId="7D8CF738">
            <w:pPr>
              <w:widowControl/>
              <w:snapToGrid w:val="0"/>
              <w:jc w:val="center"/>
              <w:rPr>
                <w:sz w:val="21"/>
                <w:szCs w:val="21"/>
                <w:highlight w:val="none"/>
              </w:rPr>
            </w:pPr>
            <w:r>
              <w:rPr>
                <w:sz w:val="21"/>
                <w:szCs w:val="21"/>
                <w:highlight w:val="none"/>
              </w:rPr>
              <w:t>&lt;200</w:t>
            </w:r>
          </w:p>
          <w:p w14:paraId="044BEA56">
            <w:pPr>
              <w:widowControl/>
              <w:snapToGrid w:val="0"/>
              <w:jc w:val="center"/>
              <w:rPr>
                <w:sz w:val="21"/>
                <w:szCs w:val="21"/>
                <w:highlight w:val="none"/>
              </w:rPr>
            </w:pPr>
            <w:r>
              <w:rPr>
                <w:sz w:val="21"/>
                <w:szCs w:val="21"/>
                <w:highlight w:val="none"/>
              </w:rPr>
              <w:t>&lt;100</w:t>
            </w:r>
          </w:p>
          <w:p w14:paraId="166D1956">
            <w:pPr>
              <w:widowControl/>
              <w:snapToGrid w:val="0"/>
              <w:jc w:val="center"/>
              <w:rPr>
                <w:sz w:val="21"/>
                <w:szCs w:val="21"/>
                <w:highlight w:val="none"/>
              </w:rPr>
            </w:pPr>
            <w:r>
              <w:rPr>
                <w:sz w:val="21"/>
                <w:szCs w:val="21"/>
                <w:highlight w:val="none"/>
              </w:rPr>
              <w:t>&lt;200</w:t>
            </w:r>
          </w:p>
          <w:p w14:paraId="652B4CD9">
            <w:pPr>
              <w:widowControl/>
              <w:snapToGrid w:val="0"/>
              <w:jc w:val="center"/>
              <w:rPr>
                <w:sz w:val="21"/>
                <w:szCs w:val="21"/>
                <w:highlight w:val="none"/>
              </w:rPr>
            </w:pPr>
            <w:r>
              <w:rPr>
                <w:sz w:val="21"/>
                <w:szCs w:val="21"/>
                <w:highlight w:val="none"/>
              </w:rPr>
              <w:t>&lt;300</w:t>
            </w:r>
          </w:p>
          <w:p w14:paraId="154CF3E4">
            <w:pPr>
              <w:widowControl/>
              <w:snapToGrid w:val="0"/>
              <w:jc w:val="center"/>
              <w:rPr>
                <w:sz w:val="21"/>
                <w:szCs w:val="21"/>
                <w:highlight w:val="none"/>
              </w:rPr>
            </w:pPr>
            <w:r>
              <w:rPr>
                <w:sz w:val="21"/>
                <w:szCs w:val="21"/>
                <w:highlight w:val="none"/>
              </w:rPr>
              <w:t>&lt;2000</w:t>
            </w:r>
          </w:p>
          <w:p w14:paraId="7C6AEBC5">
            <w:pPr>
              <w:widowControl/>
              <w:snapToGrid w:val="0"/>
              <w:jc w:val="center"/>
              <w:rPr>
                <w:sz w:val="21"/>
                <w:szCs w:val="21"/>
                <w:highlight w:val="none"/>
              </w:rPr>
            </w:pPr>
            <w:r>
              <w:rPr>
                <w:sz w:val="21"/>
                <w:szCs w:val="21"/>
                <w:highlight w:val="none"/>
              </w:rPr>
              <w:t>&lt;500</w:t>
            </w:r>
          </w:p>
          <w:p w14:paraId="20AD61E8">
            <w:pPr>
              <w:widowControl/>
              <w:snapToGrid w:val="0"/>
              <w:jc w:val="center"/>
              <w:rPr>
                <w:sz w:val="21"/>
                <w:szCs w:val="21"/>
                <w:highlight w:val="none"/>
              </w:rPr>
            </w:pPr>
            <w:r>
              <w:rPr>
                <w:sz w:val="21"/>
                <w:szCs w:val="21"/>
                <w:highlight w:val="none"/>
              </w:rPr>
              <w:t>7~9</w:t>
            </w:r>
          </w:p>
          <w:p w14:paraId="03C75D6C">
            <w:pPr>
              <w:widowControl/>
              <w:snapToGrid w:val="0"/>
              <w:jc w:val="center"/>
              <w:rPr>
                <w:sz w:val="21"/>
                <w:szCs w:val="21"/>
                <w:highlight w:val="none"/>
              </w:rPr>
            </w:pPr>
            <w:r>
              <w:rPr>
                <w:sz w:val="21"/>
                <w:szCs w:val="21"/>
                <w:highlight w:val="none"/>
              </w:rPr>
              <w:t>&lt;10</w:t>
            </w:r>
          </w:p>
          <w:p w14:paraId="5CB47842">
            <w:pPr>
              <w:widowControl/>
              <w:snapToGrid w:val="0"/>
              <w:jc w:val="center"/>
              <w:rPr>
                <w:sz w:val="21"/>
                <w:szCs w:val="21"/>
                <w:highlight w:val="none"/>
              </w:rPr>
            </w:pPr>
            <w:r>
              <w:rPr>
                <w:sz w:val="21"/>
                <w:szCs w:val="21"/>
                <w:highlight w:val="none"/>
              </w:rPr>
              <w:t>&lt;1200</w:t>
            </w:r>
          </w:p>
          <w:p w14:paraId="4B1620FE">
            <w:pPr>
              <w:widowControl/>
              <w:snapToGrid w:val="0"/>
              <w:jc w:val="center"/>
              <w:rPr>
                <w:sz w:val="21"/>
                <w:szCs w:val="21"/>
                <w:highlight w:val="none"/>
              </w:rPr>
            </w:pPr>
            <w:r>
              <w:rPr>
                <w:sz w:val="21"/>
                <w:szCs w:val="21"/>
                <w:highlight w:val="none"/>
              </w:rPr>
              <w:t>&lt;700</w:t>
            </w:r>
          </w:p>
          <w:p w14:paraId="03B89215">
            <w:pPr>
              <w:widowControl/>
              <w:snapToGrid w:val="0"/>
              <w:jc w:val="center"/>
              <w:rPr>
                <w:sz w:val="21"/>
                <w:szCs w:val="21"/>
                <w:highlight w:val="none"/>
              </w:rPr>
            </w:pPr>
            <w:r>
              <w:rPr>
                <w:sz w:val="21"/>
                <w:szCs w:val="21"/>
                <w:highlight w:val="none"/>
              </w:rPr>
              <w:t>10</w:t>
            </w:r>
          </w:p>
        </w:tc>
        <w:tc>
          <w:tcPr>
            <w:tcW w:w="301" w:type="pct"/>
            <w:noWrap w:val="0"/>
            <w:vAlign w:val="center"/>
          </w:tcPr>
          <w:p w14:paraId="7D2CFF70">
            <w:pPr>
              <w:widowControl/>
              <w:snapToGrid w:val="0"/>
              <w:jc w:val="center"/>
              <w:rPr>
                <w:sz w:val="21"/>
                <w:szCs w:val="21"/>
                <w:highlight w:val="none"/>
              </w:rPr>
            </w:pPr>
            <w:r>
              <w:rPr>
                <w:sz w:val="21"/>
                <w:szCs w:val="21"/>
                <w:highlight w:val="none"/>
              </w:rPr>
              <w:t>连续</w:t>
            </w:r>
          </w:p>
        </w:tc>
        <w:tc>
          <w:tcPr>
            <w:tcW w:w="1225" w:type="pct"/>
            <w:noWrap w:val="0"/>
            <w:vAlign w:val="center"/>
          </w:tcPr>
          <w:p w14:paraId="6056AF62">
            <w:pPr>
              <w:widowControl/>
              <w:snapToGrid w:val="0"/>
              <w:jc w:val="center"/>
              <w:rPr>
                <w:rFonts w:hint="eastAsia" w:eastAsia="宋体"/>
                <w:sz w:val="21"/>
                <w:szCs w:val="21"/>
                <w:highlight w:val="none"/>
                <w:lang w:eastAsia="zh-CN"/>
              </w:rPr>
            </w:pPr>
            <w:r>
              <w:rPr>
                <w:sz w:val="21"/>
                <w:szCs w:val="21"/>
                <w:highlight w:val="none"/>
              </w:rPr>
              <w:t>去厂内</w:t>
            </w:r>
            <w:r>
              <w:rPr>
                <w:rFonts w:hint="eastAsia"/>
                <w:sz w:val="21"/>
                <w:szCs w:val="21"/>
                <w:highlight w:val="none"/>
                <w:lang w:eastAsia="zh-CN"/>
              </w:rPr>
              <w:t>污水处理厂</w:t>
            </w:r>
          </w:p>
        </w:tc>
      </w:tr>
      <w:tr w14:paraId="15A6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5B83F1D">
            <w:pPr>
              <w:widowControl/>
              <w:snapToGrid w:val="0"/>
              <w:jc w:val="center"/>
              <w:rPr>
                <w:sz w:val="21"/>
                <w:szCs w:val="21"/>
                <w:highlight w:val="none"/>
              </w:rPr>
            </w:pPr>
          </w:p>
        </w:tc>
        <w:tc>
          <w:tcPr>
            <w:tcW w:w="712" w:type="pct"/>
            <w:noWrap w:val="0"/>
            <w:vAlign w:val="center"/>
          </w:tcPr>
          <w:p w14:paraId="77B06DC6">
            <w:pPr>
              <w:widowControl/>
              <w:snapToGrid w:val="0"/>
              <w:jc w:val="center"/>
              <w:rPr>
                <w:sz w:val="21"/>
                <w:szCs w:val="21"/>
                <w:highlight w:val="none"/>
              </w:rPr>
            </w:pPr>
            <w:r>
              <w:rPr>
                <w:sz w:val="21"/>
                <w:szCs w:val="21"/>
                <w:highlight w:val="none"/>
              </w:rPr>
              <w:t>粉煤气化（公用工程）</w:t>
            </w:r>
          </w:p>
        </w:tc>
        <w:tc>
          <w:tcPr>
            <w:tcW w:w="795" w:type="pct"/>
            <w:noWrap w:val="0"/>
            <w:vAlign w:val="center"/>
          </w:tcPr>
          <w:p w14:paraId="083E4EFE">
            <w:pPr>
              <w:widowControl/>
              <w:snapToGrid w:val="0"/>
              <w:jc w:val="center"/>
              <w:rPr>
                <w:sz w:val="21"/>
                <w:szCs w:val="21"/>
                <w:highlight w:val="none"/>
              </w:rPr>
            </w:pPr>
            <w:r>
              <w:rPr>
                <w:sz w:val="21"/>
                <w:szCs w:val="21"/>
                <w:highlight w:val="none"/>
              </w:rPr>
              <w:t>汽包排污</w:t>
            </w:r>
          </w:p>
        </w:tc>
        <w:tc>
          <w:tcPr>
            <w:tcW w:w="628" w:type="pct"/>
            <w:noWrap w:val="0"/>
            <w:vAlign w:val="center"/>
          </w:tcPr>
          <w:p w14:paraId="164442E1">
            <w:pPr>
              <w:widowControl/>
              <w:snapToGrid w:val="0"/>
              <w:jc w:val="center"/>
              <w:rPr>
                <w:sz w:val="21"/>
                <w:szCs w:val="21"/>
                <w:highlight w:val="none"/>
              </w:rPr>
            </w:pPr>
            <w:r>
              <w:rPr>
                <w:sz w:val="21"/>
                <w:szCs w:val="21"/>
                <w:highlight w:val="none"/>
              </w:rPr>
              <w:t>0.5</w:t>
            </w:r>
          </w:p>
        </w:tc>
        <w:tc>
          <w:tcPr>
            <w:tcW w:w="413" w:type="pct"/>
            <w:noWrap w:val="0"/>
            <w:vAlign w:val="center"/>
          </w:tcPr>
          <w:p w14:paraId="1EF98E91">
            <w:pPr>
              <w:widowControl/>
              <w:snapToGrid w:val="0"/>
              <w:jc w:val="center"/>
              <w:rPr>
                <w:sz w:val="21"/>
                <w:szCs w:val="21"/>
                <w:highlight w:val="none"/>
              </w:rPr>
            </w:pPr>
            <w:r>
              <w:rPr>
                <w:sz w:val="21"/>
                <w:szCs w:val="21"/>
                <w:highlight w:val="none"/>
              </w:rPr>
              <w:t>TDS</w:t>
            </w:r>
          </w:p>
        </w:tc>
        <w:tc>
          <w:tcPr>
            <w:tcW w:w="528" w:type="pct"/>
            <w:noWrap w:val="0"/>
            <w:vAlign w:val="center"/>
          </w:tcPr>
          <w:p w14:paraId="7BBC2437">
            <w:pPr>
              <w:widowControl/>
              <w:snapToGrid w:val="0"/>
              <w:jc w:val="center"/>
              <w:rPr>
                <w:sz w:val="21"/>
                <w:szCs w:val="21"/>
                <w:highlight w:val="none"/>
              </w:rPr>
            </w:pPr>
            <w:r>
              <w:rPr>
                <w:sz w:val="21"/>
                <w:szCs w:val="21"/>
                <w:highlight w:val="none"/>
              </w:rPr>
              <w:t>17</w:t>
            </w:r>
          </w:p>
        </w:tc>
        <w:tc>
          <w:tcPr>
            <w:tcW w:w="301" w:type="pct"/>
            <w:noWrap w:val="0"/>
            <w:vAlign w:val="center"/>
          </w:tcPr>
          <w:p w14:paraId="237FD3DB">
            <w:pPr>
              <w:widowControl/>
              <w:snapToGrid w:val="0"/>
              <w:jc w:val="center"/>
              <w:rPr>
                <w:sz w:val="21"/>
                <w:szCs w:val="21"/>
                <w:highlight w:val="none"/>
              </w:rPr>
            </w:pPr>
            <w:r>
              <w:rPr>
                <w:sz w:val="21"/>
                <w:szCs w:val="21"/>
                <w:highlight w:val="none"/>
              </w:rPr>
              <w:t>连续</w:t>
            </w:r>
          </w:p>
        </w:tc>
        <w:tc>
          <w:tcPr>
            <w:tcW w:w="1225" w:type="pct"/>
            <w:noWrap w:val="0"/>
            <w:vAlign w:val="center"/>
          </w:tcPr>
          <w:p w14:paraId="2CEA6EEA">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5248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F27D215">
            <w:pPr>
              <w:widowControl/>
              <w:snapToGrid w:val="0"/>
              <w:jc w:val="center"/>
              <w:rPr>
                <w:sz w:val="21"/>
                <w:szCs w:val="21"/>
                <w:highlight w:val="none"/>
              </w:rPr>
            </w:pPr>
          </w:p>
        </w:tc>
        <w:tc>
          <w:tcPr>
            <w:tcW w:w="712" w:type="pct"/>
            <w:noWrap w:val="0"/>
            <w:vAlign w:val="center"/>
          </w:tcPr>
          <w:p w14:paraId="7E3EC315">
            <w:pPr>
              <w:widowControl/>
              <w:snapToGrid w:val="0"/>
              <w:jc w:val="center"/>
              <w:rPr>
                <w:sz w:val="21"/>
                <w:szCs w:val="21"/>
                <w:highlight w:val="none"/>
              </w:rPr>
            </w:pPr>
            <w:r>
              <w:rPr>
                <w:sz w:val="21"/>
                <w:szCs w:val="21"/>
                <w:highlight w:val="none"/>
              </w:rPr>
              <w:t>水煤浆气化</w:t>
            </w:r>
          </w:p>
        </w:tc>
        <w:tc>
          <w:tcPr>
            <w:tcW w:w="795" w:type="pct"/>
            <w:noWrap w:val="0"/>
            <w:vAlign w:val="center"/>
          </w:tcPr>
          <w:p w14:paraId="700C9BDF">
            <w:pPr>
              <w:widowControl/>
              <w:snapToGrid w:val="0"/>
              <w:jc w:val="center"/>
              <w:rPr>
                <w:sz w:val="21"/>
                <w:szCs w:val="21"/>
                <w:highlight w:val="none"/>
              </w:rPr>
            </w:pPr>
            <w:r>
              <w:rPr>
                <w:sz w:val="21"/>
                <w:szCs w:val="21"/>
                <w:highlight w:val="none"/>
              </w:rPr>
              <w:t>水煤浆气化废水</w:t>
            </w:r>
          </w:p>
        </w:tc>
        <w:tc>
          <w:tcPr>
            <w:tcW w:w="628" w:type="pct"/>
            <w:noWrap w:val="0"/>
            <w:vAlign w:val="center"/>
          </w:tcPr>
          <w:p w14:paraId="71A00F07">
            <w:pPr>
              <w:widowControl/>
              <w:snapToGrid w:val="0"/>
              <w:jc w:val="center"/>
              <w:rPr>
                <w:sz w:val="21"/>
                <w:szCs w:val="21"/>
                <w:highlight w:val="none"/>
              </w:rPr>
            </w:pPr>
            <w:r>
              <w:rPr>
                <w:sz w:val="21"/>
                <w:szCs w:val="21"/>
                <w:highlight w:val="none"/>
              </w:rPr>
              <w:t>100.14</w:t>
            </w:r>
          </w:p>
        </w:tc>
        <w:tc>
          <w:tcPr>
            <w:tcW w:w="413" w:type="pct"/>
            <w:noWrap w:val="0"/>
            <w:vAlign w:val="center"/>
          </w:tcPr>
          <w:p w14:paraId="68B2FAAF">
            <w:pPr>
              <w:widowControl/>
              <w:snapToGrid w:val="0"/>
              <w:jc w:val="center"/>
              <w:rPr>
                <w:sz w:val="21"/>
                <w:szCs w:val="21"/>
                <w:highlight w:val="none"/>
              </w:rPr>
            </w:pPr>
            <w:r>
              <w:rPr>
                <w:sz w:val="21"/>
                <w:szCs w:val="21"/>
                <w:highlight w:val="none"/>
              </w:rPr>
              <w:t>氨氮</w:t>
            </w:r>
          </w:p>
          <w:p w14:paraId="12AFFD1D">
            <w:pPr>
              <w:widowControl/>
              <w:snapToGrid w:val="0"/>
              <w:jc w:val="center"/>
              <w:rPr>
                <w:sz w:val="21"/>
                <w:szCs w:val="21"/>
                <w:highlight w:val="none"/>
              </w:rPr>
            </w:pPr>
            <w:r>
              <w:rPr>
                <w:sz w:val="21"/>
                <w:szCs w:val="21"/>
                <w:highlight w:val="none"/>
              </w:rPr>
              <w:t>SS</w:t>
            </w:r>
          </w:p>
          <w:p w14:paraId="59B51D6A">
            <w:pPr>
              <w:widowControl/>
              <w:snapToGrid w:val="0"/>
              <w:jc w:val="center"/>
              <w:rPr>
                <w:sz w:val="21"/>
                <w:szCs w:val="21"/>
                <w:highlight w:val="none"/>
              </w:rPr>
            </w:pPr>
            <w:r>
              <w:rPr>
                <w:sz w:val="21"/>
                <w:szCs w:val="21"/>
                <w:highlight w:val="none"/>
              </w:rPr>
              <w:t>BOD</w:t>
            </w:r>
          </w:p>
          <w:p w14:paraId="2A8FF09F">
            <w:pPr>
              <w:widowControl/>
              <w:snapToGrid w:val="0"/>
              <w:jc w:val="center"/>
              <w:rPr>
                <w:sz w:val="21"/>
                <w:szCs w:val="21"/>
                <w:highlight w:val="none"/>
              </w:rPr>
            </w:pPr>
            <w:r>
              <w:rPr>
                <w:sz w:val="21"/>
                <w:szCs w:val="21"/>
                <w:highlight w:val="none"/>
              </w:rPr>
              <w:t>COD</w:t>
            </w:r>
          </w:p>
          <w:p w14:paraId="6F4D73DA">
            <w:pPr>
              <w:widowControl/>
              <w:snapToGrid w:val="0"/>
              <w:jc w:val="center"/>
              <w:rPr>
                <w:sz w:val="21"/>
                <w:szCs w:val="21"/>
                <w:highlight w:val="none"/>
              </w:rPr>
            </w:pPr>
            <w:r>
              <w:rPr>
                <w:sz w:val="21"/>
                <w:szCs w:val="21"/>
                <w:highlight w:val="none"/>
              </w:rPr>
              <w:t>TDS</w:t>
            </w:r>
          </w:p>
          <w:p w14:paraId="4C27C8AB">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7194A2A1">
            <w:pPr>
              <w:widowControl/>
              <w:snapToGrid w:val="0"/>
              <w:jc w:val="center"/>
              <w:rPr>
                <w:sz w:val="21"/>
                <w:szCs w:val="21"/>
                <w:highlight w:val="none"/>
              </w:rPr>
            </w:pPr>
            <w:r>
              <w:rPr>
                <w:sz w:val="21"/>
                <w:szCs w:val="21"/>
                <w:highlight w:val="none"/>
              </w:rPr>
              <w:t>PH</w:t>
            </w:r>
          </w:p>
          <w:p w14:paraId="417E501A">
            <w:pPr>
              <w:widowControl/>
              <w:snapToGrid w:val="0"/>
              <w:jc w:val="center"/>
              <w:rPr>
                <w:sz w:val="21"/>
                <w:szCs w:val="21"/>
                <w:highlight w:val="none"/>
              </w:rPr>
            </w:pPr>
            <w:r>
              <w:rPr>
                <w:sz w:val="21"/>
                <w:szCs w:val="21"/>
                <w:highlight w:val="none"/>
              </w:rPr>
              <w:t>CN</w:t>
            </w:r>
            <w:r>
              <w:rPr>
                <w:sz w:val="21"/>
                <w:szCs w:val="21"/>
                <w:highlight w:val="none"/>
                <w:vertAlign w:val="superscript"/>
              </w:rPr>
              <w:t>-</w:t>
            </w:r>
          </w:p>
          <w:p w14:paraId="664EC206">
            <w:pPr>
              <w:widowControl/>
              <w:snapToGrid w:val="0"/>
              <w:jc w:val="center"/>
              <w:rPr>
                <w:sz w:val="21"/>
                <w:szCs w:val="21"/>
                <w:highlight w:val="none"/>
              </w:rPr>
            </w:pPr>
            <w:r>
              <w:rPr>
                <w:sz w:val="21"/>
                <w:szCs w:val="21"/>
                <w:highlight w:val="none"/>
              </w:rPr>
              <w:t>硬度</w:t>
            </w:r>
          </w:p>
          <w:p w14:paraId="2EC073CF">
            <w:pPr>
              <w:widowControl/>
              <w:snapToGrid w:val="0"/>
              <w:jc w:val="center"/>
              <w:rPr>
                <w:sz w:val="21"/>
                <w:szCs w:val="21"/>
                <w:highlight w:val="none"/>
              </w:rPr>
            </w:pPr>
            <w:r>
              <w:rPr>
                <w:sz w:val="21"/>
                <w:szCs w:val="21"/>
                <w:highlight w:val="none"/>
              </w:rPr>
              <w:t>碱度</w:t>
            </w:r>
          </w:p>
          <w:p w14:paraId="4AE62F50">
            <w:pPr>
              <w:widowControl/>
              <w:snapToGrid w:val="0"/>
              <w:jc w:val="center"/>
              <w:rPr>
                <w:sz w:val="21"/>
                <w:szCs w:val="21"/>
                <w:highlight w:val="none"/>
              </w:rPr>
            </w:pPr>
            <w:r>
              <w:rPr>
                <w:sz w:val="21"/>
                <w:szCs w:val="21"/>
                <w:highlight w:val="none"/>
              </w:rPr>
              <w:t>硫化物</w:t>
            </w:r>
          </w:p>
        </w:tc>
        <w:tc>
          <w:tcPr>
            <w:tcW w:w="528" w:type="pct"/>
            <w:noWrap w:val="0"/>
            <w:vAlign w:val="center"/>
          </w:tcPr>
          <w:p w14:paraId="501D4BCD">
            <w:pPr>
              <w:widowControl/>
              <w:snapToGrid w:val="0"/>
              <w:jc w:val="center"/>
              <w:rPr>
                <w:sz w:val="21"/>
                <w:szCs w:val="21"/>
                <w:highlight w:val="none"/>
              </w:rPr>
            </w:pPr>
            <w:r>
              <w:rPr>
                <w:sz w:val="21"/>
                <w:szCs w:val="21"/>
                <w:highlight w:val="none"/>
              </w:rPr>
              <w:t>200~300</w:t>
            </w:r>
          </w:p>
          <w:p w14:paraId="1B2A47B6">
            <w:pPr>
              <w:widowControl/>
              <w:snapToGrid w:val="0"/>
              <w:jc w:val="center"/>
              <w:rPr>
                <w:sz w:val="21"/>
                <w:szCs w:val="21"/>
                <w:highlight w:val="none"/>
              </w:rPr>
            </w:pPr>
            <w:r>
              <w:rPr>
                <w:sz w:val="21"/>
                <w:szCs w:val="21"/>
                <w:highlight w:val="none"/>
              </w:rPr>
              <w:t>&lt;100</w:t>
            </w:r>
          </w:p>
          <w:p w14:paraId="7E7948C7">
            <w:pPr>
              <w:widowControl/>
              <w:snapToGrid w:val="0"/>
              <w:jc w:val="center"/>
              <w:rPr>
                <w:sz w:val="21"/>
                <w:szCs w:val="21"/>
                <w:highlight w:val="none"/>
              </w:rPr>
            </w:pPr>
            <w:r>
              <w:rPr>
                <w:sz w:val="21"/>
                <w:szCs w:val="21"/>
                <w:highlight w:val="none"/>
              </w:rPr>
              <w:t>250~600</w:t>
            </w:r>
          </w:p>
          <w:p w14:paraId="6A12386B">
            <w:pPr>
              <w:widowControl/>
              <w:snapToGrid w:val="0"/>
              <w:jc w:val="center"/>
              <w:rPr>
                <w:sz w:val="21"/>
                <w:szCs w:val="21"/>
                <w:highlight w:val="none"/>
              </w:rPr>
            </w:pPr>
            <w:r>
              <w:rPr>
                <w:sz w:val="21"/>
                <w:szCs w:val="21"/>
                <w:highlight w:val="none"/>
              </w:rPr>
              <w:t>500~1000</w:t>
            </w:r>
          </w:p>
          <w:p w14:paraId="5D4F44BD">
            <w:pPr>
              <w:widowControl/>
              <w:snapToGrid w:val="0"/>
              <w:jc w:val="center"/>
              <w:rPr>
                <w:sz w:val="21"/>
                <w:szCs w:val="21"/>
                <w:highlight w:val="none"/>
              </w:rPr>
            </w:pPr>
            <w:r>
              <w:rPr>
                <w:sz w:val="21"/>
                <w:szCs w:val="21"/>
                <w:highlight w:val="none"/>
              </w:rPr>
              <w:t>&lt;3200</w:t>
            </w:r>
          </w:p>
          <w:p w14:paraId="19C989C4">
            <w:pPr>
              <w:widowControl/>
              <w:snapToGrid w:val="0"/>
              <w:jc w:val="center"/>
              <w:rPr>
                <w:sz w:val="21"/>
                <w:szCs w:val="21"/>
                <w:highlight w:val="none"/>
              </w:rPr>
            </w:pPr>
            <w:r>
              <w:rPr>
                <w:sz w:val="21"/>
                <w:szCs w:val="21"/>
                <w:highlight w:val="none"/>
              </w:rPr>
              <w:t>&lt;300</w:t>
            </w:r>
          </w:p>
          <w:p w14:paraId="5361E6A2">
            <w:pPr>
              <w:widowControl/>
              <w:snapToGrid w:val="0"/>
              <w:jc w:val="center"/>
              <w:rPr>
                <w:sz w:val="21"/>
                <w:szCs w:val="21"/>
                <w:highlight w:val="none"/>
              </w:rPr>
            </w:pPr>
            <w:r>
              <w:rPr>
                <w:sz w:val="21"/>
                <w:szCs w:val="21"/>
                <w:highlight w:val="none"/>
              </w:rPr>
              <w:t>7~8</w:t>
            </w:r>
          </w:p>
          <w:p w14:paraId="5C87FEC9">
            <w:pPr>
              <w:widowControl/>
              <w:snapToGrid w:val="0"/>
              <w:jc w:val="center"/>
              <w:rPr>
                <w:sz w:val="21"/>
                <w:szCs w:val="21"/>
                <w:highlight w:val="none"/>
              </w:rPr>
            </w:pPr>
            <w:r>
              <w:rPr>
                <w:sz w:val="21"/>
                <w:szCs w:val="21"/>
                <w:highlight w:val="none"/>
              </w:rPr>
              <w:t>&lt;0.5</w:t>
            </w:r>
          </w:p>
          <w:p w14:paraId="61537F0C">
            <w:pPr>
              <w:widowControl/>
              <w:snapToGrid w:val="0"/>
              <w:jc w:val="center"/>
              <w:rPr>
                <w:sz w:val="21"/>
                <w:szCs w:val="21"/>
                <w:highlight w:val="none"/>
              </w:rPr>
            </w:pPr>
            <w:r>
              <w:rPr>
                <w:sz w:val="21"/>
                <w:szCs w:val="21"/>
                <w:highlight w:val="none"/>
              </w:rPr>
              <w:t>&lt;450</w:t>
            </w:r>
          </w:p>
          <w:p w14:paraId="29C0163C">
            <w:pPr>
              <w:widowControl/>
              <w:snapToGrid w:val="0"/>
              <w:jc w:val="center"/>
              <w:rPr>
                <w:sz w:val="21"/>
                <w:szCs w:val="21"/>
                <w:highlight w:val="none"/>
              </w:rPr>
            </w:pPr>
            <w:r>
              <w:rPr>
                <w:sz w:val="21"/>
                <w:szCs w:val="21"/>
                <w:highlight w:val="none"/>
              </w:rPr>
              <w:t>&lt;700</w:t>
            </w:r>
          </w:p>
          <w:p w14:paraId="4223C5FF">
            <w:pPr>
              <w:widowControl/>
              <w:snapToGrid w:val="0"/>
              <w:jc w:val="center"/>
              <w:rPr>
                <w:sz w:val="21"/>
                <w:szCs w:val="21"/>
                <w:highlight w:val="none"/>
              </w:rPr>
            </w:pPr>
            <w:r>
              <w:rPr>
                <w:sz w:val="21"/>
                <w:szCs w:val="21"/>
                <w:highlight w:val="none"/>
              </w:rPr>
              <w:t>9</w:t>
            </w:r>
          </w:p>
        </w:tc>
        <w:tc>
          <w:tcPr>
            <w:tcW w:w="301" w:type="pct"/>
            <w:noWrap w:val="0"/>
            <w:vAlign w:val="center"/>
          </w:tcPr>
          <w:p w14:paraId="7AB68502">
            <w:pPr>
              <w:widowControl/>
              <w:snapToGrid w:val="0"/>
              <w:jc w:val="center"/>
              <w:rPr>
                <w:sz w:val="21"/>
                <w:szCs w:val="21"/>
                <w:highlight w:val="none"/>
              </w:rPr>
            </w:pPr>
            <w:r>
              <w:rPr>
                <w:sz w:val="21"/>
                <w:szCs w:val="21"/>
                <w:highlight w:val="none"/>
              </w:rPr>
              <w:t>连续</w:t>
            </w:r>
          </w:p>
        </w:tc>
        <w:tc>
          <w:tcPr>
            <w:tcW w:w="1225" w:type="pct"/>
            <w:noWrap w:val="0"/>
            <w:vAlign w:val="center"/>
          </w:tcPr>
          <w:p w14:paraId="724CBE4A">
            <w:pPr>
              <w:widowControl/>
              <w:snapToGrid w:val="0"/>
              <w:jc w:val="center"/>
              <w:rPr>
                <w:rFonts w:hint="eastAsia" w:eastAsia="宋体"/>
                <w:sz w:val="21"/>
                <w:szCs w:val="21"/>
                <w:highlight w:val="none"/>
                <w:lang w:eastAsia="zh-CN"/>
              </w:rPr>
            </w:pPr>
            <w:r>
              <w:rPr>
                <w:sz w:val="21"/>
                <w:szCs w:val="21"/>
                <w:highlight w:val="none"/>
              </w:rPr>
              <w:t>去厂内</w:t>
            </w:r>
            <w:r>
              <w:rPr>
                <w:rFonts w:hint="eastAsia"/>
                <w:sz w:val="21"/>
                <w:szCs w:val="21"/>
                <w:highlight w:val="none"/>
                <w:lang w:eastAsia="zh-CN"/>
              </w:rPr>
              <w:t>污水处理厂</w:t>
            </w:r>
          </w:p>
        </w:tc>
      </w:tr>
      <w:tr w14:paraId="7E75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2A8BD71A">
            <w:pPr>
              <w:widowControl/>
              <w:snapToGrid w:val="0"/>
              <w:jc w:val="center"/>
              <w:rPr>
                <w:sz w:val="21"/>
                <w:szCs w:val="21"/>
                <w:highlight w:val="none"/>
              </w:rPr>
            </w:pPr>
            <w:r>
              <w:rPr>
                <w:sz w:val="21"/>
                <w:szCs w:val="21"/>
                <w:highlight w:val="none"/>
              </w:rPr>
              <w:t>净化</w:t>
            </w:r>
          </w:p>
          <w:p w14:paraId="1777811B">
            <w:pPr>
              <w:widowControl/>
              <w:snapToGrid w:val="0"/>
              <w:jc w:val="center"/>
              <w:rPr>
                <w:sz w:val="21"/>
                <w:szCs w:val="21"/>
                <w:highlight w:val="none"/>
              </w:rPr>
            </w:pPr>
            <w:r>
              <w:rPr>
                <w:sz w:val="21"/>
                <w:szCs w:val="21"/>
                <w:highlight w:val="none"/>
              </w:rPr>
              <w:t>装置</w:t>
            </w:r>
          </w:p>
        </w:tc>
        <w:tc>
          <w:tcPr>
            <w:tcW w:w="712" w:type="pct"/>
            <w:vMerge w:val="restart"/>
            <w:noWrap w:val="0"/>
            <w:vAlign w:val="center"/>
          </w:tcPr>
          <w:p w14:paraId="6A612FBC">
            <w:pPr>
              <w:widowControl/>
              <w:snapToGrid w:val="0"/>
              <w:jc w:val="center"/>
              <w:rPr>
                <w:sz w:val="21"/>
                <w:szCs w:val="21"/>
                <w:highlight w:val="none"/>
              </w:rPr>
            </w:pPr>
            <w:r>
              <w:rPr>
                <w:sz w:val="21"/>
                <w:szCs w:val="21"/>
                <w:highlight w:val="none"/>
              </w:rPr>
              <w:t>CO变换单元</w:t>
            </w:r>
          </w:p>
        </w:tc>
        <w:tc>
          <w:tcPr>
            <w:tcW w:w="795" w:type="pct"/>
            <w:noWrap w:val="0"/>
            <w:vAlign w:val="center"/>
          </w:tcPr>
          <w:p w14:paraId="2696716F">
            <w:pPr>
              <w:widowControl/>
              <w:snapToGrid w:val="0"/>
              <w:jc w:val="center"/>
              <w:rPr>
                <w:sz w:val="21"/>
                <w:szCs w:val="21"/>
                <w:highlight w:val="none"/>
              </w:rPr>
            </w:pPr>
            <w:r>
              <w:rPr>
                <w:sz w:val="21"/>
                <w:szCs w:val="21"/>
                <w:highlight w:val="none"/>
              </w:rPr>
              <w:t>高温</w:t>
            </w:r>
          </w:p>
          <w:p w14:paraId="6FA13D67">
            <w:pPr>
              <w:widowControl/>
              <w:snapToGrid w:val="0"/>
              <w:jc w:val="center"/>
              <w:rPr>
                <w:sz w:val="21"/>
                <w:szCs w:val="21"/>
                <w:highlight w:val="none"/>
              </w:rPr>
            </w:pPr>
            <w:r>
              <w:rPr>
                <w:sz w:val="21"/>
                <w:szCs w:val="21"/>
                <w:highlight w:val="none"/>
              </w:rPr>
              <w:t>冷凝液</w:t>
            </w:r>
          </w:p>
        </w:tc>
        <w:tc>
          <w:tcPr>
            <w:tcW w:w="628" w:type="pct"/>
            <w:noWrap w:val="0"/>
            <w:vAlign w:val="center"/>
          </w:tcPr>
          <w:p w14:paraId="584E7CDE">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：240.4</w:t>
            </w:r>
          </w:p>
          <w:p w14:paraId="08CB0E17">
            <w:pPr>
              <w:widowControl/>
              <w:snapToGrid w:val="0"/>
              <w:jc w:val="center"/>
              <w:rPr>
                <w:sz w:val="21"/>
                <w:szCs w:val="21"/>
                <w:highlight w:val="none"/>
              </w:rPr>
            </w:pPr>
            <w:r>
              <w:rPr>
                <w:rFonts w:hint="eastAsia"/>
                <w:sz w:val="21"/>
                <w:szCs w:val="21"/>
                <w:highlight w:val="none"/>
                <w:lang w:eastAsia="zh-CN"/>
              </w:rPr>
              <w:t>最大值</w:t>
            </w:r>
            <w:r>
              <w:rPr>
                <w:sz w:val="21"/>
                <w:szCs w:val="21"/>
                <w:highlight w:val="none"/>
              </w:rPr>
              <w:t>：260</w:t>
            </w:r>
          </w:p>
        </w:tc>
        <w:tc>
          <w:tcPr>
            <w:tcW w:w="413" w:type="pct"/>
            <w:noWrap w:val="0"/>
            <w:vAlign w:val="center"/>
          </w:tcPr>
          <w:p w14:paraId="6131E7A7">
            <w:pPr>
              <w:widowControl/>
              <w:snapToGrid w:val="0"/>
              <w:jc w:val="center"/>
              <w:rPr>
                <w:sz w:val="21"/>
                <w:szCs w:val="21"/>
                <w:highlight w:val="none"/>
              </w:rPr>
            </w:pPr>
            <w:r>
              <w:rPr>
                <w:sz w:val="21"/>
                <w:szCs w:val="21"/>
                <w:highlight w:val="none"/>
              </w:rPr>
              <w:t>H</w:t>
            </w:r>
            <w:r>
              <w:rPr>
                <w:sz w:val="21"/>
                <w:szCs w:val="21"/>
                <w:highlight w:val="none"/>
                <w:vertAlign w:val="subscript"/>
              </w:rPr>
              <w:t>2</w:t>
            </w:r>
          </w:p>
          <w:p w14:paraId="27500A40">
            <w:pPr>
              <w:widowControl/>
              <w:snapToGrid w:val="0"/>
              <w:jc w:val="center"/>
              <w:rPr>
                <w:sz w:val="21"/>
                <w:szCs w:val="21"/>
                <w:highlight w:val="none"/>
              </w:rPr>
            </w:pPr>
            <w:r>
              <w:rPr>
                <w:sz w:val="21"/>
                <w:szCs w:val="21"/>
                <w:highlight w:val="none"/>
              </w:rPr>
              <w:t>CO</w:t>
            </w:r>
          </w:p>
          <w:p w14:paraId="16E0B263">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67F90408">
            <w:pPr>
              <w:widowControl/>
              <w:snapToGrid w:val="0"/>
              <w:jc w:val="center"/>
              <w:rPr>
                <w:sz w:val="21"/>
                <w:szCs w:val="21"/>
                <w:highlight w:val="none"/>
              </w:rPr>
            </w:pPr>
            <w:r>
              <w:rPr>
                <w:sz w:val="21"/>
                <w:szCs w:val="21"/>
                <w:highlight w:val="none"/>
              </w:rPr>
              <w:t>硫化物</w:t>
            </w:r>
          </w:p>
          <w:p w14:paraId="009AED27">
            <w:pPr>
              <w:widowControl/>
              <w:snapToGrid w:val="0"/>
              <w:jc w:val="center"/>
              <w:rPr>
                <w:sz w:val="21"/>
                <w:szCs w:val="21"/>
                <w:highlight w:val="none"/>
              </w:rPr>
            </w:pPr>
            <w:r>
              <w:rPr>
                <w:sz w:val="21"/>
                <w:szCs w:val="21"/>
                <w:highlight w:val="none"/>
              </w:rPr>
              <w:t>NH</w:t>
            </w:r>
            <w:r>
              <w:rPr>
                <w:sz w:val="21"/>
                <w:szCs w:val="21"/>
                <w:highlight w:val="none"/>
                <w:vertAlign w:val="subscript"/>
              </w:rPr>
              <w:t>3</w:t>
            </w:r>
          </w:p>
        </w:tc>
        <w:tc>
          <w:tcPr>
            <w:tcW w:w="528" w:type="pct"/>
            <w:noWrap w:val="0"/>
            <w:vAlign w:val="center"/>
          </w:tcPr>
          <w:p w14:paraId="490FFFF5">
            <w:pPr>
              <w:widowControl/>
              <w:snapToGrid w:val="0"/>
              <w:jc w:val="center"/>
              <w:rPr>
                <w:sz w:val="21"/>
                <w:szCs w:val="21"/>
                <w:highlight w:val="none"/>
                <w:lang w:val="es-ES"/>
              </w:rPr>
            </w:pPr>
            <w:r>
              <w:rPr>
                <w:sz w:val="21"/>
                <w:szCs w:val="21"/>
                <w:highlight w:val="none"/>
                <w:lang w:val="es-ES"/>
              </w:rPr>
              <w:t>0.000145mol%</w:t>
            </w:r>
          </w:p>
          <w:p w14:paraId="04742291">
            <w:pPr>
              <w:widowControl/>
              <w:snapToGrid w:val="0"/>
              <w:jc w:val="center"/>
              <w:rPr>
                <w:sz w:val="21"/>
                <w:szCs w:val="21"/>
                <w:highlight w:val="none"/>
                <w:lang w:val="es-ES"/>
              </w:rPr>
            </w:pPr>
            <w:r>
              <w:rPr>
                <w:sz w:val="21"/>
                <w:szCs w:val="21"/>
                <w:highlight w:val="none"/>
                <w:lang w:val="es-ES"/>
              </w:rPr>
              <w:t>0.000212mol%</w:t>
            </w:r>
          </w:p>
          <w:p w14:paraId="74826F8A">
            <w:pPr>
              <w:widowControl/>
              <w:snapToGrid w:val="0"/>
              <w:jc w:val="center"/>
              <w:rPr>
                <w:sz w:val="21"/>
                <w:szCs w:val="21"/>
                <w:highlight w:val="none"/>
                <w:lang w:val="es-ES"/>
              </w:rPr>
            </w:pPr>
            <w:r>
              <w:rPr>
                <w:sz w:val="21"/>
                <w:szCs w:val="21"/>
                <w:highlight w:val="none"/>
                <w:lang w:val="es-ES"/>
              </w:rPr>
              <w:t>0.000767mol%</w:t>
            </w:r>
          </w:p>
          <w:p w14:paraId="121E5F95">
            <w:pPr>
              <w:widowControl/>
              <w:snapToGrid w:val="0"/>
              <w:jc w:val="center"/>
              <w:rPr>
                <w:sz w:val="21"/>
                <w:szCs w:val="21"/>
                <w:highlight w:val="none"/>
                <w:lang w:val="es-ES"/>
              </w:rPr>
            </w:pPr>
            <w:r>
              <w:rPr>
                <w:sz w:val="21"/>
                <w:szCs w:val="21"/>
                <w:highlight w:val="none"/>
                <w:lang w:val="es-ES"/>
              </w:rPr>
              <w:t>0.00005mol%</w:t>
            </w:r>
          </w:p>
          <w:p w14:paraId="17F962A4">
            <w:pPr>
              <w:widowControl/>
              <w:snapToGrid w:val="0"/>
              <w:jc w:val="center"/>
              <w:rPr>
                <w:sz w:val="21"/>
                <w:szCs w:val="21"/>
                <w:highlight w:val="none"/>
                <w:lang w:val="es-ES"/>
              </w:rPr>
            </w:pPr>
            <w:r>
              <w:rPr>
                <w:sz w:val="21"/>
                <w:szCs w:val="21"/>
                <w:highlight w:val="none"/>
                <w:lang w:val="es-ES"/>
              </w:rPr>
              <w:t>0.00003mol%</w:t>
            </w:r>
          </w:p>
        </w:tc>
        <w:tc>
          <w:tcPr>
            <w:tcW w:w="301" w:type="pct"/>
            <w:noWrap w:val="0"/>
            <w:vAlign w:val="center"/>
          </w:tcPr>
          <w:p w14:paraId="696089E1">
            <w:pPr>
              <w:widowControl/>
              <w:snapToGrid w:val="0"/>
              <w:jc w:val="center"/>
              <w:rPr>
                <w:sz w:val="21"/>
                <w:szCs w:val="21"/>
                <w:highlight w:val="none"/>
              </w:rPr>
            </w:pPr>
            <w:r>
              <w:rPr>
                <w:sz w:val="21"/>
                <w:szCs w:val="21"/>
                <w:highlight w:val="none"/>
              </w:rPr>
              <w:t>连续</w:t>
            </w:r>
          </w:p>
        </w:tc>
        <w:tc>
          <w:tcPr>
            <w:tcW w:w="1225" w:type="pct"/>
            <w:noWrap w:val="0"/>
            <w:vAlign w:val="center"/>
          </w:tcPr>
          <w:p w14:paraId="351E0575">
            <w:pPr>
              <w:widowControl/>
              <w:snapToGrid w:val="0"/>
              <w:jc w:val="center"/>
              <w:rPr>
                <w:sz w:val="21"/>
                <w:szCs w:val="21"/>
                <w:highlight w:val="none"/>
              </w:rPr>
            </w:pPr>
            <w:r>
              <w:rPr>
                <w:sz w:val="21"/>
                <w:szCs w:val="21"/>
                <w:highlight w:val="none"/>
              </w:rPr>
              <w:t>去粉煤气化装置</w:t>
            </w:r>
          </w:p>
        </w:tc>
      </w:tr>
      <w:tr w14:paraId="380C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29C0C45">
            <w:pPr>
              <w:widowControl/>
              <w:snapToGrid w:val="0"/>
              <w:jc w:val="center"/>
              <w:rPr>
                <w:sz w:val="21"/>
                <w:szCs w:val="21"/>
                <w:highlight w:val="none"/>
              </w:rPr>
            </w:pPr>
          </w:p>
        </w:tc>
        <w:tc>
          <w:tcPr>
            <w:tcW w:w="712" w:type="pct"/>
            <w:vMerge w:val="continue"/>
            <w:noWrap w:val="0"/>
            <w:vAlign w:val="center"/>
          </w:tcPr>
          <w:p w14:paraId="08B6A3DE">
            <w:pPr>
              <w:widowControl/>
              <w:snapToGrid w:val="0"/>
              <w:jc w:val="center"/>
              <w:rPr>
                <w:sz w:val="21"/>
                <w:szCs w:val="21"/>
                <w:highlight w:val="none"/>
              </w:rPr>
            </w:pPr>
          </w:p>
        </w:tc>
        <w:tc>
          <w:tcPr>
            <w:tcW w:w="795" w:type="pct"/>
            <w:noWrap w:val="0"/>
            <w:vAlign w:val="center"/>
          </w:tcPr>
          <w:p w14:paraId="09DE750F">
            <w:pPr>
              <w:widowControl/>
              <w:snapToGrid w:val="0"/>
              <w:jc w:val="center"/>
              <w:rPr>
                <w:sz w:val="21"/>
                <w:szCs w:val="21"/>
                <w:highlight w:val="none"/>
              </w:rPr>
            </w:pPr>
            <w:r>
              <w:rPr>
                <w:sz w:val="21"/>
                <w:szCs w:val="21"/>
                <w:highlight w:val="none"/>
              </w:rPr>
              <w:t>低温</w:t>
            </w:r>
          </w:p>
          <w:p w14:paraId="494B882E">
            <w:pPr>
              <w:widowControl/>
              <w:snapToGrid w:val="0"/>
              <w:jc w:val="center"/>
              <w:rPr>
                <w:sz w:val="21"/>
                <w:szCs w:val="21"/>
                <w:highlight w:val="none"/>
              </w:rPr>
            </w:pPr>
            <w:r>
              <w:rPr>
                <w:sz w:val="21"/>
                <w:szCs w:val="21"/>
                <w:highlight w:val="none"/>
              </w:rPr>
              <w:t>冷凝液</w:t>
            </w:r>
          </w:p>
        </w:tc>
        <w:tc>
          <w:tcPr>
            <w:tcW w:w="628" w:type="pct"/>
            <w:noWrap w:val="0"/>
            <w:vAlign w:val="center"/>
          </w:tcPr>
          <w:p w14:paraId="753BEA9B">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：193</w:t>
            </w:r>
          </w:p>
          <w:p w14:paraId="71DC3C16">
            <w:pPr>
              <w:widowControl/>
              <w:snapToGrid w:val="0"/>
              <w:jc w:val="center"/>
              <w:rPr>
                <w:sz w:val="21"/>
                <w:szCs w:val="21"/>
                <w:highlight w:val="none"/>
              </w:rPr>
            </w:pPr>
            <w:r>
              <w:rPr>
                <w:rFonts w:hint="eastAsia"/>
                <w:sz w:val="21"/>
                <w:szCs w:val="21"/>
                <w:highlight w:val="none"/>
                <w:lang w:eastAsia="zh-CN"/>
              </w:rPr>
              <w:t>最大值</w:t>
            </w:r>
            <w:r>
              <w:rPr>
                <w:sz w:val="21"/>
                <w:szCs w:val="21"/>
                <w:highlight w:val="none"/>
              </w:rPr>
              <w:t>：234</w:t>
            </w:r>
          </w:p>
        </w:tc>
        <w:tc>
          <w:tcPr>
            <w:tcW w:w="413" w:type="pct"/>
            <w:noWrap w:val="0"/>
            <w:vAlign w:val="center"/>
          </w:tcPr>
          <w:p w14:paraId="3E73C968">
            <w:pPr>
              <w:widowControl/>
              <w:snapToGrid w:val="0"/>
              <w:jc w:val="center"/>
              <w:rPr>
                <w:sz w:val="21"/>
                <w:szCs w:val="21"/>
                <w:highlight w:val="none"/>
                <w:vertAlign w:val="subscript"/>
              </w:rPr>
            </w:pPr>
            <w:r>
              <w:rPr>
                <w:sz w:val="21"/>
                <w:szCs w:val="21"/>
                <w:highlight w:val="none"/>
              </w:rPr>
              <w:t>NH</w:t>
            </w:r>
            <w:r>
              <w:rPr>
                <w:sz w:val="21"/>
                <w:szCs w:val="21"/>
                <w:highlight w:val="none"/>
                <w:vertAlign w:val="subscript"/>
              </w:rPr>
              <w:t>3</w:t>
            </w:r>
          </w:p>
          <w:p w14:paraId="257A2FC5">
            <w:pPr>
              <w:widowControl/>
              <w:snapToGrid w:val="0"/>
              <w:jc w:val="center"/>
              <w:rPr>
                <w:sz w:val="21"/>
                <w:szCs w:val="21"/>
                <w:highlight w:val="none"/>
              </w:rPr>
            </w:pPr>
            <w:r>
              <w:rPr>
                <w:sz w:val="21"/>
                <w:szCs w:val="21"/>
                <w:highlight w:val="none"/>
              </w:rPr>
              <w:t>HCN</w:t>
            </w:r>
          </w:p>
        </w:tc>
        <w:tc>
          <w:tcPr>
            <w:tcW w:w="528" w:type="pct"/>
            <w:noWrap w:val="0"/>
            <w:vAlign w:val="center"/>
          </w:tcPr>
          <w:p w14:paraId="4E4E6139">
            <w:pPr>
              <w:widowControl/>
              <w:snapToGrid w:val="0"/>
              <w:jc w:val="center"/>
              <w:rPr>
                <w:sz w:val="21"/>
                <w:szCs w:val="21"/>
                <w:highlight w:val="none"/>
              </w:rPr>
            </w:pPr>
            <w:r>
              <w:rPr>
                <w:sz w:val="21"/>
                <w:szCs w:val="21"/>
                <w:highlight w:val="none"/>
              </w:rPr>
              <w:t>50ppm</w:t>
            </w:r>
          </w:p>
          <w:p w14:paraId="3B964711">
            <w:pPr>
              <w:widowControl/>
              <w:snapToGrid w:val="0"/>
              <w:jc w:val="center"/>
              <w:rPr>
                <w:sz w:val="21"/>
                <w:szCs w:val="21"/>
                <w:highlight w:val="none"/>
              </w:rPr>
            </w:pPr>
            <w:r>
              <w:rPr>
                <w:sz w:val="21"/>
                <w:szCs w:val="21"/>
                <w:highlight w:val="none"/>
              </w:rPr>
              <w:t>1ppm</w:t>
            </w:r>
          </w:p>
        </w:tc>
        <w:tc>
          <w:tcPr>
            <w:tcW w:w="301" w:type="pct"/>
            <w:noWrap w:val="0"/>
            <w:vAlign w:val="center"/>
          </w:tcPr>
          <w:p w14:paraId="284DDD19">
            <w:pPr>
              <w:widowControl/>
              <w:snapToGrid w:val="0"/>
              <w:jc w:val="center"/>
              <w:rPr>
                <w:sz w:val="21"/>
                <w:szCs w:val="21"/>
                <w:highlight w:val="none"/>
              </w:rPr>
            </w:pPr>
            <w:r>
              <w:rPr>
                <w:sz w:val="21"/>
                <w:szCs w:val="21"/>
                <w:highlight w:val="none"/>
              </w:rPr>
              <w:t>连续</w:t>
            </w:r>
          </w:p>
        </w:tc>
        <w:tc>
          <w:tcPr>
            <w:tcW w:w="1225" w:type="pct"/>
            <w:noWrap w:val="0"/>
            <w:vAlign w:val="center"/>
          </w:tcPr>
          <w:p w14:paraId="17F7D7E2">
            <w:pPr>
              <w:widowControl/>
              <w:snapToGrid w:val="0"/>
              <w:jc w:val="center"/>
              <w:rPr>
                <w:sz w:val="21"/>
                <w:szCs w:val="21"/>
                <w:highlight w:val="none"/>
              </w:rPr>
            </w:pPr>
            <w:r>
              <w:rPr>
                <w:sz w:val="21"/>
                <w:szCs w:val="21"/>
                <w:highlight w:val="none"/>
              </w:rPr>
              <w:t>去酸水汽提单元</w:t>
            </w:r>
          </w:p>
        </w:tc>
      </w:tr>
      <w:tr w14:paraId="6865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DD19D5F">
            <w:pPr>
              <w:widowControl/>
              <w:snapToGrid w:val="0"/>
              <w:jc w:val="center"/>
              <w:rPr>
                <w:sz w:val="21"/>
                <w:szCs w:val="21"/>
                <w:highlight w:val="none"/>
              </w:rPr>
            </w:pPr>
          </w:p>
        </w:tc>
        <w:tc>
          <w:tcPr>
            <w:tcW w:w="712" w:type="pct"/>
            <w:vMerge w:val="restart"/>
            <w:noWrap w:val="0"/>
            <w:vAlign w:val="center"/>
          </w:tcPr>
          <w:p w14:paraId="0B246F8D">
            <w:pPr>
              <w:widowControl/>
              <w:snapToGrid w:val="0"/>
              <w:jc w:val="center"/>
              <w:rPr>
                <w:sz w:val="21"/>
                <w:szCs w:val="21"/>
                <w:highlight w:val="none"/>
              </w:rPr>
            </w:pPr>
            <w:r>
              <w:rPr>
                <w:sz w:val="21"/>
                <w:szCs w:val="21"/>
                <w:highlight w:val="none"/>
              </w:rPr>
              <w:t>低温甲醇洗单元</w:t>
            </w:r>
          </w:p>
        </w:tc>
        <w:tc>
          <w:tcPr>
            <w:tcW w:w="795" w:type="pct"/>
            <w:noWrap w:val="0"/>
            <w:vAlign w:val="center"/>
          </w:tcPr>
          <w:p w14:paraId="4747F2C6">
            <w:pPr>
              <w:widowControl/>
              <w:snapToGrid w:val="0"/>
              <w:jc w:val="center"/>
              <w:rPr>
                <w:sz w:val="21"/>
                <w:szCs w:val="21"/>
                <w:highlight w:val="none"/>
              </w:rPr>
            </w:pPr>
            <w:r>
              <w:rPr>
                <w:sz w:val="21"/>
                <w:szCs w:val="21"/>
                <w:highlight w:val="none"/>
              </w:rPr>
              <w:t>洗氨废水</w:t>
            </w:r>
          </w:p>
        </w:tc>
        <w:tc>
          <w:tcPr>
            <w:tcW w:w="628" w:type="pct"/>
            <w:noWrap w:val="0"/>
            <w:vAlign w:val="center"/>
          </w:tcPr>
          <w:p w14:paraId="12787F32">
            <w:pPr>
              <w:widowControl/>
              <w:snapToGrid w:val="0"/>
              <w:jc w:val="center"/>
              <w:rPr>
                <w:sz w:val="21"/>
                <w:szCs w:val="21"/>
                <w:highlight w:val="none"/>
              </w:rPr>
            </w:pPr>
            <w:r>
              <w:rPr>
                <w:sz w:val="21"/>
                <w:szCs w:val="21"/>
                <w:highlight w:val="none"/>
              </w:rPr>
              <w:t>16.12</w:t>
            </w:r>
          </w:p>
        </w:tc>
        <w:tc>
          <w:tcPr>
            <w:tcW w:w="413" w:type="pct"/>
            <w:noWrap w:val="0"/>
            <w:vAlign w:val="center"/>
          </w:tcPr>
          <w:p w14:paraId="4793800F">
            <w:pPr>
              <w:widowControl/>
              <w:snapToGrid w:val="0"/>
              <w:jc w:val="center"/>
              <w:rPr>
                <w:sz w:val="21"/>
                <w:szCs w:val="21"/>
                <w:highlight w:val="none"/>
              </w:rPr>
            </w:pPr>
            <w:r>
              <w:rPr>
                <w:sz w:val="21"/>
                <w:szCs w:val="21"/>
                <w:highlight w:val="none"/>
              </w:rPr>
              <w:t>硫化物</w:t>
            </w:r>
          </w:p>
          <w:p w14:paraId="1206F72C">
            <w:pPr>
              <w:widowControl/>
              <w:snapToGrid w:val="0"/>
              <w:jc w:val="center"/>
              <w:rPr>
                <w:sz w:val="21"/>
                <w:szCs w:val="21"/>
                <w:highlight w:val="none"/>
              </w:rPr>
            </w:pPr>
            <w:r>
              <w:rPr>
                <w:sz w:val="21"/>
                <w:szCs w:val="21"/>
                <w:highlight w:val="none"/>
              </w:rPr>
              <w:t>NH</w:t>
            </w:r>
            <w:r>
              <w:rPr>
                <w:sz w:val="21"/>
                <w:szCs w:val="21"/>
                <w:highlight w:val="none"/>
                <w:vertAlign w:val="subscript"/>
              </w:rPr>
              <w:t>3</w:t>
            </w:r>
          </w:p>
        </w:tc>
        <w:tc>
          <w:tcPr>
            <w:tcW w:w="528" w:type="pct"/>
            <w:noWrap w:val="0"/>
            <w:vAlign w:val="center"/>
          </w:tcPr>
          <w:p w14:paraId="07D06577">
            <w:pPr>
              <w:widowControl/>
              <w:snapToGrid w:val="0"/>
              <w:jc w:val="center"/>
              <w:rPr>
                <w:sz w:val="21"/>
                <w:szCs w:val="21"/>
                <w:highlight w:val="none"/>
              </w:rPr>
            </w:pPr>
            <w:r>
              <w:rPr>
                <w:sz w:val="21"/>
                <w:szCs w:val="21"/>
                <w:highlight w:val="none"/>
              </w:rPr>
              <w:t>0.000127mol%</w:t>
            </w:r>
          </w:p>
          <w:p w14:paraId="1A89FE35">
            <w:pPr>
              <w:widowControl/>
              <w:snapToGrid w:val="0"/>
              <w:jc w:val="center"/>
              <w:rPr>
                <w:sz w:val="21"/>
                <w:szCs w:val="21"/>
                <w:highlight w:val="none"/>
              </w:rPr>
            </w:pPr>
            <w:r>
              <w:rPr>
                <w:sz w:val="21"/>
                <w:szCs w:val="21"/>
                <w:highlight w:val="none"/>
              </w:rPr>
              <w:t>0.000565mol%</w:t>
            </w:r>
          </w:p>
        </w:tc>
        <w:tc>
          <w:tcPr>
            <w:tcW w:w="301" w:type="pct"/>
            <w:noWrap w:val="0"/>
            <w:vAlign w:val="center"/>
          </w:tcPr>
          <w:p w14:paraId="2044F0AA">
            <w:pPr>
              <w:widowControl/>
              <w:snapToGrid w:val="0"/>
              <w:jc w:val="center"/>
              <w:rPr>
                <w:sz w:val="21"/>
                <w:szCs w:val="21"/>
                <w:highlight w:val="none"/>
              </w:rPr>
            </w:pPr>
            <w:r>
              <w:rPr>
                <w:sz w:val="21"/>
                <w:szCs w:val="21"/>
                <w:highlight w:val="none"/>
              </w:rPr>
              <w:t>连续</w:t>
            </w:r>
          </w:p>
        </w:tc>
        <w:tc>
          <w:tcPr>
            <w:tcW w:w="1225" w:type="pct"/>
            <w:noWrap w:val="0"/>
            <w:vAlign w:val="center"/>
          </w:tcPr>
          <w:p w14:paraId="5822154C">
            <w:pPr>
              <w:widowControl/>
              <w:snapToGrid w:val="0"/>
              <w:jc w:val="center"/>
              <w:rPr>
                <w:sz w:val="21"/>
                <w:szCs w:val="21"/>
                <w:highlight w:val="none"/>
              </w:rPr>
            </w:pPr>
            <w:r>
              <w:rPr>
                <w:sz w:val="21"/>
                <w:szCs w:val="21"/>
                <w:highlight w:val="none"/>
              </w:rPr>
              <w:t>去酸水汽提单元</w:t>
            </w:r>
          </w:p>
        </w:tc>
      </w:tr>
      <w:tr w14:paraId="58B9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9BD62AB">
            <w:pPr>
              <w:widowControl/>
              <w:snapToGrid w:val="0"/>
              <w:jc w:val="center"/>
              <w:rPr>
                <w:sz w:val="21"/>
                <w:szCs w:val="21"/>
                <w:highlight w:val="none"/>
              </w:rPr>
            </w:pPr>
          </w:p>
        </w:tc>
        <w:tc>
          <w:tcPr>
            <w:tcW w:w="712" w:type="pct"/>
            <w:vMerge w:val="continue"/>
            <w:noWrap w:val="0"/>
            <w:vAlign w:val="center"/>
          </w:tcPr>
          <w:p w14:paraId="2919431B">
            <w:pPr>
              <w:widowControl/>
              <w:snapToGrid w:val="0"/>
              <w:jc w:val="center"/>
              <w:rPr>
                <w:sz w:val="21"/>
                <w:szCs w:val="21"/>
                <w:highlight w:val="none"/>
              </w:rPr>
            </w:pPr>
          </w:p>
        </w:tc>
        <w:tc>
          <w:tcPr>
            <w:tcW w:w="795" w:type="pct"/>
            <w:noWrap w:val="0"/>
            <w:vAlign w:val="center"/>
          </w:tcPr>
          <w:p w14:paraId="1D962F6E">
            <w:pPr>
              <w:widowControl/>
              <w:snapToGrid w:val="0"/>
              <w:jc w:val="center"/>
              <w:rPr>
                <w:sz w:val="21"/>
                <w:szCs w:val="21"/>
                <w:highlight w:val="none"/>
              </w:rPr>
            </w:pPr>
            <w:r>
              <w:rPr>
                <w:sz w:val="21"/>
                <w:szCs w:val="21"/>
                <w:highlight w:val="none"/>
              </w:rPr>
              <w:t>废水</w:t>
            </w:r>
          </w:p>
        </w:tc>
        <w:tc>
          <w:tcPr>
            <w:tcW w:w="628" w:type="pct"/>
            <w:noWrap w:val="0"/>
            <w:vAlign w:val="center"/>
          </w:tcPr>
          <w:p w14:paraId="3C9E93D8">
            <w:pPr>
              <w:widowControl/>
              <w:snapToGrid w:val="0"/>
              <w:jc w:val="center"/>
              <w:rPr>
                <w:sz w:val="21"/>
                <w:szCs w:val="21"/>
                <w:highlight w:val="none"/>
              </w:rPr>
            </w:pPr>
            <w:r>
              <w:rPr>
                <w:sz w:val="21"/>
                <w:szCs w:val="21"/>
                <w:highlight w:val="none"/>
              </w:rPr>
              <w:t>15.7</w:t>
            </w:r>
          </w:p>
        </w:tc>
        <w:tc>
          <w:tcPr>
            <w:tcW w:w="413" w:type="pct"/>
            <w:noWrap w:val="0"/>
            <w:vAlign w:val="center"/>
          </w:tcPr>
          <w:p w14:paraId="3E54AE3E">
            <w:pPr>
              <w:widowControl/>
              <w:snapToGrid w:val="0"/>
              <w:jc w:val="center"/>
              <w:rPr>
                <w:sz w:val="21"/>
                <w:szCs w:val="21"/>
                <w:highlight w:val="none"/>
              </w:rPr>
            </w:pPr>
            <w:r>
              <w:rPr>
                <w:sz w:val="21"/>
                <w:szCs w:val="21"/>
                <w:highlight w:val="none"/>
              </w:rPr>
              <w:t>COD</w:t>
            </w:r>
          </w:p>
          <w:p w14:paraId="5E697B96">
            <w:pPr>
              <w:widowControl/>
              <w:snapToGrid w:val="0"/>
              <w:jc w:val="center"/>
              <w:rPr>
                <w:sz w:val="21"/>
                <w:szCs w:val="21"/>
                <w:highlight w:val="none"/>
              </w:rPr>
            </w:pPr>
            <w:r>
              <w:rPr>
                <w:sz w:val="21"/>
                <w:szCs w:val="21"/>
                <w:highlight w:val="none"/>
              </w:rPr>
              <w:t>BOD</w:t>
            </w:r>
          </w:p>
          <w:p w14:paraId="11BEAFE3">
            <w:pPr>
              <w:widowControl/>
              <w:snapToGrid w:val="0"/>
              <w:jc w:val="center"/>
              <w:rPr>
                <w:sz w:val="21"/>
                <w:szCs w:val="21"/>
                <w:highlight w:val="none"/>
              </w:rPr>
            </w:pPr>
            <w:r>
              <w:rPr>
                <w:sz w:val="21"/>
                <w:szCs w:val="21"/>
                <w:highlight w:val="none"/>
              </w:rPr>
              <w:t>CH</w:t>
            </w:r>
            <w:r>
              <w:rPr>
                <w:sz w:val="21"/>
                <w:szCs w:val="21"/>
                <w:highlight w:val="none"/>
                <w:vertAlign w:val="subscript"/>
              </w:rPr>
              <w:t>3</w:t>
            </w:r>
            <w:r>
              <w:rPr>
                <w:sz w:val="21"/>
                <w:szCs w:val="21"/>
                <w:highlight w:val="none"/>
              </w:rPr>
              <w:t>OH</w:t>
            </w:r>
          </w:p>
        </w:tc>
        <w:tc>
          <w:tcPr>
            <w:tcW w:w="528" w:type="pct"/>
            <w:noWrap w:val="0"/>
            <w:vAlign w:val="center"/>
          </w:tcPr>
          <w:p w14:paraId="6881FED2">
            <w:pPr>
              <w:widowControl/>
              <w:snapToGrid w:val="0"/>
              <w:jc w:val="center"/>
              <w:rPr>
                <w:sz w:val="21"/>
                <w:szCs w:val="21"/>
                <w:highlight w:val="none"/>
              </w:rPr>
            </w:pPr>
            <w:r>
              <w:rPr>
                <w:sz w:val="21"/>
                <w:szCs w:val="21"/>
                <w:highlight w:val="none"/>
              </w:rPr>
              <w:t>150</w:t>
            </w:r>
          </w:p>
          <w:p w14:paraId="504C05EB">
            <w:pPr>
              <w:widowControl/>
              <w:snapToGrid w:val="0"/>
              <w:jc w:val="center"/>
              <w:rPr>
                <w:sz w:val="21"/>
                <w:szCs w:val="21"/>
                <w:highlight w:val="none"/>
              </w:rPr>
            </w:pPr>
            <w:r>
              <w:rPr>
                <w:sz w:val="21"/>
                <w:szCs w:val="21"/>
                <w:highlight w:val="none"/>
              </w:rPr>
              <w:t>77</w:t>
            </w:r>
          </w:p>
          <w:p w14:paraId="7EA260BF">
            <w:pPr>
              <w:widowControl/>
              <w:snapToGrid w:val="0"/>
              <w:jc w:val="center"/>
              <w:rPr>
                <w:sz w:val="21"/>
                <w:szCs w:val="21"/>
                <w:highlight w:val="none"/>
              </w:rPr>
            </w:pPr>
            <w:r>
              <w:rPr>
                <w:sz w:val="21"/>
                <w:szCs w:val="21"/>
                <w:highlight w:val="none"/>
              </w:rPr>
              <w:t>0.007029mol%</w:t>
            </w:r>
          </w:p>
        </w:tc>
        <w:tc>
          <w:tcPr>
            <w:tcW w:w="301" w:type="pct"/>
            <w:noWrap w:val="0"/>
            <w:vAlign w:val="center"/>
          </w:tcPr>
          <w:p w14:paraId="27076A27">
            <w:pPr>
              <w:widowControl/>
              <w:snapToGrid w:val="0"/>
              <w:jc w:val="center"/>
              <w:rPr>
                <w:sz w:val="21"/>
                <w:szCs w:val="21"/>
                <w:highlight w:val="none"/>
              </w:rPr>
            </w:pPr>
            <w:r>
              <w:rPr>
                <w:sz w:val="21"/>
                <w:szCs w:val="21"/>
                <w:highlight w:val="none"/>
              </w:rPr>
              <w:t>连续</w:t>
            </w:r>
          </w:p>
        </w:tc>
        <w:tc>
          <w:tcPr>
            <w:tcW w:w="1225" w:type="pct"/>
            <w:noWrap w:val="0"/>
            <w:vAlign w:val="center"/>
          </w:tcPr>
          <w:p w14:paraId="7AC14FCC">
            <w:pPr>
              <w:widowControl/>
              <w:snapToGrid w:val="0"/>
              <w:jc w:val="center"/>
              <w:rPr>
                <w:rFonts w:hint="eastAsia" w:eastAsia="宋体"/>
                <w:sz w:val="21"/>
                <w:szCs w:val="21"/>
                <w:highlight w:val="none"/>
                <w:lang w:eastAsia="zh-CN"/>
              </w:rPr>
            </w:pPr>
            <w:r>
              <w:rPr>
                <w:sz w:val="21"/>
                <w:szCs w:val="21"/>
                <w:highlight w:val="none"/>
              </w:rPr>
              <w:t>送厂内</w:t>
            </w:r>
            <w:r>
              <w:rPr>
                <w:rFonts w:hint="eastAsia"/>
                <w:sz w:val="21"/>
                <w:szCs w:val="21"/>
                <w:highlight w:val="none"/>
                <w:lang w:eastAsia="zh-CN"/>
              </w:rPr>
              <w:t>污水处理厂</w:t>
            </w:r>
          </w:p>
        </w:tc>
      </w:tr>
      <w:tr w14:paraId="16D6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578DECD">
            <w:pPr>
              <w:widowControl/>
              <w:snapToGrid w:val="0"/>
              <w:jc w:val="center"/>
              <w:rPr>
                <w:sz w:val="21"/>
                <w:szCs w:val="21"/>
                <w:highlight w:val="none"/>
              </w:rPr>
            </w:pPr>
          </w:p>
        </w:tc>
        <w:tc>
          <w:tcPr>
            <w:tcW w:w="712" w:type="pct"/>
            <w:vMerge w:val="restart"/>
            <w:noWrap w:val="0"/>
            <w:vAlign w:val="center"/>
          </w:tcPr>
          <w:p w14:paraId="5338FDF0">
            <w:pPr>
              <w:widowControl/>
              <w:snapToGrid w:val="0"/>
              <w:jc w:val="center"/>
              <w:rPr>
                <w:sz w:val="21"/>
                <w:szCs w:val="21"/>
                <w:highlight w:val="none"/>
              </w:rPr>
            </w:pPr>
            <w:r>
              <w:rPr>
                <w:sz w:val="21"/>
                <w:szCs w:val="21"/>
                <w:highlight w:val="none"/>
              </w:rPr>
              <w:t>硫回收单元</w:t>
            </w:r>
          </w:p>
        </w:tc>
        <w:tc>
          <w:tcPr>
            <w:tcW w:w="795" w:type="pct"/>
            <w:noWrap w:val="0"/>
            <w:vAlign w:val="center"/>
          </w:tcPr>
          <w:p w14:paraId="48DAC12D">
            <w:pPr>
              <w:widowControl/>
              <w:snapToGrid w:val="0"/>
              <w:jc w:val="center"/>
              <w:rPr>
                <w:sz w:val="21"/>
                <w:szCs w:val="21"/>
                <w:highlight w:val="none"/>
              </w:rPr>
            </w:pPr>
            <w:r>
              <w:rPr>
                <w:sz w:val="21"/>
                <w:szCs w:val="21"/>
                <w:highlight w:val="none"/>
              </w:rPr>
              <w:t>酸性水1（含甲醇）</w:t>
            </w:r>
          </w:p>
        </w:tc>
        <w:tc>
          <w:tcPr>
            <w:tcW w:w="628" w:type="pct"/>
            <w:noWrap w:val="0"/>
            <w:vAlign w:val="center"/>
          </w:tcPr>
          <w:p w14:paraId="1F189841">
            <w:pPr>
              <w:widowControl/>
              <w:snapToGrid w:val="0"/>
              <w:jc w:val="center"/>
              <w:rPr>
                <w:sz w:val="21"/>
                <w:szCs w:val="21"/>
                <w:highlight w:val="none"/>
              </w:rPr>
            </w:pPr>
            <w:r>
              <w:rPr>
                <w:sz w:val="21"/>
                <w:szCs w:val="21"/>
                <w:highlight w:val="none"/>
              </w:rPr>
              <w:t>1.8</w:t>
            </w:r>
          </w:p>
        </w:tc>
        <w:tc>
          <w:tcPr>
            <w:tcW w:w="413" w:type="pct"/>
            <w:noWrap w:val="0"/>
            <w:vAlign w:val="center"/>
          </w:tcPr>
          <w:p w14:paraId="1D09C536">
            <w:pPr>
              <w:widowControl/>
              <w:snapToGrid w:val="0"/>
              <w:jc w:val="center"/>
              <w:rPr>
                <w:sz w:val="21"/>
                <w:szCs w:val="21"/>
                <w:highlight w:val="none"/>
              </w:rPr>
            </w:pPr>
            <w:r>
              <w:rPr>
                <w:sz w:val="21"/>
                <w:szCs w:val="21"/>
                <w:highlight w:val="none"/>
              </w:rPr>
              <w:t>CH</w:t>
            </w:r>
            <w:r>
              <w:rPr>
                <w:sz w:val="21"/>
                <w:szCs w:val="21"/>
                <w:highlight w:val="none"/>
                <w:vertAlign w:val="subscript"/>
              </w:rPr>
              <w:t>3</w:t>
            </w:r>
            <w:r>
              <w:rPr>
                <w:sz w:val="21"/>
                <w:szCs w:val="21"/>
                <w:highlight w:val="none"/>
              </w:rPr>
              <w:t>OH</w:t>
            </w:r>
          </w:p>
          <w:p w14:paraId="45380775">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38B107E2">
            <w:pPr>
              <w:widowControl/>
              <w:snapToGrid w:val="0"/>
              <w:jc w:val="center"/>
              <w:rPr>
                <w:sz w:val="21"/>
                <w:szCs w:val="21"/>
                <w:highlight w:val="none"/>
              </w:rPr>
            </w:pPr>
            <w:r>
              <w:rPr>
                <w:sz w:val="21"/>
                <w:szCs w:val="21"/>
                <w:highlight w:val="none"/>
              </w:rPr>
              <w:t>硫化物</w:t>
            </w:r>
          </w:p>
        </w:tc>
        <w:tc>
          <w:tcPr>
            <w:tcW w:w="528" w:type="pct"/>
            <w:noWrap w:val="0"/>
            <w:vAlign w:val="center"/>
          </w:tcPr>
          <w:p w14:paraId="3C6F5B5E">
            <w:pPr>
              <w:widowControl/>
              <w:snapToGrid w:val="0"/>
              <w:jc w:val="center"/>
              <w:rPr>
                <w:sz w:val="21"/>
                <w:szCs w:val="21"/>
                <w:highlight w:val="none"/>
              </w:rPr>
            </w:pPr>
            <w:r>
              <w:rPr>
                <w:sz w:val="21"/>
                <w:szCs w:val="21"/>
                <w:highlight w:val="none"/>
              </w:rPr>
              <w:t>0.0019mol%</w:t>
            </w:r>
          </w:p>
          <w:p w14:paraId="2CF8AE2A">
            <w:pPr>
              <w:widowControl/>
              <w:snapToGrid w:val="0"/>
              <w:jc w:val="center"/>
              <w:rPr>
                <w:sz w:val="21"/>
                <w:szCs w:val="21"/>
                <w:highlight w:val="none"/>
              </w:rPr>
            </w:pPr>
            <w:r>
              <w:rPr>
                <w:sz w:val="21"/>
                <w:szCs w:val="21"/>
                <w:highlight w:val="none"/>
              </w:rPr>
              <w:t>0.0185mol%</w:t>
            </w:r>
          </w:p>
          <w:p w14:paraId="44517B2F">
            <w:pPr>
              <w:widowControl/>
              <w:snapToGrid w:val="0"/>
              <w:jc w:val="center"/>
              <w:rPr>
                <w:sz w:val="21"/>
                <w:szCs w:val="21"/>
                <w:highlight w:val="none"/>
              </w:rPr>
            </w:pPr>
            <w:r>
              <w:rPr>
                <w:sz w:val="21"/>
                <w:szCs w:val="21"/>
                <w:highlight w:val="none"/>
              </w:rPr>
              <w:t>0.0409mol%</w:t>
            </w:r>
          </w:p>
        </w:tc>
        <w:tc>
          <w:tcPr>
            <w:tcW w:w="301" w:type="pct"/>
            <w:noWrap w:val="0"/>
            <w:vAlign w:val="center"/>
          </w:tcPr>
          <w:p w14:paraId="275D1836">
            <w:pPr>
              <w:widowControl/>
              <w:snapToGrid w:val="0"/>
              <w:jc w:val="center"/>
              <w:rPr>
                <w:sz w:val="21"/>
                <w:szCs w:val="21"/>
                <w:highlight w:val="none"/>
              </w:rPr>
            </w:pPr>
            <w:r>
              <w:rPr>
                <w:sz w:val="21"/>
                <w:szCs w:val="21"/>
                <w:highlight w:val="none"/>
              </w:rPr>
              <w:t>连续</w:t>
            </w:r>
          </w:p>
        </w:tc>
        <w:tc>
          <w:tcPr>
            <w:tcW w:w="1225" w:type="pct"/>
            <w:noWrap w:val="0"/>
            <w:vAlign w:val="center"/>
          </w:tcPr>
          <w:p w14:paraId="250FF15A">
            <w:pPr>
              <w:widowControl/>
              <w:snapToGrid w:val="0"/>
              <w:jc w:val="center"/>
              <w:rPr>
                <w:rFonts w:hint="eastAsia" w:eastAsia="宋体"/>
                <w:sz w:val="21"/>
                <w:szCs w:val="21"/>
                <w:highlight w:val="none"/>
                <w:lang w:eastAsia="zh-CN"/>
              </w:rPr>
            </w:pPr>
            <w:r>
              <w:rPr>
                <w:sz w:val="21"/>
                <w:szCs w:val="21"/>
                <w:highlight w:val="none"/>
              </w:rPr>
              <w:t>去厂内</w:t>
            </w:r>
            <w:r>
              <w:rPr>
                <w:rFonts w:hint="eastAsia"/>
                <w:sz w:val="21"/>
                <w:szCs w:val="21"/>
                <w:highlight w:val="none"/>
                <w:lang w:eastAsia="zh-CN"/>
              </w:rPr>
              <w:t>污水处理厂</w:t>
            </w:r>
          </w:p>
        </w:tc>
      </w:tr>
      <w:tr w14:paraId="2820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F92150A">
            <w:pPr>
              <w:widowControl/>
              <w:snapToGrid w:val="0"/>
              <w:jc w:val="center"/>
              <w:rPr>
                <w:sz w:val="21"/>
                <w:szCs w:val="21"/>
                <w:highlight w:val="none"/>
              </w:rPr>
            </w:pPr>
          </w:p>
        </w:tc>
        <w:tc>
          <w:tcPr>
            <w:tcW w:w="712" w:type="pct"/>
            <w:vMerge w:val="continue"/>
            <w:noWrap w:val="0"/>
            <w:vAlign w:val="center"/>
          </w:tcPr>
          <w:p w14:paraId="4070479B">
            <w:pPr>
              <w:widowControl/>
              <w:snapToGrid w:val="0"/>
              <w:jc w:val="center"/>
              <w:rPr>
                <w:sz w:val="21"/>
                <w:szCs w:val="21"/>
                <w:highlight w:val="none"/>
              </w:rPr>
            </w:pPr>
          </w:p>
        </w:tc>
        <w:tc>
          <w:tcPr>
            <w:tcW w:w="795" w:type="pct"/>
            <w:noWrap w:val="0"/>
            <w:vAlign w:val="center"/>
          </w:tcPr>
          <w:p w14:paraId="5967F190">
            <w:pPr>
              <w:widowControl/>
              <w:snapToGrid w:val="0"/>
              <w:jc w:val="center"/>
              <w:rPr>
                <w:sz w:val="21"/>
                <w:szCs w:val="21"/>
                <w:highlight w:val="none"/>
              </w:rPr>
            </w:pPr>
            <w:r>
              <w:rPr>
                <w:sz w:val="21"/>
                <w:szCs w:val="21"/>
                <w:highlight w:val="none"/>
              </w:rPr>
              <w:t>酸性水2（含氨）</w:t>
            </w:r>
          </w:p>
        </w:tc>
        <w:tc>
          <w:tcPr>
            <w:tcW w:w="628" w:type="pct"/>
            <w:noWrap w:val="0"/>
            <w:vAlign w:val="center"/>
          </w:tcPr>
          <w:p w14:paraId="7830B3EB">
            <w:pPr>
              <w:widowControl/>
              <w:snapToGrid w:val="0"/>
              <w:jc w:val="center"/>
              <w:rPr>
                <w:sz w:val="21"/>
                <w:szCs w:val="21"/>
                <w:highlight w:val="none"/>
              </w:rPr>
            </w:pPr>
            <w:r>
              <w:rPr>
                <w:sz w:val="21"/>
                <w:szCs w:val="21"/>
                <w:highlight w:val="none"/>
              </w:rPr>
              <w:t>0.177</w:t>
            </w:r>
          </w:p>
        </w:tc>
        <w:tc>
          <w:tcPr>
            <w:tcW w:w="413" w:type="pct"/>
            <w:noWrap w:val="0"/>
            <w:vAlign w:val="center"/>
          </w:tcPr>
          <w:p w14:paraId="28D9D097">
            <w:pPr>
              <w:widowControl/>
              <w:snapToGrid w:val="0"/>
              <w:jc w:val="center"/>
              <w:rPr>
                <w:sz w:val="21"/>
                <w:szCs w:val="21"/>
                <w:highlight w:val="none"/>
              </w:rPr>
            </w:pPr>
            <w:r>
              <w:rPr>
                <w:sz w:val="21"/>
                <w:szCs w:val="21"/>
                <w:highlight w:val="none"/>
              </w:rPr>
              <w:t>NH</w:t>
            </w:r>
            <w:r>
              <w:rPr>
                <w:sz w:val="21"/>
                <w:szCs w:val="21"/>
                <w:highlight w:val="none"/>
                <w:vertAlign w:val="subscript"/>
              </w:rPr>
              <w:t>3</w:t>
            </w:r>
          </w:p>
          <w:p w14:paraId="517D12B9">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4B250EFD">
            <w:pPr>
              <w:widowControl/>
              <w:snapToGrid w:val="0"/>
              <w:jc w:val="center"/>
              <w:rPr>
                <w:sz w:val="21"/>
                <w:szCs w:val="21"/>
                <w:highlight w:val="none"/>
              </w:rPr>
            </w:pPr>
            <w:r>
              <w:rPr>
                <w:sz w:val="21"/>
                <w:szCs w:val="21"/>
                <w:highlight w:val="none"/>
              </w:rPr>
              <w:t>硫化物</w:t>
            </w:r>
          </w:p>
        </w:tc>
        <w:tc>
          <w:tcPr>
            <w:tcW w:w="528" w:type="pct"/>
            <w:noWrap w:val="0"/>
            <w:vAlign w:val="center"/>
          </w:tcPr>
          <w:p w14:paraId="688BF083">
            <w:pPr>
              <w:widowControl/>
              <w:snapToGrid w:val="0"/>
              <w:jc w:val="center"/>
              <w:rPr>
                <w:sz w:val="21"/>
                <w:szCs w:val="21"/>
                <w:highlight w:val="none"/>
              </w:rPr>
            </w:pPr>
            <w:r>
              <w:rPr>
                <w:sz w:val="21"/>
                <w:szCs w:val="21"/>
                <w:highlight w:val="none"/>
              </w:rPr>
              <w:t>0.0494mol%</w:t>
            </w:r>
          </w:p>
          <w:p w14:paraId="5729DF02">
            <w:pPr>
              <w:widowControl/>
              <w:snapToGrid w:val="0"/>
              <w:jc w:val="center"/>
              <w:rPr>
                <w:sz w:val="21"/>
                <w:szCs w:val="21"/>
                <w:highlight w:val="none"/>
              </w:rPr>
            </w:pPr>
            <w:r>
              <w:rPr>
                <w:sz w:val="21"/>
                <w:szCs w:val="21"/>
                <w:highlight w:val="none"/>
              </w:rPr>
              <w:t>0.0196mol%</w:t>
            </w:r>
          </w:p>
          <w:p w14:paraId="6CBA8B24">
            <w:pPr>
              <w:widowControl/>
              <w:snapToGrid w:val="0"/>
              <w:jc w:val="center"/>
              <w:rPr>
                <w:sz w:val="21"/>
                <w:szCs w:val="21"/>
                <w:highlight w:val="none"/>
              </w:rPr>
            </w:pPr>
            <w:r>
              <w:rPr>
                <w:sz w:val="21"/>
                <w:szCs w:val="21"/>
                <w:highlight w:val="none"/>
              </w:rPr>
              <w:t>0.0027mol%</w:t>
            </w:r>
          </w:p>
        </w:tc>
        <w:tc>
          <w:tcPr>
            <w:tcW w:w="301" w:type="pct"/>
            <w:noWrap w:val="0"/>
            <w:vAlign w:val="center"/>
          </w:tcPr>
          <w:p w14:paraId="72894911">
            <w:pPr>
              <w:widowControl/>
              <w:snapToGrid w:val="0"/>
              <w:jc w:val="center"/>
              <w:rPr>
                <w:sz w:val="21"/>
                <w:szCs w:val="21"/>
                <w:highlight w:val="none"/>
              </w:rPr>
            </w:pPr>
            <w:r>
              <w:rPr>
                <w:sz w:val="21"/>
                <w:szCs w:val="21"/>
                <w:highlight w:val="none"/>
              </w:rPr>
              <w:t>间断</w:t>
            </w:r>
          </w:p>
        </w:tc>
        <w:tc>
          <w:tcPr>
            <w:tcW w:w="1225" w:type="pct"/>
            <w:noWrap w:val="0"/>
            <w:vAlign w:val="center"/>
          </w:tcPr>
          <w:p w14:paraId="64CA51D4">
            <w:pPr>
              <w:widowControl/>
              <w:snapToGrid w:val="0"/>
              <w:jc w:val="center"/>
              <w:rPr>
                <w:sz w:val="21"/>
                <w:szCs w:val="21"/>
                <w:highlight w:val="none"/>
              </w:rPr>
            </w:pPr>
            <w:r>
              <w:rPr>
                <w:sz w:val="21"/>
                <w:szCs w:val="21"/>
                <w:highlight w:val="none"/>
              </w:rPr>
              <w:t>送酸性水汽提单元</w:t>
            </w:r>
          </w:p>
        </w:tc>
      </w:tr>
      <w:tr w14:paraId="757E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D033E52">
            <w:pPr>
              <w:widowControl/>
              <w:snapToGrid w:val="0"/>
              <w:jc w:val="center"/>
              <w:rPr>
                <w:sz w:val="21"/>
                <w:szCs w:val="21"/>
                <w:highlight w:val="none"/>
              </w:rPr>
            </w:pPr>
          </w:p>
        </w:tc>
        <w:tc>
          <w:tcPr>
            <w:tcW w:w="712" w:type="pct"/>
            <w:vMerge w:val="restart"/>
            <w:noWrap w:val="0"/>
            <w:vAlign w:val="center"/>
          </w:tcPr>
          <w:p w14:paraId="1C5B7D32">
            <w:pPr>
              <w:widowControl/>
              <w:snapToGrid w:val="0"/>
              <w:jc w:val="center"/>
              <w:rPr>
                <w:sz w:val="21"/>
                <w:szCs w:val="21"/>
                <w:highlight w:val="none"/>
              </w:rPr>
            </w:pPr>
            <w:r>
              <w:rPr>
                <w:sz w:val="21"/>
                <w:szCs w:val="21"/>
                <w:highlight w:val="none"/>
              </w:rPr>
              <w:t>酸性水汽提</w:t>
            </w:r>
          </w:p>
          <w:p w14:paraId="6FDC1BB5">
            <w:pPr>
              <w:widowControl/>
              <w:snapToGrid w:val="0"/>
              <w:jc w:val="center"/>
              <w:rPr>
                <w:sz w:val="21"/>
                <w:szCs w:val="21"/>
                <w:highlight w:val="none"/>
              </w:rPr>
            </w:pPr>
            <w:r>
              <w:rPr>
                <w:sz w:val="21"/>
                <w:szCs w:val="21"/>
                <w:highlight w:val="none"/>
              </w:rPr>
              <w:t>单元</w:t>
            </w:r>
          </w:p>
        </w:tc>
        <w:tc>
          <w:tcPr>
            <w:tcW w:w="795" w:type="pct"/>
            <w:noWrap w:val="0"/>
            <w:vAlign w:val="center"/>
          </w:tcPr>
          <w:p w14:paraId="3749ECE3">
            <w:pPr>
              <w:widowControl/>
              <w:snapToGrid w:val="0"/>
              <w:jc w:val="center"/>
              <w:rPr>
                <w:sz w:val="21"/>
                <w:szCs w:val="21"/>
                <w:highlight w:val="none"/>
              </w:rPr>
            </w:pPr>
            <w:r>
              <w:rPr>
                <w:sz w:val="21"/>
                <w:szCs w:val="21"/>
                <w:highlight w:val="none"/>
              </w:rPr>
              <w:t>塔顶凝液</w:t>
            </w:r>
          </w:p>
        </w:tc>
        <w:tc>
          <w:tcPr>
            <w:tcW w:w="628" w:type="pct"/>
            <w:noWrap w:val="0"/>
            <w:vAlign w:val="center"/>
          </w:tcPr>
          <w:p w14:paraId="21D5918D">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：8.8</w:t>
            </w:r>
          </w:p>
          <w:p w14:paraId="36E32860">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：29</w:t>
            </w:r>
          </w:p>
        </w:tc>
        <w:tc>
          <w:tcPr>
            <w:tcW w:w="413" w:type="pct"/>
            <w:noWrap w:val="0"/>
            <w:vAlign w:val="center"/>
          </w:tcPr>
          <w:p w14:paraId="3210EF61">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09E757F2">
            <w:pPr>
              <w:widowControl/>
              <w:snapToGrid w:val="0"/>
              <w:jc w:val="center"/>
              <w:rPr>
                <w:sz w:val="21"/>
                <w:szCs w:val="21"/>
                <w:highlight w:val="none"/>
              </w:rPr>
            </w:pPr>
            <w:r>
              <w:rPr>
                <w:sz w:val="21"/>
                <w:szCs w:val="21"/>
                <w:highlight w:val="none"/>
              </w:rPr>
              <w:t>硫化物</w:t>
            </w:r>
          </w:p>
          <w:p w14:paraId="4FEA3DD2">
            <w:pPr>
              <w:widowControl/>
              <w:snapToGrid w:val="0"/>
              <w:jc w:val="center"/>
              <w:rPr>
                <w:sz w:val="21"/>
                <w:szCs w:val="21"/>
                <w:highlight w:val="none"/>
                <w:vertAlign w:val="subscript"/>
              </w:rPr>
            </w:pPr>
            <w:r>
              <w:rPr>
                <w:sz w:val="21"/>
                <w:szCs w:val="21"/>
                <w:highlight w:val="none"/>
              </w:rPr>
              <w:t>NH</w:t>
            </w:r>
            <w:r>
              <w:rPr>
                <w:sz w:val="21"/>
                <w:szCs w:val="21"/>
                <w:highlight w:val="none"/>
                <w:vertAlign w:val="subscript"/>
              </w:rPr>
              <w:t>3</w:t>
            </w:r>
          </w:p>
        </w:tc>
        <w:tc>
          <w:tcPr>
            <w:tcW w:w="528" w:type="pct"/>
            <w:noWrap w:val="0"/>
            <w:vAlign w:val="center"/>
          </w:tcPr>
          <w:p w14:paraId="6C7A02BA">
            <w:pPr>
              <w:widowControl/>
              <w:snapToGrid w:val="0"/>
              <w:jc w:val="center"/>
              <w:rPr>
                <w:sz w:val="21"/>
                <w:szCs w:val="21"/>
                <w:highlight w:val="none"/>
              </w:rPr>
            </w:pPr>
            <w:r>
              <w:rPr>
                <w:sz w:val="21"/>
                <w:szCs w:val="21"/>
                <w:highlight w:val="none"/>
              </w:rPr>
              <w:t>18ppm</w:t>
            </w:r>
          </w:p>
          <w:p w14:paraId="727AA798">
            <w:pPr>
              <w:widowControl/>
              <w:snapToGrid w:val="0"/>
              <w:jc w:val="center"/>
              <w:rPr>
                <w:sz w:val="21"/>
                <w:szCs w:val="21"/>
                <w:highlight w:val="none"/>
              </w:rPr>
            </w:pPr>
            <w:r>
              <w:rPr>
                <w:sz w:val="21"/>
                <w:szCs w:val="21"/>
                <w:highlight w:val="none"/>
              </w:rPr>
              <w:t>＜10ppm</w:t>
            </w:r>
          </w:p>
          <w:p w14:paraId="37979796">
            <w:pPr>
              <w:widowControl/>
              <w:snapToGrid w:val="0"/>
              <w:jc w:val="center"/>
              <w:rPr>
                <w:sz w:val="21"/>
                <w:szCs w:val="21"/>
                <w:highlight w:val="none"/>
              </w:rPr>
            </w:pPr>
            <w:r>
              <w:rPr>
                <w:sz w:val="21"/>
                <w:szCs w:val="21"/>
                <w:highlight w:val="none"/>
              </w:rPr>
              <w:t>0.004</w:t>
            </w:r>
          </w:p>
        </w:tc>
        <w:tc>
          <w:tcPr>
            <w:tcW w:w="301" w:type="pct"/>
            <w:noWrap w:val="0"/>
            <w:vAlign w:val="center"/>
          </w:tcPr>
          <w:p w14:paraId="482765E7">
            <w:pPr>
              <w:widowControl/>
              <w:snapToGrid w:val="0"/>
              <w:jc w:val="center"/>
              <w:rPr>
                <w:sz w:val="21"/>
                <w:szCs w:val="21"/>
                <w:highlight w:val="none"/>
              </w:rPr>
            </w:pPr>
            <w:r>
              <w:rPr>
                <w:sz w:val="21"/>
                <w:szCs w:val="21"/>
                <w:highlight w:val="none"/>
              </w:rPr>
              <w:t>连续</w:t>
            </w:r>
          </w:p>
        </w:tc>
        <w:tc>
          <w:tcPr>
            <w:tcW w:w="1225" w:type="pct"/>
            <w:noWrap w:val="0"/>
            <w:vAlign w:val="center"/>
          </w:tcPr>
          <w:p w14:paraId="258B49B5">
            <w:pPr>
              <w:widowControl/>
              <w:snapToGrid w:val="0"/>
              <w:jc w:val="center"/>
              <w:rPr>
                <w:sz w:val="21"/>
                <w:szCs w:val="21"/>
                <w:highlight w:val="none"/>
              </w:rPr>
            </w:pPr>
            <w:r>
              <w:rPr>
                <w:sz w:val="21"/>
                <w:szCs w:val="21"/>
                <w:highlight w:val="none"/>
              </w:rPr>
              <w:t>去水煤浆气化装置</w:t>
            </w:r>
          </w:p>
        </w:tc>
      </w:tr>
      <w:tr w14:paraId="1CEE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0BA359A">
            <w:pPr>
              <w:widowControl/>
              <w:snapToGrid w:val="0"/>
              <w:jc w:val="center"/>
              <w:rPr>
                <w:sz w:val="21"/>
                <w:szCs w:val="21"/>
                <w:highlight w:val="none"/>
              </w:rPr>
            </w:pPr>
          </w:p>
        </w:tc>
        <w:tc>
          <w:tcPr>
            <w:tcW w:w="712" w:type="pct"/>
            <w:vMerge w:val="continue"/>
            <w:noWrap w:val="0"/>
            <w:vAlign w:val="center"/>
          </w:tcPr>
          <w:p w14:paraId="773E15B6">
            <w:pPr>
              <w:widowControl/>
              <w:snapToGrid w:val="0"/>
              <w:jc w:val="center"/>
              <w:rPr>
                <w:sz w:val="21"/>
                <w:szCs w:val="21"/>
                <w:highlight w:val="none"/>
              </w:rPr>
            </w:pPr>
          </w:p>
        </w:tc>
        <w:tc>
          <w:tcPr>
            <w:tcW w:w="795" w:type="pct"/>
            <w:noWrap w:val="0"/>
            <w:vAlign w:val="center"/>
          </w:tcPr>
          <w:p w14:paraId="3DDBB0C5">
            <w:pPr>
              <w:widowControl/>
              <w:snapToGrid w:val="0"/>
              <w:jc w:val="center"/>
              <w:rPr>
                <w:sz w:val="21"/>
                <w:szCs w:val="21"/>
                <w:highlight w:val="none"/>
              </w:rPr>
            </w:pPr>
            <w:r>
              <w:rPr>
                <w:sz w:val="21"/>
                <w:szCs w:val="21"/>
                <w:highlight w:val="none"/>
              </w:rPr>
              <w:t>塔底汽提凝液</w:t>
            </w:r>
          </w:p>
        </w:tc>
        <w:tc>
          <w:tcPr>
            <w:tcW w:w="628" w:type="pct"/>
            <w:noWrap w:val="0"/>
            <w:vAlign w:val="center"/>
          </w:tcPr>
          <w:p w14:paraId="29E49244">
            <w:pPr>
              <w:widowControl/>
              <w:snapToGrid w:val="0"/>
              <w:jc w:val="center"/>
              <w:rPr>
                <w:sz w:val="21"/>
                <w:szCs w:val="21"/>
                <w:highlight w:val="none"/>
              </w:rPr>
            </w:pPr>
            <w:r>
              <w:rPr>
                <w:sz w:val="21"/>
                <w:szCs w:val="21"/>
                <w:highlight w:val="none"/>
              </w:rPr>
              <w:t>236.2</w:t>
            </w:r>
          </w:p>
        </w:tc>
        <w:tc>
          <w:tcPr>
            <w:tcW w:w="413" w:type="pct"/>
            <w:noWrap w:val="0"/>
            <w:vAlign w:val="center"/>
          </w:tcPr>
          <w:p w14:paraId="74C4981E">
            <w:pPr>
              <w:widowControl/>
              <w:snapToGrid w:val="0"/>
              <w:jc w:val="center"/>
              <w:rPr>
                <w:sz w:val="21"/>
                <w:szCs w:val="21"/>
                <w:highlight w:val="none"/>
              </w:rPr>
            </w:pPr>
            <w:r>
              <w:rPr>
                <w:sz w:val="21"/>
                <w:szCs w:val="21"/>
                <w:highlight w:val="none"/>
              </w:rPr>
              <w:t>H</w:t>
            </w:r>
            <w:r>
              <w:rPr>
                <w:sz w:val="21"/>
                <w:szCs w:val="21"/>
                <w:highlight w:val="none"/>
                <w:vertAlign w:val="subscript"/>
              </w:rPr>
              <w:t>2</w:t>
            </w:r>
          </w:p>
          <w:p w14:paraId="4B9E473C">
            <w:pPr>
              <w:widowControl/>
              <w:snapToGrid w:val="0"/>
              <w:jc w:val="center"/>
              <w:rPr>
                <w:sz w:val="21"/>
                <w:szCs w:val="21"/>
                <w:highlight w:val="none"/>
              </w:rPr>
            </w:pPr>
            <w:r>
              <w:rPr>
                <w:sz w:val="21"/>
                <w:szCs w:val="21"/>
                <w:highlight w:val="none"/>
              </w:rPr>
              <w:t>CO</w:t>
            </w:r>
          </w:p>
          <w:p w14:paraId="75E868BF">
            <w:pPr>
              <w:widowControl/>
              <w:snapToGrid w:val="0"/>
              <w:jc w:val="center"/>
              <w:rPr>
                <w:sz w:val="21"/>
                <w:szCs w:val="21"/>
                <w:highlight w:val="none"/>
              </w:rPr>
            </w:pPr>
            <w:r>
              <w:rPr>
                <w:sz w:val="21"/>
                <w:szCs w:val="21"/>
                <w:highlight w:val="none"/>
              </w:rPr>
              <w:t>CO</w:t>
            </w:r>
            <w:r>
              <w:rPr>
                <w:sz w:val="21"/>
                <w:szCs w:val="21"/>
                <w:highlight w:val="none"/>
                <w:vertAlign w:val="subscript"/>
              </w:rPr>
              <w:t>2</w:t>
            </w:r>
          </w:p>
          <w:p w14:paraId="114CD31A">
            <w:pPr>
              <w:widowControl/>
              <w:snapToGrid w:val="0"/>
              <w:jc w:val="center"/>
              <w:rPr>
                <w:sz w:val="21"/>
                <w:szCs w:val="21"/>
                <w:highlight w:val="none"/>
              </w:rPr>
            </w:pPr>
            <w:r>
              <w:rPr>
                <w:sz w:val="21"/>
                <w:szCs w:val="21"/>
                <w:highlight w:val="none"/>
              </w:rPr>
              <w:t>硫化物</w:t>
            </w:r>
          </w:p>
          <w:p w14:paraId="4E3CBA53">
            <w:pPr>
              <w:widowControl/>
              <w:snapToGrid w:val="0"/>
              <w:jc w:val="center"/>
              <w:rPr>
                <w:sz w:val="21"/>
                <w:szCs w:val="21"/>
                <w:highlight w:val="none"/>
              </w:rPr>
            </w:pPr>
            <w:r>
              <w:rPr>
                <w:sz w:val="21"/>
                <w:szCs w:val="21"/>
                <w:highlight w:val="none"/>
              </w:rPr>
              <w:t>NH</w:t>
            </w:r>
            <w:r>
              <w:rPr>
                <w:sz w:val="21"/>
                <w:szCs w:val="21"/>
                <w:highlight w:val="none"/>
                <w:vertAlign w:val="subscript"/>
              </w:rPr>
              <w:t>3</w:t>
            </w:r>
          </w:p>
        </w:tc>
        <w:tc>
          <w:tcPr>
            <w:tcW w:w="528" w:type="pct"/>
            <w:noWrap w:val="0"/>
            <w:vAlign w:val="center"/>
          </w:tcPr>
          <w:p w14:paraId="5F6A83CA">
            <w:pPr>
              <w:widowControl/>
              <w:snapToGrid w:val="0"/>
              <w:jc w:val="center"/>
              <w:rPr>
                <w:sz w:val="21"/>
                <w:szCs w:val="21"/>
                <w:highlight w:val="none"/>
                <w:lang w:val="pt-BR"/>
              </w:rPr>
            </w:pPr>
            <w:r>
              <w:rPr>
                <w:sz w:val="21"/>
                <w:szCs w:val="21"/>
                <w:highlight w:val="none"/>
                <w:lang w:val="pt-BR"/>
              </w:rPr>
              <w:t>3.49E-55mol%</w:t>
            </w:r>
          </w:p>
          <w:p w14:paraId="264E3DE5">
            <w:pPr>
              <w:widowControl/>
              <w:snapToGrid w:val="0"/>
              <w:jc w:val="center"/>
              <w:rPr>
                <w:sz w:val="21"/>
                <w:szCs w:val="21"/>
                <w:highlight w:val="none"/>
                <w:lang w:val="pt-BR"/>
              </w:rPr>
            </w:pPr>
            <w:r>
              <w:rPr>
                <w:sz w:val="21"/>
                <w:szCs w:val="21"/>
                <w:highlight w:val="none"/>
                <w:lang w:val="pt-BR"/>
              </w:rPr>
              <w:t>9.43E-56mol%</w:t>
            </w:r>
          </w:p>
          <w:p w14:paraId="674C77D8">
            <w:pPr>
              <w:widowControl/>
              <w:snapToGrid w:val="0"/>
              <w:jc w:val="center"/>
              <w:rPr>
                <w:sz w:val="21"/>
                <w:szCs w:val="21"/>
                <w:highlight w:val="none"/>
                <w:lang w:val="pt-BR"/>
              </w:rPr>
            </w:pPr>
            <w:r>
              <w:rPr>
                <w:sz w:val="21"/>
                <w:szCs w:val="21"/>
                <w:highlight w:val="none"/>
                <w:lang w:val="pt-BR"/>
              </w:rPr>
              <w:t>4.08E-39mol%</w:t>
            </w:r>
          </w:p>
          <w:p w14:paraId="740706E2">
            <w:pPr>
              <w:widowControl/>
              <w:snapToGrid w:val="0"/>
              <w:jc w:val="center"/>
              <w:rPr>
                <w:sz w:val="21"/>
                <w:szCs w:val="21"/>
                <w:highlight w:val="none"/>
                <w:lang w:val="pt-BR"/>
              </w:rPr>
            </w:pPr>
            <w:r>
              <w:rPr>
                <w:sz w:val="21"/>
                <w:szCs w:val="21"/>
                <w:highlight w:val="none"/>
                <w:lang w:val="pt-BR"/>
              </w:rPr>
              <w:t>0.000005</w:t>
            </w:r>
            <w:r>
              <w:rPr>
                <w:sz w:val="21"/>
                <w:szCs w:val="21"/>
                <w:highlight w:val="none"/>
                <w:lang w:val="es-ES"/>
              </w:rPr>
              <w:t>mol%</w:t>
            </w:r>
          </w:p>
          <w:p w14:paraId="3DE8AC2F">
            <w:pPr>
              <w:widowControl/>
              <w:snapToGrid w:val="0"/>
              <w:jc w:val="center"/>
              <w:rPr>
                <w:sz w:val="21"/>
                <w:szCs w:val="21"/>
                <w:highlight w:val="none"/>
                <w:lang w:val="pt-BR"/>
              </w:rPr>
            </w:pPr>
            <w:r>
              <w:rPr>
                <w:sz w:val="21"/>
                <w:szCs w:val="21"/>
                <w:highlight w:val="none"/>
                <w:lang w:val="pt-BR"/>
              </w:rPr>
              <w:t>0.00002</w:t>
            </w:r>
            <w:r>
              <w:rPr>
                <w:sz w:val="21"/>
                <w:szCs w:val="21"/>
                <w:highlight w:val="none"/>
                <w:lang w:val="es-ES"/>
              </w:rPr>
              <w:t>mol%</w:t>
            </w:r>
          </w:p>
        </w:tc>
        <w:tc>
          <w:tcPr>
            <w:tcW w:w="301" w:type="pct"/>
            <w:noWrap w:val="0"/>
            <w:vAlign w:val="center"/>
          </w:tcPr>
          <w:p w14:paraId="45CF7060">
            <w:pPr>
              <w:widowControl/>
              <w:snapToGrid w:val="0"/>
              <w:jc w:val="center"/>
              <w:rPr>
                <w:sz w:val="21"/>
                <w:szCs w:val="21"/>
                <w:highlight w:val="none"/>
              </w:rPr>
            </w:pPr>
            <w:r>
              <w:rPr>
                <w:sz w:val="21"/>
                <w:szCs w:val="21"/>
                <w:highlight w:val="none"/>
              </w:rPr>
              <w:t>连续</w:t>
            </w:r>
          </w:p>
        </w:tc>
        <w:tc>
          <w:tcPr>
            <w:tcW w:w="1225" w:type="pct"/>
            <w:noWrap w:val="0"/>
            <w:vAlign w:val="center"/>
          </w:tcPr>
          <w:p w14:paraId="18A590C8">
            <w:pPr>
              <w:widowControl/>
              <w:snapToGrid w:val="0"/>
              <w:jc w:val="center"/>
              <w:rPr>
                <w:sz w:val="21"/>
                <w:szCs w:val="21"/>
                <w:highlight w:val="none"/>
              </w:rPr>
            </w:pPr>
            <w:r>
              <w:rPr>
                <w:sz w:val="21"/>
                <w:szCs w:val="21"/>
                <w:highlight w:val="none"/>
              </w:rPr>
              <w:t>去粉煤气化装置</w:t>
            </w:r>
          </w:p>
        </w:tc>
      </w:tr>
      <w:tr w14:paraId="186F0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9C4AFDE">
            <w:pPr>
              <w:widowControl/>
              <w:snapToGrid w:val="0"/>
              <w:jc w:val="center"/>
              <w:rPr>
                <w:sz w:val="21"/>
                <w:szCs w:val="21"/>
                <w:highlight w:val="none"/>
              </w:rPr>
            </w:pPr>
          </w:p>
        </w:tc>
        <w:tc>
          <w:tcPr>
            <w:tcW w:w="1507" w:type="pct"/>
            <w:gridSpan w:val="2"/>
            <w:noWrap w:val="0"/>
            <w:vAlign w:val="center"/>
          </w:tcPr>
          <w:p w14:paraId="3CF275DD">
            <w:pPr>
              <w:widowControl/>
              <w:snapToGrid w:val="0"/>
              <w:jc w:val="center"/>
              <w:rPr>
                <w:sz w:val="21"/>
                <w:szCs w:val="21"/>
                <w:highlight w:val="none"/>
              </w:rPr>
            </w:pPr>
            <w:r>
              <w:rPr>
                <w:sz w:val="21"/>
                <w:szCs w:val="21"/>
                <w:highlight w:val="none"/>
              </w:rPr>
              <w:t>废热锅炉排污</w:t>
            </w:r>
          </w:p>
        </w:tc>
        <w:tc>
          <w:tcPr>
            <w:tcW w:w="628" w:type="pct"/>
            <w:noWrap w:val="0"/>
            <w:vAlign w:val="center"/>
          </w:tcPr>
          <w:p w14:paraId="28D4066C">
            <w:pPr>
              <w:widowControl/>
              <w:snapToGrid w:val="0"/>
              <w:jc w:val="center"/>
              <w:rPr>
                <w:sz w:val="21"/>
                <w:szCs w:val="21"/>
                <w:highlight w:val="none"/>
              </w:rPr>
            </w:pPr>
            <w:r>
              <w:rPr>
                <w:sz w:val="21"/>
                <w:szCs w:val="21"/>
                <w:highlight w:val="none"/>
              </w:rPr>
              <w:t>15.3</w:t>
            </w:r>
          </w:p>
        </w:tc>
        <w:tc>
          <w:tcPr>
            <w:tcW w:w="413" w:type="pct"/>
            <w:noWrap w:val="0"/>
            <w:vAlign w:val="center"/>
          </w:tcPr>
          <w:p w14:paraId="4F767374">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601291F9">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08C72256">
            <w:pPr>
              <w:widowControl/>
              <w:snapToGrid w:val="0"/>
              <w:jc w:val="center"/>
              <w:rPr>
                <w:sz w:val="21"/>
                <w:szCs w:val="21"/>
                <w:highlight w:val="none"/>
              </w:rPr>
            </w:pPr>
            <w:r>
              <w:rPr>
                <w:sz w:val="21"/>
                <w:szCs w:val="21"/>
                <w:highlight w:val="none"/>
              </w:rPr>
              <w:t>TDS</w:t>
            </w:r>
          </w:p>
        </w:tc>
        <w:tc>
          <w:tcPr>
            <w:tcW w:w="528" w:type="pct"/>
            <w:noWrap w:val="0"/>
            <w:vAlign w:val="center"/>
          </w:tcPr>
          <w:p w14:paraId="73159177">
            <w:pPr>
              <w:widowControl/>
              <w:snapToGrid w:val="0"/>
              <w:jc w:val="center"/>
              <w:rPr>
                <w:sz w:val="21"/>
                <w:szCs w:val="21"/>
                <w:highlight w:val="none"/>
              </w:rPr>
            </w:pPr>
            <w:r>
              <w:rPr>
                <w:sz w:val="21"/>
                <w:szCs w:val="21"/>
                <w:highlight w:val="none"/>
              </w:rPr>
              <w:t>6.5</w:t>
            </w:r>
          </w:p>
          <w:p w14:paraId="1D981E50">
            <w:pPr>
              <w:widowControl/>
              <w:snapToGrid w:val="0"/>
              <w:jc w:val="center"/>
              <w:rPr>
                <w:sz w:val="21"/>
                <w:szCs w:val="21"/>
                <w:highlight w:val="none"/>
              </w:rPr>
            </w:pPr>
            <w:r>
              <w:rPr>
                <w:sz w:val="21"/>
                <w:szCs w:val="21"/>
                <w:highlight w:val="none"/>
              </w:rPr>
              <w:t>10</w:t>
            </w:r>
          </w:p>
          <w:p w14:paraId="2720BF71">
            <w:pPr>
              <w:widowControl/>
              <w:snapToGrid w:val="0"/>
              <w:jc w:val="center"/>
              <w:rPr>
                <w:sz w:val="21"/>
                <w:szCs w:val="21"/>
                <w:highlight w:val="none"/>
              </w:rPr>
            </w:pPr>
            <w:r>
              <w:rPr>
                <w:sz w:val="21"/>
                <w:szCs w:val="21"/>
                <w:highlight w:val="none"/>
              </w:rPr>
              <w:t>17</w:t>
            </w:r>
          </w:p>
        </w:tc>
        <w:tc>
          <w:tcPr>
            <w:tcW w:w="301" w:type="pct"/>
            <w:noWrap w:val="0"/>
            <w:vAlign w:val="center"/>
          </w:tcPr>
          <w:p w14:paraId="2CFA5479">
            <w:pPr>
              <w:widowControl/>
              <w:snapToGrid w:val="0"/>
              <w:jc w:val="center"/>
              <w:rPr>
                <w:sz w:val="21"/>
                <w:szCs w:val="21"/>
                <w:highlight w:val="none"/>
              </w:rPr>
            </w:pPr>
            <w:r>
              <w:rPr>
                <w:sz w:val="21"/>
                <w:szCs w:val="21"/>
                <w:highlight w:val="none"/>
              </w:rPr>
              <w:t>连续</w:t>
            </w:r>
          </w:p>
        </w:tc>
        <w:tc>
          <w:tcPr>
            <w:tcW w:w="1225" w:type="pct"/>
            <w:noWrap w:val="0"/>
            <w:vAlign w:val="center"/>
          </w:tcPr>
          <w:p w14:paraId="63583E49">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4B87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7A1B9B7F">
            <w:pPr>
              <w:widowControl/>
              <w:snapToGrid w:val="0"/>
              <w:jc w:val="center"/>
              <w:rPr>
                <w:sz w:val="21"/>
                <w:szCs w:val="21"/>
                <w:highlight w:val="none"/>
              </w:rPr>
            </w:pPr>
            <w:r>
              <w:rPr>
                <w:sz w:val="21"/>
                <w:szCs w:val="21"/>
                <w:highlight w:val="none"/>
              </w:rPr>
              <w:t>化学品合成装置</w:t>
            </w:r>
          </w:p>
        </w:tc>
        <w:tc>
          <w:tcPr>
            <w:tcW w:w="712" w:type="pct"/>
            <w:vMerge w:val="restart"/>
            <w:noWrap w:val="0"/>
            <w:vAlign w:val="center"/>
          </w:tcPr>
          <w:p w14:paraId="2ECE52E2">
            <w:pPr>
              <w:widowControl/>
              <w:snapToGrid w:val="0"/>
              <w:jc w:val="center"/>
              <w:rPr>
                <w:sz w:val="21"/>
                <w:szCs w:val="21"/>
                <w:highlight w:val="none"/>
              </w:rPr>
            </w:pPr>
            <w:r>
              <w:rPr>
                <w:sz w:val="21"/>
                <w:szCs w:val="21"/>
                <w:highlight w:val="none"/>
              </w:rPr>
              <w:t>费托合成</w:t>
            </w:r>
          </w:p>
          <w:p w14:paraId="7DDFD0F5">
            <w:pPr>
              <w:widowControl/>
              <w:snapToGrid w:val="0"/>
              <w:jc w:val="center"/>
              <w:rPr>
                <w:sz w:val="21"/>
                <w:szCs w:val="21"/>
                <w:highlight w:val="none"/>
              </w:rPr>
            </w:pPr>
            <w:r>
              <w:rPr>
                <w:sz w:val="21"/>
                <w:szCs w:val="21"/>
                <w:highlight w:val="none"/>
              </w:rPr>
              <w:t>单元</w:t>
            </w:r>
          </w:p>
        </w:tc>
        <w:tc>
          <w:tcPr>
            <w:tcW w:w="795" w:type="pct"/>
            <w:noWrap w:val="0"/>
            <w:vAlign w:val="center"/>
          </w:tcPr>
          <w:p w14:paraId="718ACACD">
            <w:pPr>
              <w:widowControl/>
              <w:snapToGrid w:val="0"/>
              <w:jc w:val="center"/>
              <w:rPr>
                <w:sz w:val="21"/>
                <w:szCs w:val="21"/>
                <w:highlight w:val="none"/>
              </w:rPr>
            </w:pPr>
            <w:r>
              <w:rPr>
                <w:sz w:val="21"/>
                <w:szCs w:val="21"/>
                <w:highlight w:val="none"/>
              </w:rPr>
              <w:t>合成水</w:t>
            </w:r>
          </w:p>
        </w:tc>
        <w:tc>
          <w:tcPr>
            <w:tcW w:w="628" w:type="pct"/>
            <w:noWrap w:val="0"/>
            <w:vAlign w:val="center"/>
          </w:tcPr>
          <w:p w14:paraId="7EA5C18F">
            <w:pPr>
              <w:widowControl/>
              <w:snapToGrid w:val="0"/>
              <w:jc w:val="center"/>
              <w:rPr>
                <w:sz w:val="21"/>
                <w:szCs w:val="21"/>
                <w:highlight w:val="none"/>
              </w:rPr>
            </w:pPr>
            <w:r>
              <w:rPr>
                <w:sz w:val="21"/>
                <w:szCs w:val="21"/>
                <w:highlight w:val="none"/>
              </w:rPr>
              <w:t>165.2</w:t>
            </w:r>
          </w:p>
        </w:tc>
        <w:tc>
          <w:tcPr>
            <w:tcW w:w="413" w:type="pct"/>
            <w:noWrap w:val="0"/>
            <w:vAlign w:val="center"/>
          </w:tcPr>
          <w:p w14:paraId="28369D11">
            <w:pPr>
              <w:widowControl/>
              <w:snapToGrid w:val="0"/>
              <w:jc w:val="center"/>
              <w:rPr>
                <w:sz w:val="21"/>
                <w:szCs w:val="21"/>
                <w:highlight w:val="none"/>
              </w:rPr>
            </w:pPr>
            <w:r>
              <w:rPr>
                <w:sz w:val="21"/>
                <w:szCs w:val="21"/>
                <w:highlight w:val="none"/>
              </w:rPr>
              <w:t>油</w:t>
            </w:r>
          </w:p>
        </w:tc>
        <w:tc>
          <w:tcPr>
            <w:tcW w:w="528" w:type="pct"/>
            <w:noWrap w:val="0"/>
            <w:vAlign w:val="center"/>
          </w:tcPr>
          <w:p w14:paraId="5CBACC33">
            <w:pPr>
              <w:widowControl/>
              <w:snapToGrid w:val="0"/>
              <w:jc w:val="center"/>
              <w:rPr>
                <w:sz w:val="21"/>
                <w:szCs w:val="21"/>
                <w:highlight w:val="none"/>
              </w:rPr>
            </w:pPr>
            <w:r>
              <w:rPr>
                <w:sz w:val="21"/>
                <w:szCs w:val="21"/>
                <w:highlight w:val="none"/>
              </w:rPr>
              <w:t>＜2000ppm</w:t>
            </w:r>
          </w:p>
        </w:tc>
        <w:tc>
          <w:tcPr>
            <w:tcW w:w="301" w:type="pct"/>
            <w:noWrap w:val="0"/>
            <w:vAlign w:val="center"/>
          </w:tcPr>
          <w:p w14:paraId="58CCBE17">
            <w:pPr>
              <w:widowControl/>
              <w:snapToGrid w:val="0"/>
              <w:jc w:val="center"/>
              <w:rPr>
                <w:sz w:val="21"/>
                <w:szCs w:val="21"/>
                <w:highlight w:val="none"/>
              </w:rPr>
            </w:pPr>
            <w:r>
              <w:rPr>
                <w:sz w:val="21"/>
                <w:szCs w:val="21"/>
                <w:highlight w:val="none"/>
              </w:rPr>
              <w:t>连续</w:t>
            </w:r>
          </w:p>
        </w:tc>
        <w:tc>
          <w:tcPr>
            <w:tcW w:w="1225" w:type="pct"/>
            <w:vMerge w:val="restart"/>
            <w:noWrap w:val="0"/>
            <w:vAlign w:val="center"/>
          </w:tcPr>
          <w:p w14:paraId="48FA6303">
            <w:pPr>
              <w:widowControl/>
              <w:snapToGrid w:val="0"/>
              <w:jc w:val="center"/>
              <w:rPr>
                <w:sz w:val="21"/>
                <w:szCs w:val="21"/>
                <w:highlight w:val="none"/>
              </w:rPr>
            </w:pPr>
            <w:r>
              <w:rPr>
                <w:sz w:val="21"/>
                <w:szCs w:val="21"/>
                <w:highlight w:val="none"/>
              </w:rPr>
              <w:t>去化学品加工装置合成水处理单元</w:t>
            </w:r>
          </w:p>
        </w:tc>
      </w:tr>
      <w:tr w14:paraId="60B8B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922EF3A">
            <w:pPr>
              <w:widowControl/>
              <w:snapToGrid w:val="0"/>
              <w:jc w:val="center"/>
              <w:rPr>
                <w:sz w:val="21"/>
                <w:szCs w:val="21"/>
                <w:highlight w:val="none"/>
              </w:rPr>
            </w:pPr>
          </w:p>
        </w:tc>
        <w:tc>
          <w:tcPr>
            <w:tcW w:w="712" w:type="pct"/>
            <w:vMerge w:val="continue"/>
            <w:noWrap w:val="0"/>
            <w:vAlign w:val="center"/>
          </w:tcPr>
          <w:p w14:paraId="5656DFFD">
            <w:pPr>
              <w:widowControl/>
              <w:snapToGrid w:val="0"/>
              <w:jc w:val="center"/>
              <w:rPr>
                <w:sz w:val="21"/>
                <w:szCs w:val="21"/>
                <w:highlight w:val="none"/>
              </w:rPr>
            </w:pPr>
          </w:p>
        </w:tc>
        <w:tc>
          <w:tcPr>
            <w:tcW w:w="795" w:type="pct"/>
            <w:noWrap w:val="0"/>
            <w:vAlign w:val="center"/>
          </w:tcPr>
          <w:p w14:paraId="35FDC621">
            <w:pPr>
              <w:widowControl/>
              <w:snapToGrid w:val="0"/>
              <w:jc w:val="center"/>
              <w:rPr>
                <w:sz w:val="21"/>
                <w:szCs w:val="21"/>
                <w:highlight w:val="none"/>
              </w:rPr>
            </w:pPr>
            <w:r>
              <w:rPr>
                <w:sz w:val="21"/>
                <w:szCs w:val="21"/>
                <w:highlight w:val="none"/>
              </w:rPr>
              <w:t>汽提凝液</w:t>
            </w:r>
          </w:p>
        </w:tc>
        <w:tc>
          <w:tcPr>
            <w:tcW w:w="628" w:type="pct"/>
            <w:noWrap w:val="0"/>
            <w:vAlign w:val="center"/>
          </w:tcPr>
          <w:p w14:paraId="4E378B93">
            <w:pPr>
              <w:widowControl/>
              <w:snapToGrid w:val="0"/>
              <w:jc w:val="center"/>
              <w:rPr>
                <w:sz w:val="21"/>
                <w:szCs w:val="21"/>
                <w:highlight w:val="none"/>
              </w:rPr>
            </w:pPr>
            <w:r>
              <w:rPr>
                <w:sz w:val="21"/>
                <w:szCs w:val="21"/>
                <w:highlight w:val="none"/>
              </w:rPr>
              <w:t>2.9</w:t>
            </w:r>
          </w:p>
        </w:tc>
        <w:tc>
          <w:tcPr>
            <w:tcW w:w="413" w:type="pct"/>
            <w:noWrap w:val="0"/>
            <w:vAlign w:val="center"/>
          </w:tcPr>
          <w:p w14:paraId="6534E7E8">
            <w:pPr>
              <w:widowControl/>
              <w:snapToGrid w:val="0"/>
              <w:jc w:val="center"/>
              <w:rPr>
                <w:sz w:val="21"/>
                <w:szCs w:val="21"/>
                <w:highlight w:val="none"/>
              </w:rPr>
            </w:pPr>
            <w:r>
              <w:rPr>
                <w:sz w:val="21"/>
                <w:szCs w:val="21"/>
                <w:highlight w:val="none"/>
              </w:rPr>
              <w:t>低碳烃</w:t>
            </w:r>
          </w:p>
          <w:p w14:paraId="25BB9472">
            <w:pPr>
              <w:widowControl/>
              <w:snapToGrid w:val="0"/>
              <w:jc w:val="center"/>
              <w:rPr>
                <w:sz w:val="21"/>
                <w:szCs w:val="21"/>
                <w:highlight w:val="none"/>
              </w:rPr>
            </w:pPr>
            <w:r>
              <w:rPr>
                <w:sz w:val="21"/>
                <w:szCs w:val="21"/>
                <w:highlight w:val="none"/>
              </w:rPr>
              <w:t>重质中间产品</w:t>
            </w:r>
          </w:p>
        </w:tc>
        <w:tc>
          <w:tcPr>
            <w:tcW w:w="528" w:type="pct"/>
            <w:noWrap w:val="0"/>
            <w:vAlign w:val="center"/>
          </w:tcPr>
          <w:p w14:paraId="589A0A3A">
            <w:pPr>
              <w:widowControl/>
              <w:snapToGrid w:val="0"/>
              <w:jc w:val="center"/>
              <w:rPr>
                <w:sz w:val="21"/>
                <w:szCs w:val="21"/>
                <w:highlight w:val="none"/>
              </w:rPr>
            </w:pPr>
            <w:r>
              <w:rPr>
                <w:sz w:val="21"/>
                <w:szCs w:val="21"/>
                <w:highlight w:val="none"/>
              </w:rPr>
              <w:t>0.1</w:t>
            </w:r>
            <w:r>
              <w:rPr>
                <w:sz w:val="21"/>
                <w:szCs w:val="21"/>
                <w:highlight w:val="none"/>
                <w:lang w:val="es-ES"/>
              </w:rPr>
              <w:t>mol%</w:t>
            </w:r>
          </w:p>
          <w:p w14:paraId="0D42BC53">
            <w:pPr>
              <w:widowControl/>
              <w:snapToGrid w:val="0"/>
              <w:jc w:val="center"/>
              <w:rPr>
                <w:sz w:val="21"/>
                <w:szCs w:val="21"/>
                <w:highlight w:val="none"/>
              </w:rPr>
            </w:pPr>
            <w:r>
              <w:rPr>
                <w:sz w:val="21"/>
                <w:szCs w:val="21"/>
                <w:highlight w:val="none"/>
              </w:rPr>
              <w:t>0.4</w:t>
            </w:r>
            <w:r>
              <w:rPr>
                <w:sz w:val="21"/>
                <w:szCs w:val="21"/>
                <w:highlight w:val="none"/>
                <w:lang w:val="es-ES"/>
              </w:rPr>
              <w:t>mol%</w:t>
            </w:r>
          </w:p>
        </w:tc>
        <w:tc>
          <w:tcPr>
            <w:tcW w:w="301" w:type="pct"/>
            <w:noWrap w:val="0"/>
            <w:vAlign w:val="center"/>
          </w:tcPr>
          <w:p w14:paraId="65A344AF">
            <w:pPr>
              <w:widowControl/>
              <w:snapToGrid w:val="0"/>
              <w:jc w:val="center"/>
              <w:rPr>
                <w:sz w:val="21"/>
                <w:szCs w:val="21"/>
                <w:highlight w:val="none"/>
              </w:rPr>
            </w:pPr>
            <w:r>
              <w:rPr>
                <w:sz w:val="21"/>
                <w:szCs w:val="21"/>
                <w:highlight w:val="none"/>
              </w:rPr>
              <w:t>连续</w:t>
            </w:r>
          </w:p>
        </w:tc>
        <w:tc>
          <w:tcPr>
            <w:tcW w:w="1225" w:type="pct"/>
            <w:vMerge w:val="continue"/>
            <w:noWrap w:val="0"/>
            <w:vAlign w:val="center"/>
          </w:tcPr>
          <w:p w14:paraId="4BE0DBC0">
            <w:pPr>
              <w:widowControl/>
              <w:snapToGrid w:val="0"/>
              <w:jc w:val="center"/>
              <w:rPr>
                <w:sz w:val="21"/>
                <w:szCs w:val="21"/>
                <w:highlight w:val="none"/>
              </w:rPr>
            </w:pPr>
          </w:p>
        </w:tc>
      </w:tr>
      <w:tr w14:paraId="5F86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66CDFCC">
            <w:pPr>
              <w:widowControl/>
              <w:snapToGrid w:val="0"/>
              <w:jc w:val="center"/>
              <w:rPr>
                <w:sz w:val="21"/>
                <w:szCs w:val="21"/>
                <w:highlight w:val="none"/>
              </w:rPr>
            </w:pPr>
          </w:p>
        </w:tc>
        <w:tc>
          <w:tcPr>
            <w:tcW w:w="1507" w:type="pct"/>
            <w:gridSpan w:val="2"/>
            <w:noWrap w:val="0"/>
            <w:vAlign w:val="center"/>
          </w:tcPr>
          <w:p w14:paraId="6390BDCA">
            <w:pPr>
              <w:widowControl/>
              <w:snapToGrid w:val="0"/>
              <w:jc w:val="center"/>
              <w:rPr>
                <w:sz w:val="21"/>
                <w:szCs w:val="21"/>
                <w:highlight w:val="none"/>
              </w:rPr>
            </w:pPr>
            <w:r>
              <w:rPr>
                <w:sz w:val="21"/>
                <w:szCs w:val="21"/>
                <w:highlight w:val="none"/>
              </w:rPr>
              <w:t>汽包排污</w:t>
            </w:r>
          </w:p>
        </w:tc>
        <w:tc>
          <w:tcPr>
            <w:tcW w:w="628" w:type="pct"/>
            <w:noWrap w:val="0"/>
            <w:vAlign w:val="center"/>
          </w:tcPr>
          <w:p w14:paraId="15A45027">
            <w:pPr>
              <w:widowControl/>
              <w:snapToGrid w:val="0"/>
              <w:jc w:val="center"/>
              <w:rPr>
                <w:sz w:val="21"/>
                <w:szCs w:val="21"/>
                <w:highlight w:val="none"/>
              </w:rPr>
            </w:pPr>
            <w:r>
              <w:rPr>
                <w:sz w:val="21"/>
                <w:szCs w:val="21"/>
                <w:highlight w:val="none"/>
              </w:rPr>
              <w:t>10</w:t>
            </w:r>
          </w:p>
        </w:tc>
        <w:tc>
          <w:tcPr>
            <w:tcW w:w="413" w:type="pct"/>
            <w:noWrap w:val="0"/>
            <w:vAlign w:val="center"/>
          </w:tcPr>
          <w:p w14:paraId="3CD04D29">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138AF0E9">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0A09E882">
            <w:pPr>
              <w:widowControl/>
              <w:snapToGrid w:val="0"/>
              <w:jc w:val="center"/>
              <w:rPr>
                <w:sz w:val="21"/>
                <w:szCs w:val="21"/>
                <w:highlight w:val="none"/>
              </w:rPr>
            </w:pPr>
            <w:r>
              <w:rPr>
                <w:sz w:val="21"/>
                <w:szCs w:val="21"/>
                <w:highlight w:val="none"/>
              </w:rPr>
              <w:t>TDS</w:t>
            </w:r>
          </w:p>
        </w:tc>
        <w:tc>
          <w:tcPr>
            <w:tcW w:w="528" w:type="pct"/>
            <w:noWrap w:val="0"/>
            <w:vAlign w:val="center"/>
          </w:tcPr>
          <w:p w14:paraId="48936110">
            <w:pPr>
              <w:widowControl/>
              <w:snapToGrid w:val="0"/>
              <w:jc w:val="center"/>
              <w:rPr>
                <w:sz w:val="21"/>
                <w:szCs w:val="21"/>
                <w:highlight w:val="none"/>
              </w:rPr>
            </w:pPr>
            <w:r>
              <w:rPr>
                <w:sz w:val="21"/>
                <w:szCs w:val="21"/>
                <w:highlight w:val="none"/>
              </w:rPr>
              <w:t>6.5</w:t>
            </w:r>
          </w:p>
          <w:p w14:paraId="5D1C04F0">
            <w:pPr>
              <w:widowControl/>
              <w:snapToGrid w:val="0"/>
              <w:jc w:val="center"/>
              <w:rPr>
                <w:sz w:val="21"/>
                <w:szCs w:val="21"/>
                <w:highlight w:val="none"/>
              </w:rPr>
            </w:pPr>
            <w:r>
              <w:rPr>
                <w:sz w:val="21"/>
                <w:szCs w:val="21"/>
                <w:highlight w:val="none"/>
              </w:rPr>
              <w:t>10</w:t>
            </w:r>
          </w:p>
          <w:p w14:paraId="04E67E5D">
            <w:pPr>
              <w:widowControl/>
              <w:snapToGrid w:val="0"/>
              <w:jc w:val="center"/>
              <w:rPr>
                <w:sz w:val="21"/>
                <w:szCs w:val="21"/>
                <w:highlight w:val="none"/>
              </w:rPr>
            </w:pPr>
            <w:r>
              <w:rPr>
                <w:sz w:val="21"/>
                <w:szCs w:val="21"/>
                <w:highlight w:val="none"/>
              </w:rPr>
              <w:t>17</w:t>
            </w:r>
          </w:p>
        </w:tc>
        <w:tc>
          <w:tcPr>
            <w:tcW w:w="301" w:type="pct"/>
            <w:noWrap w:val="0"/>
            <w:vAlign w:val="center"/>
          </w:tcPr>
          <w:p w14:paraId="5D389984">
            <w:pPr>
              <w:widowControl/>
              <w:snapToGrid w:val="0"/>
              <w:jc w:val="center"/>
              <w:rPr>
                <w:sz w:val="21"/>
                <w:szCs w:val="21"/>
                <w:highlight w:val="none"/>
              </w:rPr>
            </w:pPr>
            <w:r>
              <w:rPr>
                <w:sz w:val="21"/>
                <w:szCs w:val="21"/>
                <w:highlight w:val="none"/>
              </w:rPr>
              <w:t>连续</w:t>
            </w:r>
          </w:p>
        </w:tc>
        <w:tc>
          <w:tcPr>
            <w:tcW w:w="1225" w:type="pct"/>
            <w:noWrap w:val="0"/>
            <w:vAlign w:val="center"/>
          </w:tcPr>
          <w:p w14:paraId="63A07F52">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13DF2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4E100277">
            <w:pPr>
              <w:widowControl/>
              <w:snapToGrid w:val="0"/>
              <w:jc w:val="center"/>
              <w:rPr>
                <w:sz w:val="21"/>
                <w:szCs w:val="21"/>
                <w:highlight w:val="none"/>
              </w:rPr>
            </w:pPr>
            <w:r>
              <w:rPr>
                <w:sz w:val="21"/>
                <w:szCs w:val="21"/>
                <w:highlight w:val="none"/>
              </w:rPr>
              <w:t>化学品加工装置</w:t>
            </w:r>
          </w:p>
        </w:tc>
        <w:tc>
          <w:tcPr>
            <w:tcW w:w="712" w:type="pct"/>
            <w:vMerge w:val="restart"/>
            <w:noWrap w:val="0"/>
            <w:vAlign w:val="center"/>
          </w:tcPr>
          <w:p w14:paraId="729F4771">
            <w:pPr>
              <w:widowControl/>
              <w:snapToGrid w:val="0"/>
              <w:jc w:val="center"/>
              <w:rPr>
                <w:sz w:val="21"/>
                <w:szCs w:val="21"/>
                <w:highlight w:val="none"/>
              </w:rPr>
            </w:pPr>
            <w:r>
              <w:rPr>
                <w:sz w:val="21"/>
                <w:szCs w:val="21"/>
                <w:highlight w:val="none"/>
              </w:rPr>
              <w:t>加氢精制单元</w:t>
            </w:r>
          </w:p>
        </w:tc>
        <w:tc>
          <w:tcPr>
            <w:tcW w:w="795" w:type="pct"/>
            <w:noWrap w:val="0"/>
            <w:vAlign w:val="center"/>
          </w:tcPr>
          <w:p w14:paraId="21E23AEE">
            <w:pPr>
              <w:widowControl/>
              <w:snapToGrid w:val="0"/>
              <w:jc w:val="center"/>
              <w:rPr>
                <w:sz w:val="21"/>
                <w:szCs w:val="21"/>
                <w:highlight w:val="none"/>
              </w:rPr>
            </w:pPr>
            <w:r>
              <w:rPr>
                <w:sz w:val="21"/>
                <w:szCs w:val="21"/>
                <w:highlight w:val="none"/>
              </w:rPr>
              <w:t>冷低压分离器排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18121ED4">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：1.3</w:t>
            </w:r>
          </w:p>
          <w:p w14:paraId="38842CD9">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：1.7</w:t>
            </w:r>
          </w:p>
        </w:tc>
        <w:tc>
          <w:tcPr>
            <w:tcW w:w="413" w:type="pct"/>
            <w:noWrap w:val="0"/>
            <w:vAlign w:val="center"/>
          </w:tcPr>
          <w:p w14:paraId="1EDC9D56">
            <w:pPr>
              <w:widowControl/>
              <w:snapToGrid w:val="0"/>
              <w:jc w:val="center"/>
              <w:rPr>
                <w:sz w:val="21"/>
                <w:szCs w:val="21"/>
                <w:highlight w:val="none"/>
              </w:rPr>
            </w:pPr>
            <w:r>
              <w:rPr>
                <w:sz w:val="21"/>
                <w:szCs w:val="21"/>
                <w:highlight w:val="none"/>
              </w:rPr>
              <w:t>PH</w:t>
            </w:r>
          </w:p>
          <w:p w14:paraId="504D5B9D">
            <w:pPr>
              <w:widowControl/>
              <w:snapToGrid w:val="0"/>
              <w:jc w:val="center"/>
              <w:rPr>
                <w:sz w:val="21"/>
                <w:szCs w:val="21"/>
                <w:highlight w:val="none"/>
              </w:rPr>
            </w:pPr>
            <w:r>
              <w:rPr>
                <w:sz w:val="21"/>
                <w:szCs w:val="21"/>
                <w:highlight w:val="none"/>
              </w:rPr>
              <w:t>COD</w:t>
            </w:r>
          </w:p>
          <w:p w14:paraId="70478827">
            <w:pPr>
              <w:widowControl/>
              <w:snapToGrid w:val="0"/>
              <w:jc w:val="center"/>
              <w:rPr>
                <w:sz w:val="21"/>
                <w:szCs w:val="21"/>
                <w:highlight w:val="none"/>
              </w:rPr>
            </w:pPr>
            <w:r>
              <w:rPr>
                <w:sz w:val="21"/>
                <w:szCs w:val="21"/>
                <w:highlight w:val="none"/>
              </w:rPr>
              <w:t>油</w:t>
            </w:r>
          </w:p>
          <w:p w14:paraId="2E23BE1A">
            <w:pPr>
              <w:widowControl/>
              <w:snapToGrid w:val="0"/>
              <w:jc w:val="center"/>
              <w:rPr>
                <w:sz w:val="21"/>
                <w:szCs w:val="21"/>
                <w:highlight w:val="none"/>
              </w:rPr>
            </w:pPr>
            <w:r>
              <w:rPr>
                <w:sz w:val="21"/>
                <w:szCs w:val="21"/>
                <w:highlight w:val="none"/>
              </w:rPr>
              <w:t>硫化物</w:t>
            </w:r>
          </w:p>
        </w:tc>
        <w:tc>
          <w:tcPr>
            <w:tcW w:w="528" w:type="pct"/>
            <w:noWrap w:val="0"/>
            <w:vAlign w:val="center"/>
          </w:tcPr>
          <w:p w14:paraId="07F2D5E4">
            <w:pPr>
              <w:widowControl/>
              <w:snapToGrid w:val="0"/>
              <w:jc w:val="center"/>
              <w:rPr>
                <w:sz w:val="21"/>
                <w:szCs w:val="21"/>
                <w:highlight w:val="none"/>
              </w:rPr>
            </w:pPr>
            <w:r>
              <w:rPr>
                <w:sz w:val="21"/>
                <w:szCs w:val="21"/>
                <w:highlight w:val="none"/>
              </w:rPr>
              <w:t>6~8</w:t>
            </w:r>
          </w:p>
          <w:p w14:paraId="678FE423">
            <w:pPr>
              <w:widowControl/>
              <w:snapToGrid w:val="0"/>
              <w:jc w:val="center"/>
              <w:rPr>
                <w:sz w:val="21"/>
                <w:szCs w:val="21"/>
                <w:highlight w:val="none"/>
              </w:rPr>
            </w:pPr>
            <w:r>
              <w:rPr>
                <w:sz w:val="21"/>
                <w:szCs w:val="21"/>
                <w:highlight w:val="none"/>
              </w:rPr>
              <w:t>&lt;700</w:t>
            </w:r>
          </w:p>
          <w:p w14:paraId="2E12068D">
            <w:pPr>
              <w:widowControl/>
              <w:snapToGrid w:val="0"/>
              <w:jc w:val="center"/>
              <w:rPr>
                <w:sz w:val="21"/>
                <w:szCs w:val="21"/>
                <w:highlight w:val="none"/>
              </w:rPr>
            </w:pPr>
            <w:r>
              <w:rPr>
                <w:sz w:val="21"/>
                <w:szCs w:val="21"/>
                <w:highlight w:val="none"/>
              </w:rPr>
              <w:t>50</w:t>
            </w:r>
          </w:p>
          <w:p w14:paraId="416C38B4">
            <w:pPr>
              <w:widowControl/>
              <w:snapToGrid w:val="0"/>
              <w:jc w:val="center"/>
              <w:rPr>
                <w:sz w:val="21"/>
                <w:szCs w:val="21"/>
                <w:highlight w:val="none"/>
              </w:rPr>
            </w:pPr>
            <w:r>
              <w:rPr>
                <w:sz w:val="21"/>
                <w:szCs w:val="21"/>
                <w:highlight w:val="none"/>
              </w:rPr>
              <w:t>100</w:t>
            </w:r>
          </w:p>
        </w:tc>
        <w:tc>
          <w:tcPr>
            <w:tcW w:w="301" w:type="pct"/>
            <w:noWrap w:val="0"/>
            <w:vAlign w:val="center"/>
          </w:tcPr>
          <w:p w14:paraId="127C34F9">
            <w:pPr>
              <w:widowControl/>
              <w:snapToGrid w:val="0"/>
              <w:jc w:val="center"/>
              <w:rPr>
                <w:sz w:val="21"/>
                <w:szCs w:val="21"/>
                <w:highlight w:val="none"/>
              </w:rPr>
            </w:pPr>
            <w:r>
              <w:rPr>
                <w:sz w:val="21"/>
                <w:szCs w:val="21"/>
                <w:highlight w:val="none"/>
              </w:rPr>
              <w:t>连续</w:t>
            </w:r>
          </w:p>
        </w:tc>
        <w:tc>
          <w:tcPr>
            <w:tcW w:w="1225" w:type="pct"/>
            <w:vMerge w:val="restart"/>
            <w:noWrap w:val="0"/>
            <w:vAlign w:val="center"/>
          </w:tcPr>
          <w:p w14:paraId="33AA5F7B">
            <w:pPr>
              <w:widowControl/>
              <w:snapToGrid w:val="0"/>
              <w:jc w:val="center"/>
              <w:rPr>
                <w:sz w:val="21"/>
                <w:szCs w:val="21"/>
                <w:highlight w:val="none"/>
              </w:rPr>
            </w:pPr>
            <w:r>
              <w:rPr>
                <w:sz w:val="21"/>
                <w:szCs w:val="21"/>
                <w:highlight w:val="none"/>
              </w:rPr>
              <w:t>送净化装置酸性水汽提单元</w:t>
            </w:r>
          </w:p>
        </w:tc>
      </w:tr>
      <w:tr w14:paraId="2D82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9F0F2B2">
            <w:pPr>
              <w:widowControl/>
              <w:snapToGrid w:val="0"/>
              <w:jc w:val="center"/>
              <w:rPr>
                <w:sz w:val="21"/>
                <w:szCs w:val="21"/>
                <w:highlight w:val="none"/>
              </w:rPr>
            </w:pPr>
          </w:p>
        </w:tc>
        <w:tc>
          <w:tcPr>
            <w:tcW w:w="712" w:type="pct"/>
            <w:vMerge w:val="continue"/>
            <w:noWrap w:val="0"/>
            <w:vAlign w:val="center"/>
          </w:tcPr>
          <w:p w14:paraId="31F4A8C8">
            <w:pPr>
              <w:widowControl/>
              <w:snapToGrid w:val="0"/>
              <w:jc w:val="center"/>
              <w:rPr>
                <w:sz w:val="21"/>
                <w:szCs w:val="21"/>
                <w:highlight w:val="none"/>
              </w:rPr>
            </w:pPr>
          </w:p>
        </w:tc>
        <w:tc>
          <w:tcPr>
            <w:tcW w:w="795" w:type="pct"/>
            <w:noWrap w:val="0"/>
            <w:vAlign w:val="center"/>
          </w:tcPr>
          <w:p w14:paraId="3147E374">
            <w:pPr>
              <w:widowControl/>
              <w:snapToGrid w:val="0"/>
              <w:jc w:val="center"/>
              <w:rPr>
                <w:sz w:val="21"/>
                <w:szCs w:val="21"/>
                <w:highlight w:val="none"/>
              </w:rPr>
            </w:pPr>
            <w:r>
              <w:rPr>
                <w:sz w:val="21"/>
                <w:szCs w:val="21"/>
                <w:highlight w:val="none"/>
              </w:rPr>
              <w:t>精制分馏塔顶回流罐排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341FB661">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：2.0</w:t>
            </w:r>
          </w:p>
          <w:p w14:paraId="6757798F">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：2.6</w:t>
            </w:r>
          </w:p>
        </w:tc>
        <w:tc>
          <w:tcPr>
            <w:tcW w:w="413" w:type="pct"/>
            <w:noWrap w:val="0"/>
            <w:vAlign w:val="center"/>
          </w:tcPr>
          <w:p w14:paraId="5CA6DAC6">
            <w:pPr>
              <w:widowControl/>
              <w:snapToGrid w:val="0"/>
              <w:jc w:val="center"/>
              <w:rPr>
                <w:sz w:val="21"/>
                <w:szCs w:val="21"/>
                <w:highlight w:val="none"/>
              </w:rPr>
            </w:pPr>
            <w:r>
              <w:rPr>
                <w:sz w:val="21"/>
                <w:szCs w:val="21"/>
                <w:highlight w:val="none"/>
              </w:rPr>
              <w:t>PH</w:t>
            </w:r>
          </w:p>
          <w:p w14:paraId="16A3338B">
            <w:pPr>
              <w:widowControl/>
              <w:snapToGrid w:val="0"/>
              <w:jc w:val="center"/>
              <w:rPr>
                <w:sz w:val="21"/>
                <w:szCs w:val="21"/>
                <w:highlight w:val="none"/>
              </w:rPr>
            </w:pPr>
            <w:r>
              <w:rPr>
                <w:sz w:val="21"/>
                <w:szCs w:val="21"/>
                <w:highlight w:val="none"/>
              </w:rPr>
              <w:t>COD</w:t>
            </w:r>
          </w:p>
          <w:p w14:paraId="421BD2FC">
            <w:pPr>
              <w:widowControl/>
              <w:snapToGrid w:val="0"/>
              <w:jc w:val="center"/>
              <w:rPr>
                <w:sz w:val="21"/>
                <w:szCs w:val="21"/>
                <w:highlight w:val="none"/>
              </w:rPr>
            </w:pPr>
            <w:r>
              <w:rPr>
                <w:sz w:val="21"/>
                <w:szCs w:val="21"/>
                <w:highlight w:val="none"/>
              </w:rPr>
              <w:t>油</w:t>
            </w:r>
          </w:p>
          <w:p w14:paraId="1E5C0245">
            <w:pPr>
              <w:widowControl/>
              <w:snapToGrid w:val="0"/>
              <w:jc w:val="center"/>
              <w:rPr>
                <w:sz w:val="21"/>
                <w:szCs w:val="21"/>
                <w:highlight w:val="none"/>
              </w:rPr>
            </w:pPr>
            <w:r>
              <w:rPr>
                <w:sz w:val="21"/>
                <w:szCs w:val="21"/>
                <w:highlight w:val="none"/>
              </w:rPr>
              <w:t>硫化物</w:t>
            </w:r>
          </w:p>
        </w:tc>
        <w:tc>
          <w:tcPr>
            <w:tcW w:w="528" w:type="pct"/>
            <w:noWrap w:val="0"/>
            <w:vAlign w:val="center"/>
          </w:tcPr>
          <w:p w14:paraId="0706F7D9">
            <w:pPr>
              <w:widowControl/>
              <w:snapToGrid w:val="0"/>
              <w:jc w:val="center"/>
              <w:rPr>
                <w:sz w:val="21"/>
                <w:szCs w:val="21"/>
                <w:highlight w:val="none"/>
              </w:rPr>
            </w:pPr>
            <w:r>
              <w:rPr>
                <w:sz w:val="21"/>
                <w:szCs w:val="21"/>
                <w:highlight w:val="none"/>
              </w:rPr>
              <w:t>6~8</w:t>
            </w:r>
          </w:p>
          <w:p w14:paraId="60273FA0">
            <w:pPr>
              <w:widowControl/>
              <w:snapToGrid w:val="0"/>
              <w:jc w:val="center"/>
              <w:rPr>
                <w:sz w:val="21"/>
                <w:szCs w:val="21"/>
                <w:highlight w:val="none"/>
              </w:rPr>
            </w:pPr>
            <w:r>
              <w:rPr>
                <w:sz w:val="21"/>
                <w:szCs w:val="21"/>
                <w:highlight w:val="none"/>
              </w:rPr>
              <w:t>&lt;700</w:t>
            </w:r>
          </w:p>
          <w:p w14:paraId="67CEB518">
            <w:pPr>
              <w:widowControl/>
              <w:snapToGrid w:val="0"/>
              <w:jc w:val="center"/>
              <w:rPr>
                <w:sz w:val="21"/>
                <w:szCs w:val="21"/>
                <w:highlight w:val="none"/>
              </w:rPr>
            </w:pPr>
            <w:r>
              <w:rPr>
                <w:sz w:val="21"/>
                <w:szCs w:val="21"/>
                <w:highlight w:val="none"/>
              </w:rPr>
              <w:t>50</w:t>
            </w:r>
          </w:p>
          <w:p w14:paraId="7A7FFA11">
            <w:pPr>
              <w:widowControl/>
              <w:snapToGrid w:val="0"/>
              <w:jc w:val="center"/>
              <w:rPr>
                <w:sz w:val="21"/>
                <w:szCs w:val="21"/>
                <w:highlight w:val="none"/>
              </w:rPr>
            </w:pPr>
            <w:r>
              <w:rPr>
                <w:sz w:val="21"/>
                <w:szCs w:val="21"/>
                <w:highlight w:val="none"/>
              </w:rPr>
              <w:t>100</w:t>
            </w:r>
          </w:p>
        </w:tc>
        <w:tc>
          <w:tcPr>
            <w:tcW w:w="301" w:type="pct"/>
            <w:noWrap w:val="0"/>
            <w:vAlign w:val="center"/>
          </w:tcPr>
          <w:p w14:paraId="218FF709">
            <w:pPr>
              <w:widowControl/>
              <w:snapToGrid w:val="0"/>
              <w:jc w:val="center"/>
              <w:rPr>
                <w:sz w:val="21"/>
                <w:szCs w:val="21"/>
                <w:highlight w:val="none"/>
              </w:rPr>
            </w:pPr>
            <w:r>
              <w:rPr>
                <w:sz w:val="21"/>
                <w:szCs w:val="21"/>
                <w:highlight w:val="none"/>
              </w:rPr>
              <w:t>连续</w:t>
            </w:r>
          </w:p>
        </w:tc>
        <w:tc>
          <w:tcPr>
            <w:tcW w:w="1225" w:type="pct"/>
            <w:vMerge w:val="continue"/>
            <w:noWrap w:val="0"/>
            <w:vAlign w:val="center"/>
          </w:tcPr>
          <w:p w14:paraId="4179FEB6">
            <w:pPr>
              <w:widowControl/>
              <w:snapToGrid w:val="0"/>
              <w:jc w:val="center"/>
              <w:rPr>
                <w:sz w:val="21"/>
                <w:szCs w:val="21"/>
                <w:highlight w:val="none"/>
              </w:rPr>
            </w:pPr>
          </w:p>
        </w:tc>
      </w:tr>
      <w:tr w14:paraId="536FF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12BB48A">
            <w:pPr>
              <w:widowControl/>
              <w:snapToGrid w:val="0"/>
              <w:jc w:val="center"/>
              <w:rPr>
                <w:sz w:val="21"/>
                <w:szCs w:val="21"/>
                <w:highlight w:val="none"/>
              </w:rPr>
            </w:pPr>
          </w:p>
        </w:tc>
        <w:tc>
          <w:tcPr>
            <w:tcW w:w="712" w:type="pct"/>
            <w:vMerge w:val="continue"/>
            <w:noWrap w:val="0"/>
            <w:vAlign w:val="center"/>
          </w:tcPr>
          <w:p w14:paraId="5E14FD3A">
            <w:pPr>
              <w:widowControl/>
              <w:snapToGrid w:val="0"/>
              <w:jc w:val="center"/>
              <w:rPr>
                <w:sz w:val="21"/>
                <w:szCs w:val="21"/>
                <w:highlight w:val="none"/>
              </w:rPr>
            </w:pPr>
          </w:p>
        </w:tc>
        <w:tc>
          <w:tcPr>
            <w:tcW w:w="795" w:type="pct"/>
            <w:noWrap w:val="0"/>
            <w:vAlign w:val="center"/>
          </w:tcPr>
          <w:p w14:paraId="484A644F">
            <w:pPr>
              <w:widowControl/>
              <w:snapToGrid w:val="0"/>
              <w:jc w:val="center"/>
              <w:rPr>
                <w:sz w:val="21"/>
                <w:szCs w:val="21"/>
                <w:highlight w:val="none"/>
              </w:rPr>
            </w:pPr>
            <w:r>
              <w:rPr>
                <w:sz w:val="21"/>
                <w:szCs w:val="21"/>
                <w:highlight w:val="none"/>
              </w:rPr>
              <w:t>精制减压塔顶分水罐排</w:t>
            </w:r>
            <w:r>
              <w:rPr>
                <w:rFonts w:hint="eastAsia"/>
                <w:sz w:val="21"/>
                <w:szCs w:val="21"/>
                <w:highlight w:val="none"/>
                <w:lang w:eastAsia="zh-CN"/>
              </w:rPr>
              <w:t>放</w:t>
            </w:r>
            <w:r>
              <w:rPr>
                <w:sz w:val="21"/>
                <w:szCs w:val="21"/>
                <w:highlight w:val="none"/>
              </w:rPr>
              <w:t>含油污水</w:t>
            </w:r>
          </w:p>
        </w:tc>
        <w:tc>
          <w:tcPr>
            <w:tcW w:w="628" w:type="pct"/>
            <w:noWrap w:val="0"/>
            <w:vAlign w:val="center"/>
          </w:tcPr>
          <w:p w14:paraId="6DFB63AF">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：1.6</w:t>
            </w:r>
          </w:p>
          <w:p w14:paraId="0EF3E417">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：6.6</w:t>
            </w:r>
          </w:p>
        </w:tc>
        <w:tc>
          <w:tcPr>
            <w:tcW w:w="413" w:type="pct"/>
            <w:noWrap w:val="0"/>
            <w:vAlign w:val="center"/>
          </w:tcPr>
          <w:p w14:paraId="0CADC7EA">
            <w:pPr>
              <w:widowControl/>
              <w:snapToGrid w:val="0"/>
              <w:jc w:val="center"/>
              <w:rPr>
                <w:sz w:val="21"/>
                <w:szCs w:val="21"/>
                <w:highlight w:val="none"/>
              </w:rPr>
            </w:pPr>
            <w:r>
              <w:rPr>
                <w:sz w:val="21"/>
                <w:szCs w:val="21"/>
                <w:highlight w:val="none"/>
              </w:rPr>
              <w:t>PH</w:t>
            </w:r>
          </w:p>
          <w:p w14:paraId="72B85864">
            <w:pPr>
              <w:widowControl/>
              <w:snapToGrid w:val="0"/>
              <w:jc w:val="center"/>
              <w:rPr>
                <w:sz w:val="21"/>
                <w:szCs w:val="21"/>
                <w:highlight w:val="none"/>
              </w:rPr>
            </w:pPr>
            <w:r>
              <w:rPr>
                <w:sz w:val="21"/>
                <w:szCs w:val="21"/>
                <w:highlight w:val="none"/>
              </w:rPr>
              <w:t>COD</w:t>
            </w:r>
          </w:p>
          <w:p w14:paraId="3EEAB7E4">
            <w:pPr>
              <w:widowControl/>
              <w:snapToGrid w:val="0"/>
              <w:jc w:val="center"/>
              <w:rPr>
                <w:sz w:val="21"/>
                <w:szCs w:val="21"/>
                <w:highlight w:val="none"/>
              </w:rPr>
            </w:pPr>
            <w:r>
              <w:rPr>
                <w:sz w:val="21"/>
                <w:szCs w:val="21"/>
                <w:highlight w:val="none"/>
              </w:rPr>
              <w:t>油</w:t>
            </w:r>
          </w:p>
        </w:tc>
        <w:tc>
          <w:tcPr>
            <w:tcW w:w="528" w:type="pct"/>
            <w:noWrap w:val="0"/>
            <w:vAlign w:val="center"/>
          </w:tcPr>
          <w:p w14:paraId="0CAE6934">
            <w:pPr>
              <w:widowControl/>
              <w:snapToGrid w:val="0"/>
              <w:jc w:val="center"/>
              <w:rPr>
                <w:sz w:val="21"/>
                <w:szCs w:val="21"/>
                <w:highlight w:val="none"/>
              </w:rPr>
            </w:pPr>
            <w:r>
              <w:rPr>
                <w:sz w:val="21"/>
                <w:szCs w:val="21"/>
                <w:highlight w:val="none"/>
              </w:rPr>
              <w:t>6~8</w:t>
            </w:r>
          </w:p>
          <w:p w14:paraId="70B4A494">
            <w:pPr>
              <w:widowControl/>
              <w:snapToGrid w:val="0"/>
              <w:jc w:val="center"/>
              <w:rPr>
                <w:sz w:val="21"/>
                <w:szCs w:val="21"/>
                <w:highlight w:val="none"/>
              </w:rPr>
            </w:pPr>
            <w:r>
              <w:rPr>
                <w:sz w:val="21"/>
                <w:szCs w:val="21"/>
                <w:highlight w:val="none"/>
              </w:rPr>
              <w:t>&lt;700</w:t>
            </w:r>
          </w:p>
          <w:p w14:paraId="40DCA6F8">
            <w:pPr>
              <w:widowControl/>
              <w:snapToGrid w:val="0"/>
              <w:jc w:val="center"/>
              <w:rPr>
                <w:sz w:val="21"/>
                <w:szCs w:val="21"/>
                <w:highlight w:val="none"/>
              </w:rPr>
            </w:pPr>
            <w:r>
              <w:rPr>
                <w:sz w:val="21"/>
                <w:szCs w:val="21"/>
                <w:highlight w:val="none"/>
              </w:rPr>
              <w:t>1000</w:t>
            </w:r>
          </w:p>
        </w:tc>
        <w:tc>
          <w:tcPr>
            <w:tcW w:w="301" w:type="pct"/>
            <w:noWrap w:val="0"/>
            <w:vAlign w:val="center"/>
          </w:tcPr>
          <w:p w14:paraId="1A410B68">
            <w:pPr>
              <w:widowControl/>
              <w:snapToGrid w:val="0"/>
              <w:jc w:val="center"/>
              <w:rPr>
                <w:sz w:val="21"/>
                <w:szCs w:val="21"/>
                <w:highlight w:val="none"/>
              </w:rPr>
            </w:pPr>
            <w:r>
              <w:rPr>
                <w:sz w:val="21"/>
                <w:szCs w:val="21"/>
                <w:highlight w:val="none"/>
              </w:rPr>
              <w:t>连续</w:t>
            </w:r>
          </w:p>
        </w:tc>
        <w:tc>
          <w:tcPr>
            <w:tcW w:w="1225" w:type="pct"/>
            <w:noWrap w:val="0"/>
            <w:vAlign w:val="center"/>
          </w:tcPr>
          <w:p w14:paraId="32A97F60">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3AF2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0A74F22">
            <w:pPr>
              <w:widowControl/>
              <w:snapToGrid w:val="0"/>
              <w:jc w:val="center"/>
              <w:rPr>
                <w:sz w:val="21"/>
                <w:szCs w:val="21"/>
                <w:highlight w:val="none"/>
              </w:rPr>
            </w:pPr>
          </w:p>
        </w:tc>
        <w:tc>
          <w:tcPr>
            <w:tcW w:w="712" w:type="pct"/>
            <w:vMerge w:val="restart"/>
            <w:noWrap w:val="0"/>
            <w:vAlign w:val="center"/>
          </w:tcPr>
          <w:p w14:paraId="79C9CDA8">
            <w:pPr>
              <w:widowControl/>
              <w:snapToGrid w:val="0"/>
              <w:jc w:val="center"/>
              <w:rPr>
                <w:sz w:val="21"/>
                <w:szCs w:val="21"/>
                <w:highlight w:val="none"/>
              </w:rPr>
            </w:pPr>
            <w:r>
              <w:rPr>
                <w:sz w:val="21"/>
                <w:szCs w:val="21"/>
                <w:highlight w:val="none"/>
              </w:rPr>
              <w:t>加氢裂化单元</w:t>
            </w:r>
          </w:p>
        </w:tc>
        <w:tc>
          <w:tcPr>
            <w:tcW w:w="795" w:type="pct"/>
            <w:noWrap w:val="0"/>
            <w:vAlign w:val="center"/>
          </w:tcPr>
          <w:p w14:paraId="0672F7D7">
            <w:pPr>
              <w:widowControl/>
              <w:snapToGrid w:val="0"/>
              <w:jc w:val="center"/>
              <w:rPr>
                <w:sz w:val="21"/>
                <w:szCs w:val="21"/>
                <w:highlight w:val="none"/>
              </w:rPr>
            </w:pPr>
            <w:r>
              <w:rPr>
                <w:sz w:val="21"/>
                <w:szCs w:val="21"/>
                <w:highlight w:val="none"/>
              </w:rPr>
              <w:t>分馏塔顶罐排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358C9312">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：3.38</w:t>
            </w:r>
          </w:p>
          <w:p w14:paraId="4849AD7E">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：5.23</w:t>
            </w:r>
          </w:p>
        </w:tc>
        <w:tc>
          <w:tcPr>
            <w:tcW w:w="413" w:type="pct"/>
            <w:noWrap w:val="0"/>
            <w:vAlign w:val="center"/>
          </w:tcPr>
          <w:p w14:paraId="3ECE0DB9">
            <w:pPr>
              <w:widowControl/>
              <w:snapToGrid w:val="0"/>
              <w:jc w:val="center"/>
              <w:rPr>
                <w:sz w:val="21"/>
                <w:szCs w:val="21"/>
                <w:highlight w:val="none"/>
              </w:rPr>
            </w:pPr>
            <w:r>
              <w:rPr>
                <w:sz w:val="21"/>
                <w:szCs w:val="21"/>
                <w:highlight w:val="none"/>
              </w:rPr>
              <w:t>PH</w:t>
            </w:r>
          </w:p>
          <w:p w14:paraId="20BD30EE">
            <w:pPr>
              <w:widowControl/>
              <w:snapToGrid w:val="0"/>
              <w:jc w:val="center"/>
              <w:rPr>
                <w:sz w:val="21"/>
                <w:szCs w:val="21"/>
                <w:highlight w:val="none"/>
              </w:rPr>
            </w:pPr>
            <w:r>
              <w:rPr>
                <w:sz w:val="21"/>
                <w:szCs w:val="21"/>
                <w:highlight w:val="none"/>
              </w:rPr>
              <w:t>COD</w:t>
            </w:r>
          </w:p>
          <w:p w14:paraId="65C8FB32">
            <w:pPr>
              <w:widowControl/>
              <w:snapToGrid w:val="0"/>
              <w:jc w:val="center"/>
              <w:rPr>
                <w:sz w:val="21"/>
                <w:szCs w:val="21"/>
                <w:highlight w:val="none"/>
              </w:rPr>
            </w:pPr>
            <w:r>
              <w:rPr>
                <w:sz w:val="21"/>
                <w:szCs w:val="21"/>
                <w:highlight w:val="none"/>
              </w:rPr>
              <w:t>油</w:t>
            </w:r>
          </w:p>
          <w:p w14:paraId="5A586E7C">
            <w:pPr>
              <w:widowControl/>
              <w:snapToGrid w:val="0"/>
              <w:jc w:val="center"/>
              <w:rPr>
                <w:sz w:val="21"/>
                <w:szCs w:val="21"/>
                <w:highlight w:val="none"/>
              </w:rPr>
            </w:pPr>
            <w:r>
              <w:rPr>
                <w:sz w:val="21"/>
                <w:szCs w:val="21"/>
                <w:highlight w:val="none"/>
              </w:rPr>
              <w:t>硫化物</w:t>
            </w:r>
          </w:p>
        </w:tc>
        <w:tc>
          <w:tcPr>
            <w:tcW w:w="528" w:type="pct"/>
            <w:noWrap w:val="0"/>
            <w:vAlign w:val="center"/>
          </w:tcPr>
          <w:p w14:paraId="62990FE3">
            <w:pPr>
              <w:widowControl/>
              <w:snapToGrid w:val="0"/>
              <w:jc w:val="center"/>
              <w:rPr>
                <w:sz w:val="21"/>
                <w:szCs w:val="21"/>
                <w:highlight w:val="none"/>
              </w:rPr>
            </w:pPr>
            <w:r>
              <w:rPr>
                <w:sz w:val="21"/>
                <w:szCs w:val="21"/>
                <w:highlight w:val="none"/>
              </w:rPr>
              <w:t>6~8</w:t>
            </w:r>
          </w:p>
          <w:p w14:paraId="4C5D359D">
            <w:pPr>
              <w:widowControl/>
              <w:snapToGrid w:val="0"/>
              <w:jc w:val="center"/>
              <w:rPr>
                <w:sz w:val="21"/>
                <w:szCs w:val="21"/>
                <w:highlight w:val="none"/>
              </w:rPr>
            </w:pPr>
            <w:r>
              <w:rPr>
                <w:sz w:val="21"/>
                <w:szCs w:val="21"/>
                <w:highlight w:val="none"/>
              </w:rPr>
              <w:t>700</w:t>
            </w:r>
          </w:p>
          <w:p w14:paraId="2371AAE4">
            <w:pPr>
              <w:widowControl/>
              <w:snapToGrid w:val="0"/>
              <w:jc w:val="center"/>
              <w:rPr>
                <w:sz w:val="21"/>
                <w:szCs w:val="21"/>
                <w:highlight w:val="none"/>
              </w:rPr>
            </w:pPr>
            <w:r>
              <w:rPr>
                <w:sz w:val="21"/>
                <w:szCs w:val="21"/>
                <w:highlight w:val="none"/>
              </w:rPr>
              <w:t>50</w:t>
            </w:r>
          </w:p>
          <w:p w14:paraId="7E0DAE9C">
            <w:pPr>
              <w:widowControl/>
              <w:snapToGrid w:val="0"/>
              <w:jc w:val="center"/>
              <w:rPr>
                <w:sz w:val="21"/>
                <w:szCs w:val="21"/>
                <w:highlight w:val="none"/>
              </w:rPr>
            </w:pPr>
            <w:r>
              <w:rPr>
                <w:sz w:val="21"/>
                <w:szCs w:val="21"/>
                <w:highlight w:val="none"/>
              </w:rPr>
              <w:t>100</w:t>
            </w:r>
          </w:p>
        </w:tc>
        <w:tc>
          <w:tcPr>
            <w:tcW w:w="301" w:type="pct"/>
            <w:noWrap w:val="0"/>
            <w:vAlign w:val="center"/>
          </w:tcPr>
          <w:p w14:paraId="31A1271E">
            <w:pPr>
              <w:widowControl/>
              <w:snapToGrid w:val="0"/>
              <w:jc w:val="center"/>
              <w:rPr>
                <w:sz w:val="21"/>
                <w:szCs w:val="21"/>
                <w:highlight w:val="none"/>
              </w:rPr>
            </w:pPr>
            <w:r>
              <w:rPr>
                <w:sz w:val="21"/>
                <w:szCs w:val="21"/>
                <w:highlight w:val="none"/>
              </w:rPr>
              <w:t>连续</w:t>
            </w:r>
          </w:p>
        </w:tc>
        <w:tc>
          <w:tcPr>
            <w:tcW w:w="1225" w:type="pct"/>
            <w:noWrap w:val="0"/>
            <w:vAlign w:val="center"/>
          </w:tcPr>
          <w:p w14:paraId="18B17B53">
            <w:pPr>
              <w:widowControl/>
              <w:snapToGrid w:val="0"/>
              <w:jc w:val="center"/>
              <w:rPr>
                <w:sz w:val="21"/>
                <w:szCs w:val="21"/>
                <w:highlight w:val="none"/>
              </w:rPr>
            </w:pPr>
            <w:r>
              <w:rPr>
                <w:sz w:val="21"/>
                <w:szCs w:val="21"/>
                <w:highlight w:val="none"/>
              </w:rPr>
              <w:t>送净化装置酸性水汽提单元</w:t>
            </w:r>
          </w:p>
        </w:tc>
      </w:tr>
      <w:tr w14:paraId="7E0B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396" w:type="pct"/>
            <w:vMerge w:val="continue"/>
            <w:noWrap w:val="0"/>
            <w:vAlign w:val="center"/>
          </w:tcPr>
          <w:p w14:paraId="625D994F">
            <w:pPr>
              <w:widowControl/>
              <w:snapToGrid w:val="0"/>
              <w:jc w:val="center"/>
              <w:rPr>
                <w:sz w:val="21"/>
                <w:szCs w:val="21"/>
                <w:highlight w:val="none"/>
              </w:rPr>
            </w:pPr>
          </w:p>
        </w:tc>
        <w:tc>
          <w:tcPr>
            <w:tcW w:w="712" w:type="pct"/>
            <w:vMerge w:val="continue"/>
            <w:noWrap w:val="0"/>
            <w:vAlign w:val="center"/>
          </w:tcPr>
          <w:p w14:paraId="59907983">
            <w:pPr>
              <w:widowControl/>
              <w:snapToGrid w:val="0"/>
              <w:jc w:val="center"/>
              <w:rPr>
                <w:sz w:val="21"/>
                <w:szCs w:val="21"/>
                <w:highlight w:val="none"/>
              </w:rPr>
            </w:pPr>
          </w:p>
        </w:tc>
        <w:tc>
          <w:tcPr>
            <w:tcW w:w="795" w:type="pct"/>
            <w:noWrap w:val="0"/>
            <w:vAlign w:val="center"/>
          </w:tcPr>
          <w:p w14:paraId="19FF6BFB">
            <w:pPr>
              <w:widowControl/>
              <w:snapToGrid w:val="0"/>
              <w:jc w:val="center"/>
              <w:rPr>
                <w:sz w:val="21"/>
                <w:szCs w:val="21"/>
                <w:highlight w:val="none"/>
              </w:rPr>
            </w:pPr>
            <w:r>
              <w:rPr>
                <w:sz w:val="21"/>
                <w:szCs w:val="21"/>
                <w:highlight w:val="none"/>
              </w:rPr>
              <w:t>减压塔顶分水罐排</w:t>
            </w:r>
            <w:r>
              <w:rPr>
                <w:rFonts w:hint="eastAsia"/>
                <w:sz w:val="21"/>
                <w:szCs w:val="21"/>
                <w:highlight w:val="none"/>
                <w:lang w:eastAsia="zh-CN"/>
              </w:rPr>
              <w:t>放</w:t>
            </w:r>
            <w:r>
              <w:rPr>
                <w:sz w:val="21"/>
                <w:szCs w:val="21"/>
                <w:highlight w:val="none"/>
              </w:rPr>
              <w:t>含油污水</w:t>
            </w:r>
          </w:p>
        </w:tc>
        <w:tc>
          <w:tcPr>
            <w:tcW w:w="628" w:type="pct"/>
            <w:noWrap w:val="0"/>
            <w:vAlign w:val="center"/>
          </w:tcPr>
          <w:p w14:paraId="5A86A05A">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：1.757</w:t>
            </w:r>
          </w:p>
          <w:p w14:paraId="082C2FB8">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：7.713</w:t>
            </w:r>
          </w:p>
        </w:tc>
        <w:tc>
          <w:tcPr>
            <w:tcW w:w="413" w:type="pct"/>
            <w:noWrap w:val="0"/>
            <w:vAlign w:val="center"/>
          </w:tcPr>
          <w:p w14:paraId="1F545105">
            <w:pPr>
              <w:widowControl/>
              <w:snapToGrid w:val="0"/>
              <w:jc w:val="center"/>
              <w:rPr>
                <w:sz w:val="21"/>
                <w:szCs w:val="21"/>
                <w:highlight w:val="none"/>
              </w:rPr>
            </w:pPr>
            <w:r>
              <w:rPr>
                <w:sz w:val="21"/>
                <w:szCs w:val="21"/>
                <w:highlight w:val="none"/>
              </w:rPr>
              <w:t>PH</w:t>
            </w:r>
          </w:p>
          <w:p w14:paraId="103F8979">
            <w:pPr>
              <w:widowControl/>
              <w:snapToGrid w:val="0"/>
              <w:jc w:val="center"/>
              <w:rPr>
                <w:sz w:val="21"/>
                <w:szCs w:val="21"/>
                <w:highlight w:val="none"/>
              </w:rPr>
            </w:pPr>
            <w:r>
              <w:rPr>
                <w:sz w:val="21"/>
                <w:szCs w:val="21"/>
                <w:highlight w:val="none"/>
              </w:rPr>
              <w:t>COD</w:t>
            </w:r>
          </w:p>
          <w:p w14:paraId="090EE957">
            <w:pPr>
              <w:widowControl/>
              <w:snapToGrid w:val="0"/>
              <w:jc w:val="center"/>
              <w:rPr>
                <w:sz w:val="21"/>
                <w:szCs w:val="21"/>
                <w:highlight w:val="none"/>
              </w:rPr>
            </w:pPr>
            <w:r>
              <w:rPr>
                <w:sz w:val="21"/>
                <w:szCs w:val="21"/>
                <w:highlight w:val="none"/>
              </w:rPr>
              <w:t>油</w:t>
            </w:r>
          </w:p>
        </w:tc>
        <w:tc>
          <w:tcPr>
            <w:tcW w:w="528" w:type="pct"/>
            <w:noWrap w:val="0"/>
            <w:vAlign w:val="center"/>
          </w:tcPr>
          <w:p w14:paraId="09AD8D6D">
            <w:pPr>
              <w:widowControl/>
              <w:snapToGrid w:val="0"/>
              <w:jc w:val="center"/>
              <w:rPr>
                <w:sz w:val="21"/>
                <w:szCs w:val="21"/>
                <w:highlight w:val="none"/>
              </w:rPr>
            </w:pPr>
            <w:r>
              <w:rPr>
                <w:sz w:val="21"/>
                <w:szCs w:val="21"/>
                <w:highlight w:val="none"/>
              </w:rPr>
              <w:t>6~8</w:t>
            </w:r>
          </w:p>
          <w:p w14:paraId="05FDF7E6">
            <w:pPr>
              <w:widowControl/>
              <w:snapToGrid w:val="0"/>
              <w:jc w:val="center"/>
              <w:rPr>
                <w:sz w:val="21"/>
                <w:szCs w:val="21"/>
                <w:highlight w:val="none"/>
              </w:rPr>
            </w:pPr>
            <w:r>
              <w:rPr>
                <w:sz w:val="21"/>
                <w:szCs w:val="21"/>
                <w:highlight w:val="none"/>
              </w:rPr>
              <w:t>&lt;700</w:t>
            </w:r>
          </w:p>
          <w:p w14:paraId="2358AE61">
            <w:pPr>
              <w:widowControl/>
              <w:snapToGrid w:val="0"/>
              <w:jc w:val="center"/>
              <w:rPr>
                <w:sz w:val="21"/>
                <w:szCs w:val="21"/>
                <w:highlight w:val="none"/>
              </w:rPr>
            </w:pPr>
            <w:r>
              <w:rPr>
                <w:sz w:val="21"/>
                <w:szCs w:val="21"/>
                <w:highlight w:val="none"/>
              </w:rPr>
              <w:t>1000</w:t>
            </w:r>
          </w:p>
        </w:tc>
        <w:tc>
          <w:tcPr>
            <w:tcW w:w="301" w:type="pct"/>
            <w:noWrap w:val="0"/>
            <w:vAlign w:val="center"/>
          </w:tcPr>
          <w:p w14:paraId="56B2032F">
            <w:pPr>
              <w:widowControl/>
              <w:snapToGrid w:val="0"/>
              <w:jc w:val="center"/>
              <w:rPr>
                <w:sz w:val="21"/>
                <w:szCs w:val="21"/>
                <w:highlight w:val="none"/>
              </w:rPr>
            </w:pPr>
            <w:r>
              <w:rPr>
                <w:sz w:val="21"/>
                <w:szCs w:val="21"/>
                <w:highlight w:val="none"/>
              </w:rPr>
              <w:t>连续</w:t>
            </w:r>
          </w:p>
        </w:tc>
        <w:tc>
          <w:tcPr>
            <w:tcW w:w="1225" w:type="pct"/>
            <w:noWrap w:val="0"/>
            <w:vAlign w:val="center"/>
          </w:tcPr>
          <w:p w14:paraId="265E71A3">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2E20B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415D414A">
            <w:pPr>
              <w:widowControl/>
              <w:snapToGrid w:val="0"/>
              <w:jc w:val="center"/>
              <w:rPr>
                <w:sz w:val="21"/>
                <w:szCs w:val="21"/>
                <w:highlight w:val="none"/>
              </w:rPr>
            </w:pPr>
          </w:p>
        </w:tc>
        <w:tc>
          <w:tcPr>
            <w:tcW w:w="712" w:type="pct"/>
            <w:vMerge w:val="continue"/>
            <w:noWrap w:val="0"/>
            <w:vAlign w:val="center"/>
          </w:tcPr>
          <w:p w14:paraId="09C0F725">
            <w:pPr>
              <w:widowControl/>
              <w:snapToGrid w:val="0"/>
              <w:jc w:val="center"/>
              <w:rPr>
                <w:sz w:val="21"/>
                <w:szCs w:val="21"/>
                <w:highlight w:val="none"/>
              </w:rPr>
            </w:pPr>
          </w:p>
        </w:tc>
        <w:tc>
          <w:tcPr>
            <w:tcW w:w="795" w:type="pct"/>
            <w:noWrap w:val="0"/>
            <w:vAlign w:val="center"/>
          </w:tcPr>
          <w:p w14:paraId="1B76F52C">
            <w:pPr>
              <w:widowControl/>
              <w:snapToGrid w:val="0"/>
              <w:jc w:val="center"/>
              <w:rPr>
                <w:sz w:val="21"/>
                <w:szCs w:val="21"/>
                <w:highlight w:val="none"/>
              </w:rPr>
            </w:pPr>
            <w:r>
              <w:rPr>
                <w:sz w:val="21"/>
                <w:szCs w:val="21"/>
                <w:highlight w:val="none"/>
              </w:rPr>
              <w:t>富气压缩机出口分液罐</w:t>
            </w:r>
          </w:p>
        </w:tc>
        <w:tc>
          <w:tcPr>
            <w:tcW w:w="628" w:type="pct"/>
            <w:noWrap w:val="0"/>
            <w:vAlign w:val="center"/>
          </w:tcPr>
          <w:p w14:paraId="762B3A02">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：0.092</w:t>
            </w:r>
          </w:p>
          <w:p w14:paraId="14836469">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：0.1</w:t>
            </w:r>
          </w:p>
        </w:tc>
        <w:tc>
          <w:tcPr>
            <w:tcW w:w="413" w:type="pct"/>
            <w:noWrap w:val="0"/>
            <w:vAlign w:val="center"/>
          </w:tcPr>
          <w:p w14:paraId="337CDD21">
            <w:pPr>
              <w:widowControl/>
              <w:snapToGrid w:val="0"/>
              <w:jc w:val="center"/>
              <w:rPr>
                <w:b/>
                <w:bCs/>
                <w:sz w:val="21"/>
                <w:szCs w:val="21"/>
                <w:highlight w:val="none"/>
              </w:rPr>
            </w:pPr>
            <w:r>
              <w:rPr>
                <w:sz w:val="21"/>
                <w:szCs w:val="21"/>
                <w:highlight w:val="none"/>
              </w:rPr>
              <w:t>PH</w:t>
            </w:r>
          </w:p>
          <w:p w14:paraId="5ED9C4F3">
            <w:pPr>
              <w:widowControl/>
              <w:snapToGrid w:val="0"/>
              <w:jc w:val="center"/>
              <w:rPr>
                <w:sz w:val="21"/>
                <w:szCs w:val="21"/>
                <w:highlight w:val="none"/>
              </w:rPr>
            </w:pPr>
            <w:r>
              <w:rPr>
                <w:bCs/>
                <w:sz w:val="21"/>
                <w:szCs w:val="21"/>
                <w:highlight w:val="none"/>
              </w:rPr>
              <w:t>C</w:t>
            </w:r>
            <w:r>
              <w:rPr>
                <w:sz w:val="21"/>
                <w:szCs w:val="21"/>
                <w:highlight w:val="none"/>
              </w:rPr>
              <w:t>OD</w:t>
            </w:r>
          </w:p>
          <w:p w14:paraId="3A387F5B">
            <w:pPr>
              <w:widowControl/>
              <w:snapToGrid w:val="0"/>
              <w:jc w:val="center"/>
              <w:rPr>
                <w:sz w:val="21"/>
                <w:szCs w:val="21"/>
                <w:highlight w:val="none"/>
              </w:rPr>
            </w:pPr>
            <w:r>
              <w:rPr>
                <w:sz w:val="21"/>
                <w:szCs w:val="21"/>
                <w:highlight w:val="none"/>
              </w:rPr>
              <w:t>油</w:t>
            </w:r>
          </w:p>
          <w:p w14:paraId="1B558A17">
            <w:pPr>
              <w:widowControl/>
              <w:snapToGrid w:val="0"/>
              <w:jc w:val="center"/>
              <w:rPr>
                <w:sz w:val="21"/>
                <w:szCs w:val="21"/>
                <w:highlight w:val="none"/>
              </w:rPr>
            </w:pPr>
            <w:r>
              <w:rPr>
                <w:sz w:val="21"/>
                <w:szCs w:val="21"/>
                <w:highlight w:val="none"/>
              </w:rPr>
              <w:t>硫化物</w:t>
            </w:r>
          </w:p>
        </w:tc>
        <w:tc>
          <w:tcPr>
            <w:tcW w:w="528" w:type="pct"/>
            <w:noWrap w:val="0"/>
            <w:vAlign w:val="center"/>
          </w:tcPr>
          <w:p w14:paraId="1B15D398">
            <w:pPr>
              <w:widowControl/>
              <w:snapToGrid w:val="0"/>
              <w:jc w:val="center"/>
              <w:rPr>
                <w:sz w:val="21"/>
                <w:szCs w:val="21"/>
                <w:highlight w:val="none"/>
              </w:rPr>
            </w:pPr>
            <w:r>
              <w:rPr>
                <w:sz w:val="21"/>
                <w:szCs w:val="21"/>
                <w:highlight w:val="none"/>
              </w:rPr>
              <w:t>6~8</w:t>
            </w:r>
          </w:p>
          <w:p w14:paraId="11D11C35">
            <w:pPr>
              <w:widowControl/>
              <w:snapToGrid w:val="0"/>
              <w:jc w:val="center"/>
              <w:rPr>
                <w:sz w:val="21"/>
                <w:szCs w:val="21"/>
                <w:highlight w:val="none"/>
              </w:rPr>
            </w:pPr>
            <w:r>
              <w:rPr>
                <w:sz w:val="21"/>
                <w:szCs w:val="21"/>
                <w:highlight w:val="none"/>
              </w:rPr>
              <w:t>&lt;700</w:t>
            </w:r>
          </w:p>
          <w:p w14:paraId="5B69F621">
            <w:pPr>
              <w:widowControl/>
              <w:snapToGrid w:val="0"/>
              <w:jc w:val="center"/>
              <w:rPr>
                <w:sz w:val="21"/>
                <w:szCs w:val="21"/>
                <w:highlight w:val="none"/>
              </w:rPr>
            </w:pPr>
            <w:r>
              <w:rPr>
                <w:sz w:val="21"/>
                <w:szCs w:val="21"/>
                <w:highlight w:val="none"/>
              </w:rPr>
              <w:t>50</w:t>
            </w:r>
          </w:p>
          <w:p w14:paraId="4265C3CE">
            <w:pPr>
              <w:widowControl/>
              <w:snapToGrid w:val="0"/>
              <w:jc w:val="center"/>
              <w:rPr>
                <w:sz w:val="21"/>
                <w:szCs w:val="21"/>
                <w:highlight w:val="none"/>
              </w:rPr>
            </w:pPr>
            <w:r>
              <w:rPr>
                <w:sz w:val="21"/>
                <w:szCs w:val="21"/>
                <w:highlight w:val="none"/>
              </w:rPr>
              <w:t>100</w:t>
            </w:r>
          </w:p>
        </w:tc>
        <w:tc>
          <w:tcPr>
            <w:tcW w:w="301" w:type="pct"/>
            <w:noWrap w:val="0"/>
            <w:vAlign w:val="center"/>
          </w:tcPr>
          <w:p w14:paraId="12D6BECF">
            <w:pPr>
              <w:widowControl/>
              <w:snapToGrid w:val="0"/>
              <w:jc w:val="center"/>
              <w:rPr>
                <w:sz w:val="21"/>
                <w:szCs w:val="21"/>
                <w:highlight w:val="none"/>
              </w:rPr>
            </w:pPr>
            <w:r>
              <w:rPr>
                <w:sz w:val="21"/>
                <w:szCs w:val="21"/>
                <w:highlight w:val="none"/>
              </w:rPr>
              <w:t>连续</w:t>
            </w:r>
          </w:p>
        </w:tc>
        <w:tc>
          <w:tcPr>
            <w:tcW w:w="1225" w:type="pct"/>
            <w:vMerge w:val="restart"/>
            <w:noWrap w:val="0"/>
            <w:vAlign w:val="center"/>
          </w:tcPr>
          <w:p w14:paraId="3C93A414">
            <w:pPr>
              <w:widowControl/>
              <w:snapToGrid w:val="0"/>
              <w:jc w:val="center"/>
              <w:rPr>
                <w:sz w:val="21"/>
                <w:szCs w:val="21"/>
                <w:highlight w:val="none"/>
              </w:rPr>
            </w:pPr>
            <w:r>
              <w:rPr>
                <w:sz w:val="21"/>
                <w:szCs w:val="21"/>
                <w:highlight w:val="none"/>
              </w:rPr>
              <w:t>送净化装置酸性水汽提单元</w:t>
            </w:r>
          </w:p>
        </w:tc>
      </w:tr>
      <w:tr w14:paraId="1F3E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5E400E4D">
            <w:pPr>
              <w:widowControl/>
              <w:snapToGrid w:val="0"/>
              <w:jc w:val="center"/>
              <w:rPr>
                <w:sz w:val="21"/>
                <w:szCs w:val="21"/>
                <w:highlight w:val="none"/>
              </w:rPr>
            </w:pPr>
          </w:p>
        </w:tc>
        <w:tc>
          <w:tcPr>
            <w:tcW w:w="712" w:type="pct"/>
            <w:vMerge w:val="continue"/>
            <w:noWrap w:val="0"/>
            <w:vAlign w:val="center"/>
          </w:tcPr>
          <w:p w14:paraId="09B3BE72">
            <w:pPr>
              <w:widowControl/>
              <w:snapToGrid w:val="0"/>
              <w:jc w:val="center"/>
              <w:rPr>
                <w:sz w:val="21"/>
                <w:szCs w:val="21"/>
                <w:highlight w:val="none"/>
              </w:rPr>
            </w:pPr>
          </w:p>
        </w:tc>
        <w:tc>
          <w:tcPr>
            <w:tcW w:w="795" w:type="pct"/>
            <w:noWrap w:val="0"/>
            <w:vAlign w:val="center"/>
          </w:tcPr>
          <w:p w14:paraId="07CF705E">
            <w:pPr>
              <w:widowControl/>
              <w:snapToGrid w:val="0"/>
              <w:jc w:val="center"/>
              <w:rPr>
                <w:sz w:val="21"/>
                <w:szCs w:val="21"/>
                <w:highlight w:val="none"/>
              </w:rPr>
            </w:pPr>
            <w:r>
              <w:rPr>
                <w:sz w:val="21"/>
                <w:szCs w:val="21"/>
                <w:highlight w:val="none"/>
              </w:rPr>
              <w:t>稳定塔顶回流罐排</w:t>
            </w:r>
            <w:r>
              <w:rPr>
                <w:rFonts w:hint="eastAsia"/>
                <w:sz w:val="21"/>
                <w:szCs w:val="21"/>
                <w:highlight w:val="none"/>
                <w:lang w:eastAsia="zh-CN"/>
              </w:rPr>
              <w:t>放</w:t>
            </w:r>
            <w:r>
              <w:rPr>
                <w:sz w:val="21"/>
                <w:szCs w:val="21"/>
                <w:highlight w:val="none"/>
              </w:rPr>
              <w:t>含硫含油污水</w:t>
            </w:r>
          </w:p>
        </w:tc>
        <w:tc>
          <w:tcPr>
            <w:tcW w:w="628" w:type="pct"/>
            <w:noWrap w:val="0"/>
            <w:vAlign w:val="center"/>
          </w:tcPr>
          <w:p w14:paraId="705D3250">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：0.003</w:t>
            </w:r>
          </w:p>
          <w:p w14:paraId="48E33DD6">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：0.004</w:t>
            </w:r>
          </w:p>
        </w:tc>
        <w:tc>
          <w:tcPr>
            <w:tcW w:w="413" w:type="pct"/>
            <w:noWrap w:val="0"/>
            <w:vAlign w:val="center"/>
          </w:tcPr>
          <w:p w14:paraId="26F8B019">
            <w:pPr>
              <w:widowControl/>
              <w:snapToGrid w:val="0"/>
              <w:jc w:val="center"/>
              <w:rPr>
                <w:sz w:val="21"/>
                <w:szCs w:val="21"/>
                <w:highlight w:val="none"/>
              </w:rPr>
            </w:pPr>
            <w:r>
              <w:rPr>
                <w:sz w:val="21"/>
                <w:szCs w:val="21"/>
                <w:highlight w:val="none"/>
              </w:rPr>
              <w:t>PH</w:t>
            </w:r>
          </w:p>
          <w:p w14:paraId="536A595B">
            <w:pPr>
              <w:widowControl/>
              <w:snapToGrid w:val="0"/>
              <w:jc w:val="center"/>
              <w:rPr>
                <w:sz w:val="21"/>
                <w:szCs w:val="21"/>
                <w:highlight w:val="none"/>
              </w:rPr>
            </w:pPr>
            <w:r>
              <w:rPr>
                <w:sz w:val="21"/>
                <w:szCs w:val="21"/>
                <w:highlight w:val="none"/>
              </w:rPr>
              <w:t>COD</w:t>
            </w:r>
          </w:p>
          <w:p w14:paraId="28D3A57C">
            <w:pPr>
              <w:widowControl/>
              <w:snapToGrid w:val="0"/>
              <w:jc w:val="center"/>
              <w:rPr>
                <w:sz w:val="21"/>
                <w:szCs w:val="21"/>
                <w:highlight w:val="none"/>
              </w:rPr>
            </w:pPr>
            <w:r>
              <w:rPr>
                <w:sz w:val="21"/>
                <w:szCs w:val="21"/>
                <w:highlight w:val="none"/>
              </w:rPr>
              <w:t>油</w:t>
            </w:r>
          </w:p>
          <w:p w14:paraId="598CECD9">
            <w:pPr>
              <w:widowControl/>
              <w:snapToGrid w:val="0"/>
              <w:jc w:val="center"/>
              <w:rPr>
                <w:sz w:val="21"/>
                <w:szCs w:val="21"/>
                <w:highlight w:val="none"/>
              </w:rPr>
            </w:pPr>
            <w:r>
              <w:rPr>
                <w:sz w:val="21"/>
                <w:szCs w:val="21"/>
                <w:highlight w:val="none"/>
              </w:rPr>
              <w:t>硫化物</w:t>
            </w:r>
          </w:p>
        </w:tc>
        <w:tc>
          <w:tcPr>
            <w:tcW w:w="528" w:type="pct"/>
            <w:noWrap w:val="0"/>
            <w:vAlign w:val="center"/>
          </w:tcPr>
          <w:p w14:paraId="5FC3CED2">
            <w:pPr>
              <w:widowControl/>
              <w:snapToGrid w:val="0"/>
              <w:jc w:val="center"/>
              <w:rPr>
                <w:sz w:val="21"/>
                <w:szCs w:val="21"/>
                <w:highlight w:val="none"/>
              </w:rPr>
            </w:pPr>
            <w:r>
              <w:rPr>
                <w:sz w:val="21"/>
                <w:szCs w:val="21"/>
                <w:highlight w:val="none"/>
              </w:rPr>
              <w:t>6~8</w:t>
            </w:r>
          </w:p>
          <w:p w14:paraId="2E5C5DC3">
            <w:pPr>
              <w:widowControl/>
              <w:snapToGrid w:val="0"/>
              <w:jc w:val="center"/>
              <w:rPr>
                <w:sz w:val="21"/>
                <w:szCs w:val="21"/>
                <w:highlight w:val="none"/>
              </w:rPr>
            </w:pPr>
            <w:r>
              <w:rPr>
                <w:sz w:val="21"/>
                <w:szCs w:val="21"/>
                <w:highlight w:val="none"/>
              </w:rPr>
              <w:t>&lt;700</w:t>
            </w:r>
          </w:p>
          <w:p w14:paraId="547A7355">
            <w:pPr>
              <w:widowControl/>
              <w:snapToGrid w:val="0"/>
              <w:jc w:val="center"/>
              <w:rPr>
                <w:sz w:val="21"/>
                <w:szCs w:val="21"/>
                <w:highlight w:val="none"/>
              </w:rPr>
            </w:pPr>
            <w:r>
              <w:rPr>
                <w:sz w:val="21"/>
                <w:szCs w:val="21"/>
                <w:highlight w:val="none"/>
              </w:rPr>
              <w:t>50</w:t>
            </w:r>
          </w:p>
          <w:p w14:paraId="3BDD41CE">
            <w:pPr>
              <w:widowControl/>
              <w:snapToGrid w:val="0"/>
              <w:jc w:val="center"/>
              <w:rPr>
                <w:sz w:val="21"/>
                <w:szCs w:val="21"/>
                <w:highlight w:val="none"/>
              </w:rPr>
            </w:pPr>
            <w:r>
              <w:rPr>
                <w:sz w:val="21"/>
                <w:szCs w:val="21"/>
                <w:highlight w:val="none"/>
              </w:rPr>
              <w:t>100</w:t>
            </w:r>
          </w:p>
        </w:tc>
        <w:tc>
          <w:tcPr>
            <w:tcW w:w="301" w:type="pct"/>
            <w:noWrap w:val="0"/>
            <w:vAlign w:val="center"/>
          </w:tcPr>
          <w:p w14:paraId="3E60C673">
            <w:pPr>
              <w:widowControl/>
              <w:snapToGrid w:val="0"/>
              <w:jc w:val="center"/>
              <w:rPr>
                <w:sz w:val="21"/>
                <w:szCs w:val="21"/>
                <w:highlight w:val="none"/>
              </w:rPr>
            </w:pPr>
            <w:r>
              <w:rPr>
                <w:sz w:val="21"/>
                <w:szCs w:val="21"/>
                <w:highlight w:val="none"/>
              </w:rPr>
              <w:t>连续</w:t>
            </w:r>
          </w:p>
        </w:tc>
        <w:tc>
          <w:tcPr>
            <w:tcW w:w="1225" w:type="pct"/>
            <w:vMerge w:val="continue"/>
            <w:noWrap w:val="0"/>
            <w:vAlign w:val="center"/>
          </w:tcPr>
          <w:p w14:paraId="1283B096">
            <w:pPr>
              <w:widowControl/>
              <w:snapToGrid w:val="0"/>
              <w:jc w:val="center"/>
              <w:rPr>
                <w:sz w:val="21"/>
                <w:szCs w:val="21"/>
                <w:highlight w:val="none"/>
              </w:rPr>
            </w:pPr>
          </w:p>
        </w:tc>
      </w:tr>
      <w:tr w14:paraId="1E8A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20A62996">
            <w:pPr>
              <w:widowControl/>
              <w:snapToGrid w:val="0"/>
              <w:jc w:val="center"/>
              <w:rPr>
                <w:sz w:val="21"/>
                <w:szCs w:val="21"/>
                <w:highlight w:val="none"/>
              </w:rPr>
            </w:pPr>
          </w:p>
        </w:tc>
        <w:tc>
          <w:tcPr>
            <w:tcW w:w="712" w:type="pct"/>
            <w:noWrap w:val="0"/>
            <w:vAlign w:val="center"/>
          </w:tcPr>
          <w:p w14:paraId="78B664DE">
            <w:pPr>
              <w:widowControl/>
              <w:snapToGrid w:val="0"/>
              <w:jc w:val="center"/>
              <w:rPr>
                <w:sz w:val="21"/>
                <w:szCs w:val="21"/>
                <w:highlight w:val="none"/>
              </w:rPr>
            </w:pPr>
            <w:r>
              <w:rPr>
                <w:sz w:val="21"/>
                <w:szCs w:val="21"/>
                <w:highlight w:val="none"/>
              </w:rPr>
              <w:t>合成水处理单元</w:t>
            </w:r>
          </w:p>
        </w:tc>
        <w:tc>
          <w:tcPr>
            <w:tcW w:w="795" w:type="pct"/>
            <w:noWrap w:val="0"/>
            <w:vAlign w:val="center"/>
          </w:tcPr>
          <w:p w14:paraId="70E72E89">
            <w:pPr>
              <w:widowControl/>
              <w:snapToGrid w:val="0"/>
              <w:jc w:val="center"/>
              <w:rPr>
                <w:sz w:val="21"/>
                <w:szCs w:val="21"/>
                <w:highlight w:val="none"/>
              </w:rPr>
            </w:pPr>
            <w:r>
              <w:rPr>
                <w:sz w:val="21"/>
                <w:szCs w:val="21"/>
                <w:highlight w:val="none"/>
              </w:rPr>
              <w:t>合成废水</w:t>
            </w:r>
          </w:p>
        </w:tc>
        <w:tc>
          <w:tcPr>
            <w:tcW w:w="628" w:type="pct"/>
            <w:noWrap w:val="0"/>
            <w:vAlign w:val="center"/>
          </w:tcPr>
          <w:p w14:paraId="5334FEC8">
            <w:pPr>
              <w:widowControl/>
              <w:snapToGrid w:val="0"/>
              <w:jc w:val="center"/>
              <w:rPr>
                <w:sz w:val="21"/>
                <w:szCs w:val="21"/>
                <w:highlight w:val="none"/>
              </w:rPr>
            </w:pPr>
            <w:r>
              <w:rPr>
                <w:sz w:val="21"/>
                <w:szCs w:val="21"/>
                <w:highlight w:val="none"/>
              </w:rPr>
              <w:t>168.6</w:t>
            </w:r>
          </w:p>
        </w:tc>
        <w:tc>
          <w:tcPr>
            <w:tcW w:w="413" w:type="pct"/>
            <w:noWrap w:val="0"/>
            <w:vAlign w:val="center"/>
          </w:tcPr>
          <w:p w14:paraId="2D7D6A8E">
            <w:pPr>
              <w:widowControl/>
              <w:snapToGrid w:val="0"/>
              <w:jc w:val="center"/>
              <w:rPr>
                <w:sz w:val="21"/>
                <w:szCs w:val="21"/>
                <w:highlight w:val="none"/>
              </w:rPr>
            </w:pPr>
            <w:r>
              <w:rPr>
                <w:sz w:val="21"/>
                <w:szCs w:val="21"/>
                <w:highlight w:val="none"/>
              </w:rPr>
              <w:t>pH</w:t>
            </w:r>
          </w:p>
          <w:p w14:paraId="09591EEC">
            <w:pPr>
              <w:widowControl/>
              <w:snapToGrid w:val="0"/>
              <w:jc w:val="center"/>
              <w:rPr>
                <w:sz w:val="21"/>
                <w:szCs w:val="21"/>
                <w:highlight w:val="none"/>
              </w:rPr>
            </w:pPr>
            <w:r>
              <w:rPr>
                <w:sz w:val="21"/>
                <w:szCs w:val="21"/>
                <w:highlight w:val="none"/>
              </w:rPr>
              <w:t>COD</w:t>
            </w:r>
          </w:p>
          <w:p w14:paraId="39032B83">
            <w:pPr>
              <w:widowControl/>
              <w:snapToGrid w:val="0"/>
              <w:jc w:val="center"/>
              <w:rPr>
                <w:sz w:val="21"/>
                <w:szCs w:val="21"/>
                <w:highlight w:val="none"/>
              </w:rPr>
            </w:pPr>
            <w:r>
              <w:rPr>
                <w:sz w:val="21"/>
                <w:szCs w:val="21"/>
                <w:highlight w:val="none"/>
              </w:rPr>
              <w:t>BOD</w:t>
            </w:r>
          </w:p>
          <w:p w14:paraId="7AF70036">
            <w:pPr>
              <w:widowControl/>
              <w:snapToGrid w:val="0"/>
              <w:jc w:val="center"/>
              <w:rPr>
                <w:sz w:val="21"/>
                <w:szCs w:val="21"/>
                <w:highlight w:val="none"/>
              </w:rPr>
            </w:pPr>
            <w:r>
              <w:rPr>
                <w:sz w:val="21"/>
                <w:szCs w:val="21"/>
                <w:highlight w:val="none"/>
              </w:rPr>
              <w:t>油</w:t>
            </w:r>
          </w:p>
          <w:p w14:paraId="608E5F8A">
            <w:pPr>
              <w:widowControl/>
              <w:snapToGrid w:val="0"/>
              <w:jc w:val="center"/>
              <w:rPr>
                <w:sz w:val="21"/>
                <w:szCs w:val="21"/>
                <w:highlight w:val="none"/>
              </w:rPr>
            </w:pPr>
            <w:r>
              <w:rPr>
                <w:sz w:val="21"/>
                <w:szCs w:val="21"/>
                <w:highlight w:val="none"/>
              </w:rPr>
              <w:t>TDS</w:t>
            </w:r>
          </w:p>
        </w:tc>
        <w:tc>
          <w:tcPr>
            <w:tcW w:w="528" w:type="pct"/>
            <w:noWrap w:val="0"/>
            <w:vAlign w:val="center"/>
          </w:tcPr>
          <w:p w14:paraId="6D5E7ED9">
            <w:pPr>
              <w:widowControl/>
              <w:snapToGrid w:val="0"/>
              <w:jc w:val="center"/>
              <w:rPr>
                <w:sz w:val="21"/>
                <w:szCs w:val="21"/>
                <w:highlight w:val="none"/>
              </w:rPr>
            </w:pPr>
            <w:r>
              <w:rPr>
                <w:sz w:val="21"/>
                <w:szCs w:val="21"/>
                <w:highlight w:val="none"/>
              </w:rPr>
              <w:t>7~8</w:t>
            </w:r>
          </w:p>
          <w:p w14:paraId="082B43C1">
            <w:pPr>
              <w:widowControl/>
              <w:snapToGrid w:val="0"/>
              <w:jc w:val="center"/>
              <w:rPr>
                <w:sz w:val="21"/>
                <w:szCs w:val="21"/>
                <w:highlight w:val="none"/>
              </w:rPr>
            </w:pPr>
            <w:r>
              <w:rPr>
                <w:sz w:val="21"/>
                <w:szCs w:val="21"/>
                <w:highlight w:val="none"/>
              </w:rPr>
              <w:t>8000~15000</w:t>
            </w:r>
          </w:p>
          <w:p w14:paraId="369EE324">
            <w:pPr>
              <w:widowControl/>
              <w:snapToGrid w:val="0"/>
              <w:jc w:val="center"/>
              <w:rPr>
                <w:sz w:val="21"/>
                <w:szCs w:val="21"/>
                <w:highlight w:val="none"/>
              </w:rPr>
            </w:pPr>
            <w:r>
              <w:rPr>
                <w:sz w:val="21"/>
                <w:szCs w:val="21"/>
                <w:highlight w:val="none"/>
              </w:rPr>
              <w:t>6500</w:t>
            </w:r>
          </w:p>
          <w:p w14:paraId="1C8647E1">
            <w:pPr>
              <w:widowControl/>
              <w:snapToGrid w:val="0"/>
              <w:jc w:val="center"/>
              <w:rPr>
                <w:sz w:val="21"/>
                <w:szCs w:val="21"/>
                <w:highlight w:val="none"/>
              </w:rPr>
            </w:pPr>
            <w:r>
              <w:rPr>
                <w:sz w:val="21"/>
                <w:szCs w:val="21"/>
                <w:highlight w:val="none"/>
              </w:rPr>
              <w:t>20</w:t>
            </w:r>
          </w:p>
          <w:p w14:paraId="6F5C9FC4">
            <w:pPr>
              <w:widowControl/>
              <w:snapToGrid w:val="0"/>
              <w:jc w:val="center"/>
              <w:rPr>
                <w:sz w:val="21"/>
                <w:szCs w:val="21"/>
                <w:highlight w:val="none"/>
              </w:rPr>
            </w:pPr>
            <w:r>
              <w:rPr>
                <w:sz w:val="21"/>
                <w:szCs w:val="21"/>
                <w:highlight w:val="none"/>
              </w:rPr>
              <w:t>4000~5000</w:t>
            </w:r>
          </w:p>
        </w:tc>
        <w:tc>
          <w:tcPr>
            <w:tcW w:w="301" w:type="pct"/>
            <w:noWrap w:val="0"/>
            <w:vAlign w:val="center"/>
          </w:tcPr>
          <w:p w14:paraId="090D9AF5">
            <w:pPr>
              <w:widowControl/>
              <w:snapToGrid w:val="0"/>
              <w:jc w:val="center"/>
              <w:rPr>
                <w:sz w:val="21"/>
                <w:szCs w:val="21"/>
                <w:highlight w:val="none"/>
              </w:rPr>
            </w:pPr>
            <w:r>
              <w:rPr>
                <w:sz w:val="21"/>
                <w:szCs w:val="21"/>
                <w:highlight w:val="none"/>
              </w:rPr>
              <w:t>连续</w:t>
            </w:r>
          </w:p>
        </w:tc>
        <w:tc>
          <w:tcPr>
            <w:tcW w:w="1225" w:type="pct"/>
            <w:noWrap w:val="0"/>
            <w:vAlign w:val="center"/>
          </w:tcPr>
          <w:p w14:paraId="10D88F7F">
            <w:pPr>
              <w:widowControl/>
              <w:snapToGrid w:val="0"/>
              <w:jc w:val="center"/>
              <w:rPr>
                <w:sz w:val="21"/>
                <w:szCs w:val="21"/>
                <w:highlight w:val="none"/>
              </w:rPr>
            </w:pPr>
            <w:r>
              <w:rPr>
                <w:sz w:val="21"/>
                <w:szCs w:val="21"/>
                <w:highlight w:val="none"/>
              </w:rPr>
              <w:t>20m</w:t>
            </w:r>
            <w:r>
              <w:rPr>
                <w:sz w:val="21"/>
                <w:szCs w:val="21"/>
                <w:highlight w:val="none"/>
                <w:vertAlign w:val="superscript"/>
              </w:rPr>
              <w:t>3</w:t>
            </w:r>
            <w:r>
              <w:rPr>
                <w:sz w:val="21"/>
                <w:szCs w:val="21"/>
                <w:highlight w:val="none"/>
              </w:rPr>
              <w:t>/h送水煤浆气化装置，剩余148.6m</w:t>
            </w:r>
            <w:r>
              <w:rPr>
                <w:sz w:val="21"/>
                <w:szCs w:val="21"/>
                <w:highlight w:val="none"/>
                <w:vertAlign w:val="superscript"/>
              </w:rPr>
              <w:t>3</w:t>
            </w:r>
            <w:r>
              <w:rPr>
                <w:sz w:val="21"/>
                <w:szCs w:val="21"/>
                <w:highlight w:val="none"/>
              </w:rPr>
              <w:t>/h送厂内</w:t>
            </w:r>
            <w:r>
              <w:rPr>
                <w:rFonts w:hint="eastAsia"/>
                <w:sz w:val="21"/>
                <w:szCs w:val="21"/>
                <w:highlight w:val="none"/>
                <w:lang w:eastAsia="zh-CN"/>
              </w:rPr>
              <w:t>污水处理厂</w:t>
            </w:r>
            <w:r>
              <w:rPr>
                <w:sz w:val="21"/>
                <w:szCs w:val="21"/>
                <w:highlight w:val="none"/>
              </w:rPr>
              <w:t>。</w:t>
            </w:r>
          </w:p>
        </w:tc>
      </w:tr>
      <w:tr w14:paraId="28CC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396" w:type="pct"/>
            <w:vMerge w:val="continue"/>
            <w:noWrap w:val="0"/>
            <w:vAlign w:val="center"/>
          </w:tcPr>
          <w:p w14:paraId="2DC61655">
            <w:pPr>
              <w:widowControl/>
              <w:snapToGrid w:val="0"/>
              <w:jc w:val="center"/>
              <w:rPr>
                <w:sz w:val="21"/>
                <w:szCs w:val="21"/>
                <w:highlight w:val="none"/>
              </w:rPr>
            </w:pPr>
          </w:p>
        </w:tc>
        <w:tc>
          <w:tcPr>
            <w:tcW w:w="712" w:type="pct"/>
            <w:noWrap w:val="0"/>
            <w:vAlign w:val="center"/>
          </w:tcPr>
          <w:p w14:paraId="3C40A0AC">
            <w:pPr>
              <w:widowControl/>
              <w:snapToGrid w:val="0"/>
              <w:jc w:val="center"/>
              <w:rPr>
                <w:sz w:val="21"/>
                <w:szCs w:val="21"/>
                <w:highlight w:val="none"/>
              </w:rPr>
            </w:pPr>
            <w:r>
              <w:rPr>
                <w:sz w:val="21"/>
                <w:szCs w:val="21"/>
                <w:highlight w:val="none"/>
              </w:rPr>
              <w:t>液化气回收单元</w:t>
            </w:r>
          </w:p>
        </w:tc>
        <w:tc>
          <w:tcPr>
            <w:tcW w:w="795" w:type="pct"/>
            <w:noWrap w:val="0"/>
            <w:vAlign w:val="center"/>
          </w:tcPr>
          <w:p w14:paraId="2D6F1DDE">
            <w:pPr>
              <w:widowControl/>
              <w:snapToGrid w:val="0"/>
              <w:jc w:val="center"/>
              <w:rPr>
                <w:sz w:val="21"/>
                <w:szCs w:val="21"/>
                <w:highlight w:val="none"/>
              </w:rPr>
            </w:pPr>
            <w:r>
              <w:rPr>
                <w:sz w:val="21"/>
                <w:szCs w:val="21"/>
                <w:highlight w:val="none"/>
              </w:rPr>
              <w:t>液化气回收单元污水</w:t>
            </w:r>
          </w:p>
        </w:tc>
        <w:tc>
          <w:tcPr>
            <w:tcW w:w="628" w:type="pct"/>
            <w:noWrap w:val="0"/>
            <w:vAlign w:val="center"/>
          </w:tcPr>
          <w:p w14:paraId="4BAD8CEF">
            <w:pPr>
              <w:widowControl/>
              <w:snapToGrid w:val="0"/>
              <w:jc w:val="center"/>
              <w:rPr>
                <w:sz w:val="21"/>
                <w:szCs w:val="21"/>
                <w:highlight w:val="none"/>
              </w:rPr>
            </w:pPr>
            <w:r>
              <w:rPr>
                <w:sz w:val="21"/>
                <w:szCs w:val="21"/>
                <w:highlight w:val="none"/>
              </w:rPr>
              <w:t>正常</w:t>
            </w:r>
            <w:r>
              <w:rPr>
                <w:rFonts w:hint="eastAsia"/>
                <w:sz w:val="21"/>
                <w:szCs w:val="21"/>
                <w:highlight w:val="none"/>
                <w:lang w:eastAsia="zh-CN"/>
              </w:rPr>
              <w:t>值</w:t>
            </w:r>
            <w:r>
              <w:rPr>
                <w:sz w:val="21"/>
                <w:szCs w:val="21"/>
                <w:highlight w:val="none"/>
              </w:rPr>
              <w:t>：0.296</w:t>
            </w:r>
          </w:p>
          <w:p w14:paraId="1C42C35C">
            <w:pPr>
              <w:widowControl/>
              <w:snapToGrid w:val="0"/>
              <w:jc w:val="center"/>
              <w:rPr>
                <w:sz w:val="21"/>
                <w:szCs w:val="21"/>
                <w:highlight w:val="none"/>
              </w:rPr>
            </w:pPr>
            <w:r>
              <w:rPr>
                <w:sz w:val="21"/>
                <w:szCs w:val="21"/>
                <w:highlight w:val="none"/>
              </w:rPr>
              <w:t>最大</w:t>
            </w:r>
            <w:r>
              <w:rPr>
                <w:rFonts w:hint="eastAsia"/>
                <w:sz w:val="21"/>
                <w:szCs w:val="21"/>
                <w:highlight w:val="none"/>
                <w:lang w:eastAsia="zh-CN"/>
              </w:rPr>
              <w:t>值</w:t>
            </w:r>
            <w:r>
              <w:rPr>
                <w:sz w:val="21"/>
                <w:szCs w:val="21"/>
                <w:highlight w:val="none"/>
              </w:rPr>
              <w:t>：0.404</w:t>
            </w:r>
          </w:p>
        </w:tc>
        <w:tc>
          <w:tcPr>
            <w:tcW w:w="413" w:type="pct"/>
            <w:noWrap w:val="0"/>
            <w:vAlign w:val="center"/>
          </w:tcPr>
          <w:p w14:paraId="58FC3F6B">
            <w:pPr>
              <w:widowControl/>
              <w:snapToGrid w:val="0"/>
              <w:jc w:val="center"/>
              <w:rPr>
                <w:sz w:val="21"/>
                <w:szCs w:val="21"/>
                <w:highlight w:val="none"/>
              </w:rPr>
            </w:pPr>
            <w:r>
              <w:rPr>
                <w:sz w:val="21"/>
                <w:szCs w:val="21"/>
                <w:highlight w:val="none"/>
              </w:rPr>
              <w:t>CODcr</w:t>
            </w:r>
          </w:p>
          <w:p w14:paraId="39B6A423">
            <w:pPr>
              <w:widowControl/>
              <w:snapToGrid w:val="0"/>
              <w:jc w:val="center"/>
              <w:rPr>
                <w:sz w:val="21"/>
                <w:szCs w:val="21"/>
                <w:highlight w:val="none"/>
              </w:rPr>
            </w:pPr>
            <w:r>
              <w:rPr>
                <w:sz w:val="21"/>
                <w:szCs w:val="21"/>
                <w:highlight w:val="none"/>
              </w:rPr>
              <w:t>油</w:t>
            </w:r>
          </w:p>
        </w:tc>
        <w:tc>
          <w:tcPr>
            <w:tcW w:w="528" w:type="pct"/>
            <w:noWrap w:val="0"/>
            <w:vAlign w:val="center"/>
          </w:tcPr>
          <w:p w14:paraId="41A4010C">
            <w:pPr>
              <w:widowControl/>
              <w:snapToGrid w:val="0"/>
              <w:jc w:val="center"/>
              <w:rPr>
                <w:sz w:val="21"/>
                <w:szCs w:val="21"/>
                <w:highlight w:val="none"/>
              </w:rPr>
            </w:pPr>
            <w:r>
              <w:rPr>
                <w:sz w:val="21"/>
                <w:szCs w:val="21"/>
                <w:highlight w:val="none"/>
              </w:rPr>
              <w:t>700</w:t>
            </w:r>
          </w:p>
          <w:p w14:paraId="65D52EF7">
            <w:pPr>
              <w:widowControl/>
              <w:snapToGrid w:val="0"/>
              <w:jc w:val="center"/>
              <w:rPr>
                <w:sz w:val="21"/>
                <w:szCs w:val="21"/>
                <w:highlight w:val="none"/>
              </w:rPr>
            </w:pPr>
            <w:r>
              <w:rPr>
                <w:sz w:val="21"/>
                <w:szCs w:val="21"/>
                <w:highlight w:val="none"/>
              </w:rPr>
              <w:t>100</w:t>
            </w:r>
          </w:p>
        </w:tc>
        <w:tc>
          <w:tcPr>
            <w:tcW w:w="301" w:type="pct"/>
            <w:noWrap w:val="0"/>
            <w:vAlign w:val="center"/>
          </w:tcPr>
          <w:p w14:paraId="460CB2FF">
            <w:pPr>
              <w:widowControl/>
              <w:snapToGrid w:val="0"/>
              <w:jc w:val="center"/>
              <w:rPr>
                <w:sz w:val="21"/>
                <w:szCs w:val="21"/>
                <w:highlight w:val="none"/>
              </w:rPr>
            </w:pPr>
            <w:r>
              <w:rPr>
                <w:sz w:val="21"/>
                <w:szCs w:val="21"/>
                <w:highlight w:val="none"/>
              </w:rPr>
              <w:t>连续</w:t>
            </w:r>
          </w:p>
        </w:tc>
        <w:tc>
          <w:tcPr>
            <w:tcW w:w="1225" w:type="pct"/>
            <w:vMerge w:val="restart"/>
            <w:noWrap w:val="0"/>
            <w:vAlign w:val="center"/>
          </w:tcPr>
          <w:p w14:paraId="68519C8D">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518D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FC9D0B6">
            <w:pPr>
              <w:widowControl/>
              <w:snapToGrid w:val="0"/>
              <w:jc w:val="center"/>
              <w:rPr>
                <w:sz w:val="21"/>
                <w:szCs w:val="21"/>
                <w:highlight w:val="none"/>
              </w:rPr>
            </w:pPr>
          </w:p>
        </w:tc>
        <w:tc>
          <w:tcPr>
            <w:tcW w:w="712" w:type="pct"/>
            <w:noWrap w:val="0"/>
            <w:vAlign w:val="center"/>
          </w:tcPr>
          <w:p w14:paraId="04911DA1">
            <w:pPr>
              <w:widowControl/>
              <w:snapToGrid w:val="0"/>
              <w:jc w:val="center"/>
              <w:rPr>
                <w:sz w:val="21"/>
                <w:szCs w:val="21"/>
                <w:highlight w:val="none"/>
              </w:rPr>
            </w:pPr>
            <w:r>
              <w:rPr>
                <w:sz w:val="21"/>
                <w:szCs w:val="21"/>
                <w:highlight w:val="none"/>
              </w:rPr>
              <w:t>全装置</w:t>
            </w:r>
          </w:p>
        </w:tc>
        <w:tc>
          <w:tcPr>
            <w:tcW w:w="795" w:type="pct"/>
            <w:noWrap w:val="0"/>
            <w:vAlign w:val="center"/>
          </w:tcPr>
          <w:p w14:paraId="2AADFC2E">
            <w:pPr>
              <w:widowControl/>
              <w:snapToGrid w:val="0"/>
              <w:jc w:val="center"/>
              <w:rPr>
                <w:sz w:val="21"/>
                <w:szCs w:val="21"/>
                <w:highlight w:val="none"/>
              </w:rPr>
            </w:pPr>
            <w:r>
              <w:rPr>
                <w:sz w:val="21"/>
                <w:szCs w:val="21"/>
                <w:highlight w:val="none"/>
              </w:rPr>
              <w:t>机泵含油污水</w:t>
            </w:r>
          </w:p>
        </w:tc>
        <w:tc>
          <w:tcPr>
            <w:tcW w:w="628" w:type="pct"/>
            <w:noWrap w:val="0"/>
            <w:vAlign w:val="center"/>
          </w:tcPr>
          <w:p w14:paraId="528CD5E9">
            <w:pPr>
              <w:widowControl/>
              <w:snapToGrid w:val="0"/>
              <w:jc w:val="center"/>
              <w:rPr>
                <w:sz w:val="21"/>
                <w:szCs w:val="21"/>
                <w:highlight w:val="none"/>
              </w:rPr>
            </w:pPr>
            <w:r>
              <w:rPr>
                <w:sz w:val="21"/>
                <w:szCs w:val="21"/>
                <w:highlight w:val="none"/>
              </w:rPr>
              <w:t>7.0</w:t>
            </w:r>
          </w:p>
        </w:tc>
        <w:tc>
          <w:tcPr>
            <w:tcW w:w="413" w:type="pct"/>
            <w:noWrap w:val="0"/>
            <w:vAlign w:val="center"/>
          </w:tcPr>
          <w:p w14:paraId="43A79340">
            <w:pPr>
              <w:widowControl/>
              <w:snapToGrid w:val="0"/>
              <w:jc w:val="center"/>
              <w:rPr>
                <w:sz w:val="21"/>
                <w:szCs w:val="21"/>
                <w:highlight w:val="none"/>
              </w:rPr>
            </w:pPr>
            <w:r>
              <w:rPr>
                <w:sz w:val="21"/>
                <w:szCs w:val="21"/>
                <w:highlight w:val="none"/>
              </w:rPr>
              <w:t>PH</w:t>
            </w:r>
          </w:p>
          <w:p w14:paraId="39AC519E">
            <w:pPr>
              <w:widowControl/>
              <w:snapToGrid w:val="0"/>
              <w:jc w:val="center"/>
              <w:rPr>
                <w:sz w:val="21"/>
                <w:szCs w:val="21"/>
                <w:highlight w:val="none"/>
              </w:rPr>
            </w:pPr>
            <w:r>
              <w:rPr>
                <w:sz w:val="21"/>
                <w:szCs w:val="21"/>
                <w:highlight w:val="none"/>
              </w:rPr>
              <w:t>COD</w:t>
            </w:r>
          </w:p>
          <w:p w14:paraId="07072918">
            <w:pPr>
              <w:widowControl/>
              <w:snapToGrid w:val="0"/>
              <w:jc w:val="center"/>
              <w:rPr>
                <w:sz w:val="21"/>
                <w:szCs w:val="21"/>
                <w:highlight w:val="none"/>
              </w:rPr>
            </w:pPr>
            <w:r>
              <w:rPr>
                <w:sz w:val="21"/>
                <w:szCs w:val="21"/>
                <w:highlight w:val="none"/>
              </w:rPr>
              <w:t>油</w:t>
            </w:r>
          </w:p>
        </w:tc>
        <w:tc>
          <w:tcPr>
            <w:tcW w:w="528" w:type="pct"/>
            <w:noWrap w:val="0"/>
            <w:vAlign w:val="center"/>
          </w:tcPr>
          <w:p w14:paraId="0B91A584">
            <w:pPr>
              <w:widowControl/>
              <w:snapToGrid w:val="0"/>
              <w:jc w:val="center"/>
              <w:rPr>
                <w:sz w:val="21"/>
                <w:szCs w:val="21"/>
                <w:highlight w:val="none"/>
              </w:rPr>
            </w:pPr>
            <w:r>
              <w:rPr>
                <w:sz w:val="21"/>
                <w:szCs w:val="21"/>
                <w:highlight w:val="none"/>
              </w:rPr>
              <w:t>6~8</w:t>
            </w:r>
          </w:p>
          <w:p w14:paraId="4E09B99A">
            <w:pPr>
              <w:widowControl/>
              <w:snapToGrid w:val="0"/>
              <w:jc w:val="center"/>
              <w:rPr>
                <w:sz w:val="21"/>
                <w:szCs w:val="21"/>
                <w:highlight w:val="none"/>
              </w:rPr>
            </w:pPr>
            <w:r>
              <w:rPr>
                <w:sz w:val="21"/>
                <w:szCs w:val="21"/>
                <w:highlight w:val="none"/>
              </w:rPr>
              <w:t>&lt;700</w:t>
            </w:r>
          </w:p>
          <w:p w14:paraId="080191E0">
            <w:pPr>
              <w:widowControl/>
              <w:snapToGrid w:val="0"/>
              <w:jc w:val="center"/>
              <w:rPr>
                <w:sz w:val="21"/>
                <w:szCs w:val="21"/>
                <w:highlight w:val="none"/>
              </w:rPr>
            </w:pPr>
            <w:r>
              <w:rPr>
                <w:sz w:val="21"/>
                <w:szCs w:val="21"/>
                <w:highlight w:val="none"/>
              </w:rPr>
              <w:t>500</w:t>
            </w:r>
          </w:p>
        </w:tc>
        <w:tc>
          <w:tcPr>
            <w:tcW w:w="301" w:type="pct"/>
            <w:noWrap w:val="0"/>
            <w:vAlign w:val="center"/>
          </w:tcPr>
          <w:p w14:paraId="658DD8CB">
            <w:pPr>
              <w:widowControl/>
              <w:snapToGrid w:val="0"/>
              <w:jc w:val="center"/>
              <w:rPr>
                <w:sz w:val="21"/>
                <w:szCs w:val="21"/>
                <w:highlight w:val="none"/>
              </w:rPr>
            </w:pPr>
            <w:r>
              <w:rPr>
                <w:sz w:val="21"/>
                <w:szCs w:val="21"/>
                <w:highlight w:val="none"/>
              </w:rPr>
              <w:t>连续</w:t>
            </w:r>
          </w:p>
        </w:tc>
        <w:tc>
          <w:tcPr>
            <w:tcW w:w="1225" w:type="pct"/>
            <w:vMerge w:val="continue"/>
            <w:noWrap w:val="0"/>
            <w:vAlign w:val="center"/>
          </w:tcPr>
          <w:p w14:paraId="62AA2280">
            <w:pPr>
              <w:widowControl/>
              <w:snapToGrid w:val="0"/>
              <w:jc w:val="center"/>
              <w:rPr>
                <w:sz w:val="21"/>
                <w:szCs w:val="21"/>
                <w:highlight w:val="none"/>
              </w:rPr>
            </w:pPr>
          </w:p>
        </w:tc>
      </w:tr>
      <w:tr w14:paraId="7B5F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36A3C425">
            <w:pPr>
              <w:widowControl/>
              <w:snapToGrid w:val="0"/>
              <w:jc w:val="center"/>
              <w:rPr>
                <w:sz w:val="21"/>
                <w:szCs w:val="21"/>
                <w:highlight w:val="none"/>
              </w:rPr>
            </w:pPr>
          </w:p>
        </w:tc>
        <w:tc>
          <w:tcPr>
            <w:tcW w:w="712" w:type="pct"/>
            <w:noWrap w:val="0"/>
            <w:vAlign w:val="center"/>
          </w:tcPr>
          <w:p w14:paraId="33DF37AE">
            <w:pPr>
              <w:widowControl/>
              <w:snapToGrid w:val="0"/>
              <w:jc w:val="center"/>
              <w:rPr>
                <w:sz w:val="21"/>
                <w:szCs w:val="21"/>
                <w:highlight w:val="none"/>
              </w:rPr>
            </w:pPr>
            <w:r>
              <w:rPr>
                <w:sz w:val="21"/>
                <w:szCs w:val="21"/>
                <w:highlight w:val="none"/>
              </w:rPr>
              <w:t>全装置</w:t>
            </w:r>
          </w:p>
        </w:tc>
        <w:tc>
          <w:tcPr>
            <w:tcW w:w="795" w:type="pct"/>
            <w:noWrap w:val="0"/>
            <w:vAlign w:val="center"/>
          </w:tcPr>
          <w:p w14:paraId="134FF82D">
            <w:pPr>
              <w:widowControl/>
              <w:snapToGrid w:val="0"/>
              <w:jc w:val="center"/>
              <w:rPr>
                <w:sz w:val="21"/>
                <w:szCs w:val="21"/>
                <w:highlight w:val="none"/>
              </w:rPr>
            </w:pPr>
            <w:r>
              <w:rPr>
                <w:sz w:val="21"/>
                <w:szCs w:val="21"/>
                <w:highlight w:val="none"/>
              </w:rPr>
              <w:t>汽包排污</w:t>
            </w:r>
          </w:p>
        </w:tc>
        <w:tc>
          <w:tcPr>
            <w:tcW w:w="628" w:type="pct"/>
            <w:noWrap w:val="0"/>
            <w:vAlign w:val="center"/>
          </w:tcPr>
          <w:p w14:paraId="6384356B">
            <w:pPr>
              <w:widowControl/>
              <w:snapToGrid w:val="0"/>
              <w:jc w:val="center"/>
              <w:rPr>
                <w:sz w:val="21"/>
                <w:szCs w:val="21"/>
                <w:highlight w:val="none"/>
              </w:rPr>
            </w:pPr>
            <w:r>
              <w:rPr>
                <w:sz w:val="21"/>
                <w:szCs w:val="21"/>
                <w:highlight w:val="none"/>
              </w:rPr>
              <w:t>0.7</w:t>
            </w:r>
          </w:p>
        </w:tc>
        <w:tc>
          <w:tcPr>
            <w:tcW w:w="413" w:type="pct"/>
            <w:noWrap w:val="0"/>
            <w:vAlign w:val="center"/>
          </w:tcPr>
          <w:p w14:paraId="48E8A8AF">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3DCE4702">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34C3F5DE">
            <w:pPr>
              <w:widowControl/>
              <w:snapToGrid w:val="0"/>
              <w:jc w:val="center"/>
              <w:rPr>
                <w:sz w:val="21"/>
                <w:szCs w:val="21"/>
                <w:highlight w:val="none"/>
              </w:rPr>
            </w:pPr>
            <w:r>
              <w:rPr>
                <w:sz w:val="21"/>
                <w:szCs w:val="21"/>
                <w:highlight w:val="none"/>
              </w:rPr>
              <w:t>TDS</w:t>
            </w:r>
          </w:p>
        </w:tc>
        <w:tc>
          <w:tcPr>
            <w:tcW w:w="528" w:type="pct"/>
            <w:noWrap w:val="0"/>
            <w:vAlign w:val="center"/>
          </w:tcPr>
          <w:p w14:paraId="76C0F79E">
            <w:pPr>
              <w:widowControl/>
              <w:snapToGrid w:val="0"/>
              <w:jc w:val="center"/>
              <w:rPr>
                <w:sz w:val="21"/>
                <w:szCs w:val="21"/>
                <w:highlight w:val="none"/>
              </w:rPr>
            </w:pPr>
            <w:r>
              <w:rPr>
                <w:sz w:val="21"/>
                <w:szCs w:val="21"/>
                <w:highlight w:val="none"/>
              </w:rPr>
              <w:t>6.5</w:t>
            </w:r>
          </w:p>
          <w:p w14:paraId="57958B35">
            <w:pPr>
              <w:widowControl/>
              <w:snapToGrid w:val="0"/>
              <w:jc w:val="center"/>
              <w:rPr>
                <w:sz w:val="21"/>
                <w:szCs w:val="21"/>
                <w:highlight w:val="none"/>
              </w:rPr>
            </w:pPr>
            <w:r>
              <w:rPr>
                <w:sz w:val="21"/>
                <w:szCs w:val="21"/>
                <w:highlight w:val="none"/>
              </w:rPr>
              <w:t>10</w:t>
            </w:r>
          </w:p>
          <w:p w14:paraId="22D5234E">
            <w:pPr>
              <w:widowControl/>
              <w:snapToGrid w:val="0"/>
              <w:jc w:val="center"/>
              <w:rPr>
                <w:sz w:val="21"/>
                <w:szCs w:val="21"/>
                <w:highlight w:val="none"/>
              </w:rPr>
            </w:pPr>
            <w:r>
              <w:rPr>
                <w:sz w:val="21"/>
                <w:szCs w:val="21"/>
                <w:highlight w:val="none"/>
              </w:rPr>
              <w:t>17</w:t>
            </w:r>
          </w:p>
        </w:tc>
        <w:tc>
          <w:tcPr>
            <w:tcW w:w="301" w:type="pct"/>
            <w:noWrap w:val="0"/>
            <w:vAlign w:val="center"/>
          </w:tcPr>
          <w:p w14:paraId="04144067">
            <w:pPr>
              <w:widowControl/>
              <w:snapToGrid w:val="0"/>
              <w:jc w:val="center"/>
              <w:rPr>
                <w:sz w:val="21"/>
                <w:szCs w:val="21"/>
                <w:highlight w:val="none"/>
              </w:rPr>
            </w:pPr>
            <w:r>
              <w:rPr>
                <w:sz w:val="21"/>
                <w:szCs w:val="21"/>
                <w:highlight w:val="none"/>
              </w:rPr>
              <w:t>连续</w:t>
            </w:r>
          </w:p>
        </w:tc>
        <w:tc>
          <w:tcPr>
            <w:tcW w:w="1225" w:type="pct"/>
            <w:noWrap w:val="0"/>
            <w:vAlign w:val="center"/>
          </w:tcPr>
          <w:p w14:paraId="7784FE9C">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4369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396" w:type="pct"/>
            <w:vMerge w:val="restart"/>
            <w:noWrap w:val="0"/>
            <w:vAlign w:val="center"/>
          </w:tcPr>
          <w:p w14:paraId="0EB706BC">
            <w:pPr>
              <w:widowControl/>
              <w:snapToGrid w:val="0"/>
              <w:jc w:val="center"/>
              <w:rPr>
                <w:sz w:val="21"/>
                <w:szCs w:val="21"/>
                <w:highlight w:val="none"/>
              </w:rPr>
            </w:pPr>
            <w:r>
              <w:rPr>
                <w:sz w:val="21"/>
                <w:szCs w:val="21"/>
                <w:highlight w:val="none"/>
              </w:rPr>
              <w:t>尾气制氢装置</w:t>
            </w:r>
          </w:p>
        </w:tc>
        <w:tc>
          <w:tcPr>
            <w:tcW w:w="712" w:type="pct"/>
            <w:noWrap w:val="0"/>
            <w:vAlign w:val="center"/>
          </w:tcPr>
          <w:p w14:paraId="4FA3F84D">
            <w:pPr>
              <w:widowControl/>
              <w:snapToGrid w:val="0"/>
              <w:jc w:val="center"/>
              <w:rPr>
                <w:sz w:val="21"/>
                <w:szCs w:val="21"/>
                <w:highlight w:val="none"/>
              </w:rPr>
            </w:pPr>
            <w:r>
              <w:rPr>
                <w:sz w:val="21"/>
                <w:szCs w:val="21"/>
                <w:highlight w:val="none"/>
              </w:rPr>
              <w:t>尾气变换单元</w:t>
            </w:r>
          </w:p>
        </w:tc>
        <w:tc>
          <w:tcPr>
            <w:tcW w:w="795" w:type="pct"/>
            <w:noWrap w:val="0"/>
            <w:vAlign w:val="center"/>
          </w:tcPr>
          <w:p w14:paraId="5B8CA616">
            <w:pPr>
              <w:widowControl/>
              <w:snapToGrid w:val="0"/>
              <w:jc w:val="center"/>
              <w:rPr>
                <w:sz w:val="21"/>
                <w:szCs w:val="21"/>
                <w:highlight w:val="none"/>
              </w:rPr>
            </w:pPr>
            <w:r>
              <w:rPr>
                <w:sz w:val="21"/>
                <w:szCs w:val="21"/>
                <w:highlight w:val="none"/>
              </w:rPr>
              <w:t>尾气变换冷凝液</w:t>
            </w:r>
          </w:p>
        </w:tc>
        <w:tc>
          <w:tcPr>
            <w:tcW w:w="628" w:type="pct"/>
            <w:noWrap w:val="0"/>
            <w:vAlign w:val="center"/>
          </w:tcPr>
          <w:p w14:paraId="1A8DC036">
            <w:pPr>
              <w:widowControl/>
              <w:snapToGrid w:val="0"/>
              <w:jc w:val="center"/>
              <w:rPr>
                <w:sz w:val="21"/>
                <w:szCs w:val="21"/>
                <w:highlight w:val="none"/>
              </w:rPr>
            </w:pPr>
            <w:r>
              <w:rPr>
                <w:sz w:val="21"/>
                <w:szCs w:val="21"/>
                <w:highlight w:val="none"/>
              </w:rPr>
              <w:t>12.1</w:t>
            </w:r>
          </w:p>
        </w:tc>
        <w:tc>
          <w:tcPr>
            <w:tcW w:w="413" w:type="pct"/>
            <w:noWrap w:val="0"/>
            <w:vAlign w:val="center"/>
          </w:tcPr>
          <w:p w14:paraId="6E829C0B">
            <w:pPr>
              <w:widowControl/>
              <w:snapToGrid w:val="0"/>
              <w:jc w:val="center"/>
              <w:rPr>
                <w:sz w:val="21"/>
                <w:szCs w:val="21"/>
                <w:highlight w:val="none"/>
              </w:rPr>
            </w:pPr>
            <w:r>
              <w:rPr>
                <w:sz w:val="21"/>
                <w:szCs w:val="21"/>
                <w:highlight w:val="none"/>
              </w:rPr>
              <w:t>NH</w:t>
            </w:r>
            <w:r>
              <w:rPr>
                <w:sz w:val="21"/>
                <w:szCs w:val="21"/>
                <w:highlight w:val="none"/>
                <w:vertAlign w:val="subscript"/>
              </w:rPr>
              <w:t>3</w:t>
            </w:r>
            <w:r>
              <w:rPr>
                <w:sz w:val="21"/>
                <w:szCs w:val="21"/>
                <w:highlight w:val="none"/>
              </w:rPr>
              <w:t>-N</w:t>
            </w:r>
          </w:p>
        </w:tc>
        <w:tc>
          <w:tcPr>
            <w:tcW w:w="528" w:type="pct"/>
            <w:noWrap w:val="0"/>
            <w:vAlign w:val="center"/>
          </w:tcPr>
          <w:p w14:paraId="6B5F3064">
            <w:pPr>
              <w:widowControl/>
              <w:snapToGrid w:val="0"/>
              <w:jc w:val="center"/>
              <w:rPr>
                <w:sz w:val="21"/>
                <w:szCs w:val="21"/>
                <w:highlight w:val="none"/>
              </w:rPr>
            </w:pPr>
            <w:r>
              <w:rPr>
                <w:sz w:val="21"/>
                <w:szCs w:val="21"/>
                <w:highlight w:val="none"/>
              </w:rPr>
              <w:t>1352</w:t>
            </w:r>
          </w:p>
        </w:tc>
        <w:tc>
          <w:tcPr>
            <w:tcW w:w="301" w:type="pct"/>
            <w:noWrap w:val="0"/>
            <w:vAlign w:val="center"/>
          </w:tcPr>
          <w:p w14:paraId="4F06DA5A">
            <w:pPr>
              <w:widowControl/>
              <w:snapToGrid w:val="0"/>
              <w:jc w:val="center"/>
              <w:rPr>
                <w:sz w:val="21"/>
                <w:szCs w:val="21"/>
                <w:highlight w:val="none"/>
              </w:rPr>
            </w:pPr>
            <w:r>
              <w:rPr>
                <w:sz w:val="21"/>
                <w:szCs w:val="21"/>
                <w:highlight w:val="none"/>
              </w:rPr>
              <w:t>连续</w:t>
            </w:r>
          </w:p>
        </w:tc>
        <w:tc>
          <w:tcPr>
            <w:tcW w:w="1225" w:type="pct"/>
            <w:noWrap w:val="0"/>
            <w:vAlign w:val="center"/>
          </w:tcPr>
          <w:p w14:paraId="49EE5B04">
            <w:pPr>
              <w:widowControl/>
              <w:snapToGrid w:val="0"/>
              <w:jc w:val="center"/>
              <w:rPr>
                <w:sz w:val="21"/>
                <w:szCs w:val="21"/>
                <w:highlight w:val="none"/>
              </w:rPr>
            </w:pPr>
            <w:r>
              <w:rPr>
                <w:sz w:val="21"/>
                <w:szCs w:val="21"/>
                <w:highlight w:val="none"/>
              </w:rPr>
              <w:t>去净化装置酸性水汽提单元</w:t>
            </w:r>
          </w:p>
        </w:tc>
      </w:tr>
      <w:tr w14:paraId="76DE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CD1AA5F">
            <w:pPr>
              <w:widowControl/>
              <w:snapToGrid w:val="0"/>
              <w:jc w:val="center"/>
              <w:rPr>
                <w:sz w:val="21"/>
                <w:szCs w:val="21"/>
                <w:highlight w:val="none"/>
              </w:rPr>
            </w:pPr>
          </w:p>
        </w:tc>
        <w:tc>
          <w:tcPr>
            <w:tcW w:w="712" w:type="pct"/>
            <w:noWrap w:val="0"/>
            <w:vAlign w:val="center"/>
          </w:tcPr>
          <w:p w14:paraId="0213A383">
            <w:pPr>
              <w:widowControl/>
              <w:snapToGrid w:val="0"/>
              <w:jc w:val="center"/>
              <w:rPr>
                <w:sz w:val="21"/>
                <w:szCs w:val="21"/>
                <w:highlight w:val="none"/>
              </w:rPr>
            </w:pPr>
            <w:r>
              <w:rPr>
                <w:sz w:val="21"/>
                <w:szCs w:val="21"/>
                <w:highlight w:val="none"/>
              </w:rPr>
              <w:t>尾气转化单元</w:t>
            </w:r>
          </w:p>
        </w:tc>
        <w:tc>
          <w:tcPr>
            <w:tcW w:w="795" w:type="pct"/>
            <w:noWrap w:val="0"/>
            <w:vAlign w:val="center"/>
          </w:tcPr>
          <w:p w14:paraId="362F77AD">
            <w:pPr>
              <w:widowControl/>
              <w:snapToGrid w:val="0"/>
              <w:jc w:val="center"/>
              <w:rPr>
                <w:sz w:val="21"/>
                <w:szCs w:val="21"/>
                <w:highlight w:val="none"/>
              </w:rPr>
            </w:pPr>
            <w:r>
              <w:rPr>
                <w:sz w:val="21"/>
                <w:szCs w:val="21"/>
                <w:highlight w:val="none"/>
              </w:rPr>
              <w:t>蒸汽发生器排污</w:t>
            </w:r>
          </w:p>
        </w:tc>
        <w:tc>
          <w:tcPr>
            <w:tcW w:w="628" w:type="pct"/>
            <w:noWrap w:val="0"/>
            <w:vAlign w:val="center"/>
          </w:tcPr>
          <w:p w14:paraId="4F020829">
            <w:pPr>
              <w:widowControl/>
              <w:snapToGrid w:val="0"/>
              <w:jc w:val="center"/>
              <w:rPr>
                <w:sz w:val="21"/>
                <w:szCs w:val="21"/>
                <w:highlight w:val="none"/>
              </w:rPr>
            </w:pPr>
            <w:r>
              <w:rPr>
                <w:sz w:val="21"/>
                <w:szCs w:val="21"/>
                <w:highlight w:val="none"/>
              </w:rPr>
              <w:t>0.7</w:t>
            </w:r>
          </w:p>
        </w:tc>
        <w:tc>
          <w:tcPr>
            <w:tcW w:w="413" w:type="pct"/>
            <w:noWrap w:val="0"/>
            <w:vAlign w:val="center"/>
          </w:tcPr>
          <w:p w14:paraId="30F97E39">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2D5E76BF">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1E1D8377">
            <w:pPr>
              <w:widowControl/>
              <w:snapToGrid w:val="0"/>
              <w:jc w:val="center"/>
              <w:rPr>
                <w:sz w:val="21"/>
                <w:szCs w:val="21"/>
                <w:highlight w:val="none"/>
              </w:rPr>
            </w:pPr>
            <w:r>
              <w:rPr>
                <w:sz w:val="21"/>
                <w:szCs w:val="21"/>
                <w:highlight w:val="none"/>
              </w:rPr>
              <w:t>TDS</w:t>
            </w:r>
          </w:p>
        </w:tc>
        <w:tc>
          <w:tcPr>
            <w:tcW w:w="528" w:type="pct"/>
            <w:noWrap w:val="0"/>
            <w:vAlign w:val="center"/>
          </w:tcPr>
          <w:p w14:paraId="3085B7D8">
            <w:pPr>
              <w:widowControl/>
              <w:snapToGrid w:val="0"/>
              <w:jc w:val="center"/>
              <w:rPr>
                <w:sz w:val="21"/>
                <w:szCs w:val="21"/>
                <w:highlight w:val="none"/>
              </w:rPr>
            </w:pPr>
            <w:r>
              <w:rPr>
                <w:sz w:val="21"/>
                <w:szCs w:val="21"/>
                <w:highlight w:val="none"/>
              </w:rPr>
              <w:t>6.5</w:t>
            </w:r>
          </w:p>
          <w:p w14:paraId="7C644378">
            <w:pPr>
              <w:widowControl/>
              <w:snapToGrid w:val="0"/>
              <w:jc w:val="center"/>
              <w:rPr>
                <w:sz w:val="21"/>
                <w:szCs w:val="21"/>
                <w:highlight w:val="none"/>
              </w:rPr>
            </w:pPr>
            <w:r>
              <w:rPr>
                <w:sz w:val="21"/>
                <w:szCs w:val="21"/>
                <w:highlight w:val="none"/>
              </w:rPr>
              <w:t>10</w:t>
            </w:r>
          </w:p>
          <w:p w14:paraId="438DD4E4">
            <w:pPr>
              <w:widowControl/>
              <w:snapToGrid w:val="0"/>
              <w:jc w:val="center"/>
              <w:rPr>
                <w:sz w:val="21"/>
                <w:szCs w:val="21"/>
                <w:highlight w:val="none"/>
              </w:rPr>
            </w:pPr>
            <w:r>
              <w:rPr>
                <w:sz w:val="21"/>
                <w:szCs w:val="21"/>
                <w:highlight w:val="none"/>
              </w:rPr>
              <w:t>17</w:t>
            </w:r>
          </w:p>
        </w:tc>
        <w:tc>
          <w:tcPr>
            <w:tcW w:w="301" w:type="pct"/>
            <w:noWrap w:val="0"/>
            <w:vAlign w:val="center"/>
          </w:tcPr>
          <w:p w14:paraId="3D84D3FD">
            <w:pPr>
              <w:widowControl/>
              <w:snapToGrid w:val="0"/>
              <w:jc w:val="center"/>
              <w:rPr>
                <w:sz w:val="21"/>
                <w:szCs w:val="21"/>
                <w:highlight w:val="none"/>
              </w:rPr>
            </w:pPr>
            <w:r>
              <w:rPr>
                <w:sz w:val="21"/>
                <w:szCs w:val="21"/>
                <w:highlight w:val="none"/>
              </w:rPr>
              <w:t>连续</w:t>
            </w:r>
          </w:p>
        </w:tc>
        <w:tc>
          <w:tcPr>
            <w:tcW w:w="1225" w:type="pct"/>
            <w:noWrap w:val="0"/>
            <w:vAlign w:val="center"/>
          </w:tcPr>
          <w:p w14:paraId="7DDE4FBD">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1B04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noWrap w:val="0"/>
            <w:vAlign w:val="center"/>
          </w:tcPr>
          <w:p w14:paraId="07CF8F37">
            <w:pPr>
              <w:jc w:val="center"/>
              <w:rPr>
                <w:sz w:val="21"/>
                <w:szCs w:val="21"/>
                <w:highlight w:val="none"/>
              </w:rPr>
            </w:pPr>
            <w:r>
              <w:rPr>
                <w:sz w:val="21"/>
                <w:szCs w:val="21"/>
                <w:highlight w:val="none"/>
              </w:rPr>
              <w:t>热电装置</w:t>
            </w:r>
          </w:p>
        </w:tc>
        <w:tc>
          <w:tcPr>
            <w:tcW w:w="1507" w:type="pct"/>
            <w:gridSpan w:val="2"/>
            <w:noWrap w:val="0"/>
            <w:vAlign w:val="center"/>
          </w:tcPr>
          <w:p w14:paraId="04D6B4C3">
            <w:pPr>
              <w:widowControl/>
              <w:snapToGrid w:val="0"/>
              <w:jc w:val="center"/>
              <w:rPr>
                <w:sz w:val="21"/>
                <w:szCs w:val="21"/>
                <w:highlight w:val="none"/>
              </w:rPr>
            </w:pPr>
            <w:r>
              <w:rPr>
                <w:sz w:val="21"/>
                <w:szCs w:val="21"/>
                <w:highlight w:val="none"/>
              </w:rPr>
              <w:t>锅炉排污</w:t>
            </w:r>
          </w:p>
        </w:tc>
        <w:tc>
          <w:tcPr>
            <w:tcW w:w="628" w:type="pct"/>
            <w:noWrap w:val="0"/>
            <w:vAlign w:val="center"/>
          </w:tcPr>
          <w:p w14:paraId="6B8AFE8E">
            <w:pPr>
              <w:widowControl/>
              <w:snapToGrid w:val="0"/>
              <w:jc w:val="center"/>
              <w:rPr>
                <w:sz w:val="21"/>
                <w:szCs w:val="21"/>
                <w:highlight w:val="none"/>
              </w:rPr>
            </w:pPr>
            <w:r>
              <w:rPr>
                <w:sz w:val="21"/>
                <w:szCs w:val="21"/>
                <w:highlight w:val="none"/>
              </w:rPr>
              <w:t>夏季：10.9</w:t>
            </w:r>
          </w:p>
          <w:p w14:paraId="2E46A4A1">
            <w:pPr>
              <w:widowControl/>
              <w:snapToGrid w:val="0"/>
              <w:jc w:val="center"/>
              <w:rPr>
                <w:sz w:val="21"/>
                <w:szCs w:val="21"/>
                <w:highlight w:val="none"/>
              </w:rPr>
            </w:pPr>
            <w:r>
              <w:rPr>
                <w:sz w:val="21"/>
                <w:szCs w:val="21"/>
                <w:highlight w:val="none"/>
              </w:rPr>
              <w:t>冬季：10.6</w:t>
            </w:r>
          </w:p>
        </w:tc>
        <w:tc>
          <w:tcPr>
            <w:tcW w:w="413" w:type="pct"/>
            <w:noWrap w:val="0"/>
            <w:vAlign w:val="center"/>
          </w:tcPr>
          <w:p w14:paraId="30EAF415">
            <w:pPr>
              <w:widowControl/>
              <w:snapToGrid w:val="0"/>
              <w:jc w:val="center"/>
              <w:rPr>
                <w:sz w:val="21"/>
                <w:szCs w:val="21"/>
                <w:highlight w:val="none"/>
              </w:rPr>
            </w:pPr>
            <w:r>
              <w:rPr>
                <w:sz w:val="21"/>
                <w:szCs w:val="21"/>
                <w:highlight w:val="none"/>
              </w:rPr>
              <w:t>Na</w:t>
            </w:r>
            <w:r>
              <w:rPr>
                <w:sz w:val="21"/>
                <w:szCs w:val="21"/>
                <w:highlight w:val="none"/>
                <w:vertAlign w:val="superscript"/>
              </w:rPr>
              <w:t>+</w:t>
            </w:r>
          </w:p>
          <w:p w14:paraId="7BBFC8DF">
            <w:pPr>
              <w:widowControl/>
              <w:snapToGrid w:val="0"/>
              <w:jc w:val="center"/>
              <w:rPr>
                <w:sz w:val="21"/>
                <w:szCs w:val="21"/>
                <w:highlight w:val="none"/>
              </w:rPr>
            </w:pPr>
            <w:r>
              <w:rPr>
                <w:sz w:val="21"/>
                <w:szCs w:val="21"/>
                <w:highlight w:val="none"/>
              </w:rPr>
              <w:t>Cl</w:t>
            </w:r>
            <w:r>
              <w:rPr>
                <w:sz w:val="21"/>
                <w:szCs w:val="21"/>
                <w:highlight w:val="none"/>
                <w:vertAlign w:val="superscript"/>
              </w:rPr>
              <w:t>-</w:t>
            </w:r>
          </w:p>
          <w:p w14:paraId="783297DB">
            <w:pPr>
              <w:widowControl/>
              <w:snapToGrid w:val="0"/>
              <w:jc w:val="center"/>
              <w:rPr>
                <w:sz w:val="21"/>
                <w:szCs w:val="21"/>
                <w:highlight w:val="none"/>
              </w:rPr>
            </w:pPr>
            <w:r>
              <w:rPr>
                <w:sz w:val="21"/>
                <w:szCs w:val="21"/>
                <w:highlight w:val="none"/>
              </w:rPr>
              <w:t>TDS</w:t>
            </w:r>
          </w:p>
        </w:tc>
        <w:tc>
          <w:tcPr>
            <w:tcW w:w="528" w:type="pct"/>
            <w:noWrap w:val="0"/>
            <w:vAlign w:val="center"/>
          </w:tcPr>
          <w:p w14:paraId="3523B9F5">
            <w:pPr>
              <w:widowControl/>
              <w:snapToGrid w:val="0"/>
              <w:jc w:val="center"/>
              <w:rPr>
                <w:sz w:val="21"/>
                <w:szCs w:val="21"/>
                <w:highlight w:val="none"/>
              </w:rPr>
            </w:pPr>
            <w:r>
              <w:rPr>
                <w:sz w:val="21"/>
                <w:szCs w:val="21"/>
                <w:highlight w:val="none"/>
              </w:rPr>
              <w:t>6.5</w:t>
            </w:r>
          </w:p>
          <w:p w14:paraId="230634FB">
            <w:pPr>
              <w:widowControl/>
              <w:snapToGrid w:val="0"/>
              <w:jc w:val="center"/>
              <w:rPr>
                <w:sz w:val="21"/>
                <w:szCs w:val="21"/>
                <w:highlight w:val="none"/>
              </w:rPr>
            </w:pPr>
            <w:r>
              <w:rPr>
                <w:sz w:val="21"/>
                <w:szCs w:val="21"/>
                <w:highlight w:val="none"/>
              </w:rPr>
              <w:t>10</w:t>
            </w:r>
          </w:p>
          <w:p w14:paraId="6345571A">
            <w:pPr>
              <w:widowControl/>
              <w:snapToGrid w:val="0"/>
              <w:jc w:val="center"/>
              <w:rPr>
                <w:sz w:val="21"/>
                <w:szCs w:val="21"/>
                <w:highlight w:val="none"/>
              </w:rPr>
            </w:pPr>
            <w:r>
              <w:rPr>
                <w:sz w:val="21"/>
                <w:szCs w:val="21"/>
                <w:highlight w:val="none"/>
              </w:rPr>
              <w:t>17</w:t>
            </w:r>
          </w:p>
        </w:tc>
        <w:tc>
          <w:tcPr>
            <w:tcW w:w="301" w:type="pct"/>
            <w:noWrap w:val="0"/>
            <w:vAlign w:val="center"/>
          </w:tcPr>
          <w:p w14:paraId="380C4891">
            <w:pPr>
              <w:widowControl/>
              <w:snapToGrid w:val="0"/>
              <w:jc w:val="center"/>
              <w:rPr>
                <w:sz w:val="21"/>
                <w:szCs w:val="21"/>
                <w:highlight w:val="none"/>
              </w:rPr>
            </w:pPr>
            <w:r>
              <w:rPr>
                <w:sz w:val="21"/>
                <w:szCs w:val="21"/>
                <w:highlight w:val="none"/>
              </w:rPr>
              <w:t>连续</w:t>
            </w:r>
          </w:p>
        </w:tc>
        <w:tc>
          <w:tcPr>
            <w:tcW w:w="1225" w:type="pct"/>
            <w:noWrap w:val="0"/>
            <w:vAlign w:val="center"/>
          </w:tcPr>
          <w:p w14:paraId="791CE721">
            <w:pPr>
              <w:widowControl/>
              <w:snapToGrid w:val="0"/>
              <w:jc w:val="center"/>
              <w:rPr>
                <w:rFonts w:hint="eastAsia" w:eastAsia="宋体"/>
                <w:sz w:val="21"/>
                <w:szCs w:val="21"/>
                <w:highlight w:val="none"/>
                <w:lang w:eastAsia="zh-CN"/>
              </w:rPr>
            </w:pPr>
            <w:r>
              <w:rPr>
                <w:sz w:val="21"/>
                <w:szCs w:val="21"/>
                <w:highlight w:val="none"/>
              </w:rPr>
              <w:t>去第三循环水</w:t>
            </w:r>
            <w:r>
              <w:rPr>
                <w:rFonts w:hint="eastAsia"/>
                <w:sz w:val="21"/>
                <w:szCs w:val="21"/>
                <w:highlight w:val="none"/>
                <w:lang w:eastAsia="zh-CN"/>
              </w:rPr>
              <w:t>厂</w:t>
            </w:r>
          </w:p>
        </w:tc>
      </w:tr>
      <w:tr w14:paraId="0E21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restart"/>
            <w:noWrap w:val="0"/>
            <w:vAlign w:val="center"/>
          </w:tcPr>
          <w:p w14:paraId="6FF13D0B">
            <w:pPr>
              <w:widowControl/>
              <w:snapToGrid w:val="0"/>
              <w:jc w:val="center"/>
              <w:rPr>
                <w:sz w:val="21"/>
                <w:szCs w:val="21"/>
                <w:highlight w:val="none"/>
              </w:rPr>
            </w:pPr>
            <w:r>
              <w:rPr>
                <w:sz w:val="21"/>
                <w:szCs w:val="21"/>
                <w:highlight w:val="none"/>
              </w:rPr>
              <w:t>公用工程</w:t>
            </w:r>
          </w:p>
        </w:tc>
        <w:tc>
          <w:tcPr>
            <w:tcW w:w="712" w:type="pct"/>
            <w:noWrap w:val="0"/>
            <w:vAlign w:val="center"/>
          </w:tcPr>
          <w:p w14:paraId="17CE9DB5">
            <w:pPr>
              <w:jc w:val="center"/>
              <w:rPr>
                <w:sz w:val="21"/>
                <w:szCs w:val="21"/>
                <w:highlight w:val="none"/>
              </w:rPr>
            </w:pPr>
            <w:r>
              <w:rPr>
                <w:sz w:val="21"/>
                <w:szCs w:val="21"/>
                <w:highlight w:val="none"/>
              </w:rPr>
              <w:t>脱盐水站</w:t>
            </w:r>
          </w:p>
        </w:tc>
        <w:tc>
          <w:tcPr>
            <w:tcW w:w="795" w:type="pct"/>
            <w:noWrap w:val="0"/>
            <w:vAlign w:val="center"/>
          </w:tcPr>
          <w:p w14:paraId="333E20E4">
            <w:pPr>
              <w:widowControl/>
              <w:snapToGrid w:val="0"/>
              <w:jc w:val="center"/>
              <w:rPr>
                <w:sz w:val="21"/>
                <w:szCs w:val="21"/>
                <w:highlight w:val="none"/>
              </w:rPr>
            </w:pPr>
            <w:r>
              <w:rPr>
                <w:sz w:val="21"/>
                <w:szCs w:val="21"/>
                <w:highlight w:val="none"/>
              </w:rPr>
              <w:t>含盐废水</w:t>
            </w:r>
          </w:p>
        </w:tc>
        <w:tc>
          <w:tcPr>
            <w:tcW w:w="628" w:type="pct"/>
            <w:noWrap w:val="0"/>
            <w:vAlign w:val="center"/>
          </w:tcPr>
          <w:p w14:paraId="1B7283E9">
            <w:pPr>
              <w:widowControl/>
              <w:snapToGrid w:val="0"/>
              <w:jc w:val="center"/>
              <w:rPr>
                <w:sz w:val="21"/>
                <w:szCs w:val="21"/>
                <w:highlight w:val="none"/>
              </w:rPr>
            </w:pPr>
            <w:r>
              <w:rPr>
                <w:sz w:val="21"/>
                <w:szCs w:val="21"/>
                <w:highlight w:val="none"/>
              </w:rPr>
              <w:t>夏季：448</w:t>
            </w:r>
          </w:p>
          <w:p w14:paraId="276C0A26">
            <w:pPr>
              <w:widowControl/>
              <w:snapToGrid w:val="0"/>
              <w:jc w:val="center"/>
              <w:rPr>
                <w:sz w:val="21"/>
                <w:szCs w:val="21"/>
                <w:highlight w:val="none"/>
              </w:rPr>
            </w:pPr>
            <w:r>
              <w:rPr>
                <w:sz w:val="21"/>
                <w:szCs w:val="21"/>
                <w:highlight w:val="none"/>
              </w:rPr>
              <w:t>冬季：368</w:t>
            </w:r>
          </w:p>
        </w:tc>
        <w:tc>
          <w:tcPr>
            <w:tcW w:w="413" w:type="pct"/>
            <w:noWrap w:val="0"/>
            <w:vAlign w:val="center"/>
          </w:tcPr>
          <w:p w14:paraId="767E537A">
            <w:pPr>
              <w:widowControl/>
              <w:snapToGrid w:val="0"/>
              <w:jc w:val="center"/>
              <w:rPr>
                <w:sz w:val="21"/>
                <w:szCs w:val="21"/>
                <w:highlight w:val="none"/>
              </w:rPr>
            </w:pPr>
            <w:r>
              <w:rPr>
                <w:sz w:val="21"/>
                <w:szCs w:val="21"/>
                <w:highlight w:val="none"/>
              </w:rPr>
              <w:t>COD</w:t>
            </w:r>
          </w:p>
          <w:p w14:paraId="07EEA132">
            <w:pPr>
              <w:widowControl/>
              <w:snapToGrid w:val="0"/>
              <w:jc w:val="center"/>
              <w:rPr>
                <w:sz w:val="21"/>
                <w:szCs w:val="21"/>
                <w:highlight w:val="none"/>
              </w:rPr>
            </w:pPr>
            <w:r>
              <w:rPr>
                <w:sz w:val="21"/>
                <w:szCs w:val="21"/>
                <w:highlight w:val="none"/>
              </w:rPr>
              <w:t>浊度</w:t>
            </w:r>
          </w:p>
          <w:p w14:paraId="06410DB6">
            <w:pPr>
              <w:widowControl/>
              <w:snapToGrid w:val="0"/>
              <w:jc w:val="center"/>
              <w:rPr>
                <w:sz w:val="21"/>
                <w:szCs w:val="21"/>
                <w:highlight w:val="none"/>
              </w:rPr>
            </w:pPr>
            <w:r>
              <w:rPr>
                <w:sz w:val="21"/>
                <w:szCs w:val="21"/>
                <w:highlight w:val="none"/>
              </w:rPr>
              <w:t>TDS</w:t>
            </w:r>
          </w:p>
          <w:p w14:paraId="7E355942">
            <w:pPr>
              <w:widowControl/>
              <w:snapToGrid w:val="0"/>
              <w:jc w:val="center"/>
              <w:rPr>
                <w:sz w:val="21"/>
                <w:szCs w:val="21"/>
                <w:highlight w:val="none"/>
              </w:rPr>
            </w:pPr>
            <w:r>
              <w:rPr>
                <w:sz w:val="21"/>
                <w:szCs w:val="21"/>
                <w:highlight w:val="none"/>
              </w:rPr>
              <w:t>Ca</w:t>
            </w:r>
            <w:r>
              <w:rPr>
                <w:sz w:val="21"/>
                <w:szCs w:val="21"/>
                <w:highlight w:val="none"/>
                <w:vertAlign w:val="superscript"/>
              </w:rPr>
              <w:t>2+</w:t>
            </w:r>
          </w:p>
          <w:p w14:paraId="76B0D637">
            <w:pPr>
              <w:widowControl/>
              <w:snapToGrid w:val="0"/>
              <w:jc w:val="center"/>
              <w:rPr>
                <w:sz w:val="21"/>
                <w:szCs w:val="21"/>
                <w:highlight w:val="none"/>
              </w:rPr>
            </w:pPr>
            <w:r>
              <w:rPr>
                <w:sz w:val="21"/>
                <w:szCs w:val="21"/>
                <w:highlight w:val="none"/>
              </w:rPr>
              <w:t>pH</w:t>
            </w:r>
          </w:p>
        </w:tc>
        <w:tc>
          <w:tcPr>
            <w:tcW w:w="528" w:type="pct"/>
            <w:noWrap w:val="0"/>
            <w:vAlign w:val="center"/>
          </w:tcPr>
          <w:p w14:paraId="0D22225E">
            <w:pPr>
              <w:widowControl/>
              <w:snapToGrid w:val="0"/>
              <w:jc w:val="center"/>
              <w:rPr>
                <w:sz w:val="21"/>
                <w:szCs w:val="21"/>
                <w:highlight w:val="none"/>
              </w:rPr>
            </w:pPr>
            <w:r>
              <w:rPr>
                <w:sz w:val="21"/>
                <w:szCs w:val="21"/>
                <w:highlight w:val="none"/>
              </w:rPr>
              <w:t>50</w:t>
            </w:r>
          </w:p>
          <w:p w14:paraId="38E661DA">
            <w:pPr>
              <w:widowControl/>
              <w:snapToGrid w:val="0"/>
              <w:jc w:val="center"/>
              <w:rPr>
                <w:sz w:val="21"/>
                <w:szCs w:val="21"/>
                <w:highlight w:val="none"/>
              </w:rPr>
            </w:pPr>
            <w:r>
              <w:rPr>
                <w:sz w:val="21"/>
                <w:szCs w:val="21"/>
                <w:highlight w:val="none"/>
              </w:rPr>
              <w:t>12NTU</w:t>
            </w:r>
          </w:p>
          <w:p w14:paraId="1AD4C7C5">
            <w:pPr>
              <w:widowControl/>
              <w:snapToGrid w:val="0"/>
              <w:jc w:val="center"/>
              <w:rPr>
                <w:sz w:val="21"/>
                <w:szCs w:val="21"/>
                <w:highlight w:val="none"/>
              </w:rPr>
            </w:pPr>
            <w:r>
              <w:rPr>
                <w:sz w:val="21"/>
                <w:szCs w:val="21"/>
                <w:highlight w:val="none"/>
              </w:rPr>
              <w:t>3500</w:t>
            </w:r>
          </w:p>
          <w:p w14:paraId="0170DE82">
            <w:pPr>
              <w:widowControl/>
              <w:snapToGrid w:val="0"/>
              <w:jc w:val="center"/>
              <w:rPr>
                <w:sz w:val="21"/>
                <w:szCs w:val="21"/>
                <w:highlight w:val="none"/>
              </w:rPr>
            </w:pPr>
            <w:r>
              <w:rPr>
                <w:sz w:val="21"/>
                <w:szCs w:val="21"/>
                <w:highlight w:val="none"/>
              </w:rPr>
              <w:t>15</w:t>
            </w:r>
          </w:p>
          <w:p w14:paraId="78987BFC">
            <w:pPr>
              <w:widowControl/>
              <w:snapToGrid w:val="0"/>
              <w:jc w:val="center"/>
              <w:rPr>
                <w:sz w:val="21"/>
                <w:szCs w:val="21"/>
                <w:highlight w:val="none"/>
              </w:rPr>
            </w:pPr>
            <w:r>
              <w:rPr>
                <w:sz w:val="21"/>
                <w:szCs w:val="21"/>
                <w:highlight w:val="none"/>
              </w:rPr>
              <w:t>9</w:t>
            </w:r>
          </w:p>
        </w:tc>
        <w:tc>
          <w:tcPr>
            <w:tcW w:w="301" w:type="pct"/>
            <w:noWrap w:val="0"/>
            <w:vAlign w:val="center"/>
          </w:tcPr>
          <w:p w14:paraId="7FF240AE">
            <w:pPr>
              <w:widowControl/>
              <w:snapToGrid w:val="0"/>
              <w:jc w:val="center"/>
              <w:rPr>
                <w:sz w:val="21"/>
                <w:szCs w:val="21"/>
                <w:highlight w:val="none"/>
              </w:rPr>
            </w:pPr>
            <w:r>
              <w:rPr>
                <w:sz w:val="21"/>
                <w:szCs w:val="21"/>
                <w:highlight w:val="none"/>
              </w:rPr>
              <w:t>连续</w:t>
            </w:r>
          </w:p>
        </w:tc>
        <w:tc>
          <w:tcPr>
            <w:tcW w:w="1225" w:type="pct"/>
            <w:vMerge w:val="restart"/>
            <w:noWrap w:val="0"/>
            <w:vAlign w:val="center"/>
          </w:tcPr>
          <w:p w14:paraId="78643859">
            <w:pPr>
              <w:widowControl/>
              <w:snapToGrid w:val="0"/>
              <w:jc w:val="center"/>
              <w:rPr>
                <w:sz w:val="21"/>
                <w:szCs w:val="21"/>
                <w:highlight w:val="none"/>
              </w:rPr>
            </w:pPr>
            <w:r>
              <w:rPr>
                <w:rFonts w:hint="eastAsia"/>
                <w:sz w:val="21"/>
                <w:szCs w:val="21"/>
                <w:highlight w:val="none"/>
                <w:lang w:eastAsia="zh-CN"/>
              </w:rPr>
              <w:t>送至</w:t>
            </w:r>
            <w:r>
              <w:rPr>
                <w:sz w:val="21"/>
                <w:szCs w:val="21"/>
                <w:highlight w:val="none"/>
              </w:rPr>
              <w:t>废水处理及回用装置</w:t>
            </w:r>
          </w:p>
        </w:tc>
      </w:tr>
      <w:tr w14:paraId="47AB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608955A1">
            <w:pPr>
              <w:widowControl/>
              <w:snapToGrid w:val="0"/>
              <w:jc w:val="center"/>
              <w:rPr>
                <w:sz w:val="21"/>
                <w:szCs w:val="21"/>
                <w:highlight w:val="none"/>
              </w:rPr>
            </w:pPr>
          </w:p>
        </w:tc>
        <w:tc>
          <w:tcPr>
            <w:tcW w:w="712" w:type="pct"/>
            <w:noWrap w:val="0"/>
            <w:vAlign w:val="center"/>
          </w:tcPr>
          <w:p w14:paraId="6B89DA18">
            <w:pPr>
              <w:jc w:val="center"/>
              <w:rPr>
                <w:sz w:val="21"/>
                <w:szCs w:val="21"/>
                <w:highlight w:val="none"/>
              </w:rPr>
            </w:pPr>
            <w:r>
              <w:rPr>
                <w:sz w:val="21"/>
                <w:szCs w:val="21"/>
                <w:highlight w:val="none"/>
              </w:rPr>
              <w:t>第一循环水场（开式）</w:t>
            </w:r>
          </w:p>
        </w:tc>
        <w:tc>
          <w:tcPr>
            <w:tcW w:w="795" w:type="pct"/>
            <w:noWrap w:val="0"/>
            <w:vAlign w:val="center"/>
          </w:tcPr>
          <w:p w14:paraId="080288A6">
            <w:pPr>
              <w:widowControl/>
              <w:snapToGrid w:val="0"/>
              <w:jc w:val="center"/>
              <w:rPr>
                <w:sz w:val="21"/>
                <w:szCs w:val="21"/>
                <w:highlight w:val="none"/>
              </w:rPr>
            </w:pPr>
            <w:r>
              <w:rPr>
                <w:sz w:val="21"/>
                <w:szCs w:val="21"/>
                <w:highlight w:val="none"/>
              </w:rPr>
              <w:t>含盐废水</w:t>
            </w:r>
          </w:p>
        </w:tc>
        <w:tc>
          <w:tcPr>
            <w:tcW w:w="628" w:type="pct"/>
            <w:noWrap w:val="0"/>
            <w:vAlign w:val="center"/>
          </w:tcPr>
          <w:p w14:paraId="050247B2">
            <w:pPr>
              <w:widowControl/>
              <w:snapToGrid w:val="0"/>
              <w:jc w:val="center"/>
              <w:rPr>
                <w:sz w:val="21"/>
                <w:szCs w:val="21"/>
                <w:highlight w:val="none"/>
              </w:rPr>
            </w:pPr>
            <w:r>
              <w:rPr>
                <w:sz w:val="21"/>
                <w:szCs w:val="21"/>
                <w:highlight w:val="none"/>
              </w:rPr>
              <w:t>夏季：13</w:t>
            </w:r>
          </w:p>
          <w:p w14:paraId="4A70A973">
            <w:pPr>
              <w:widowControl/>
              <w:snapToGrid w:val="0"/>
              <w:jc w:val="center"/>
              <w:rPr>
                <w:sz w:val="21"/>
                <w:szCs w:val="21"/>
                <w:highlight w:val="none"/>
              </w:rPr>
            </w:pPr>
            <w:r>
              <w:rPr>
                <w:sz w:val="21"/>
                <w:szCs w:val="21"/>
                <w:highlight w:val="none"/>
              </w:rPr>
              <w:t>冬季：11</w:t>
            </w:r>
          </w:p>
        </w:tc>
        <w:tc>
          <w:tcPr>
            <w:tcW w:w="413" w:type="pct"/>
            <w:noWrap w:val="0"/>
            <w:vAlign w:val="center"/>
          </w:tcPr>
          <w:p w14:paraId="2606D7BD">
            <w:pPr>
              <w:widowControl/>
              <w:snapToGrid w:val="0"/>
              <w:jc w:val="center"/>
              <w:rPr>
                <w:sz w:val="21"/>
                <w:szCs w:val="21"/>
                <w:highlight w:val="none"/>
              </w:rPr>
            </w:pPr>
            <w:r>
              <w:rPr>
                <w:sz w:val="21"/>
                <w:szCs w:val="21"/>
                <w:highlight w:val="none"/>
              </w:rPr>
              <w:t>COD</w:t>
            </w:r>
          </w:p>
          <w:p w14:paraId="172788C0">
            <w:pPr>
              <w:widowControl/>
              <w:snapToGrid w:val="0"/>
              <w:jc w:val="center"/>
              <w:rPr>
                <w:sz w:val="21"/>
                <w:szCs w:val="21"/>
                <w:highlight w:val="none"/>
              </w:rPr>
            </w:pPr>
            <w:r>
              <w:rPr>
                <w:sz w:val="21"/>
                <w:szCs w:val="21"/>
                <w:highlight w:val="none"/>
              </w:rPr>
              <w:t>浊度</w:t>
            </w:r>
          </w:p>
          <w:p w14:paraId="449A463F">
            <w:pPr>
              <w:widowControl/>
              <w:snapToGrid w:val="0"/>
              <w:jc w:val="center"/>
              <w:rPr>
                <w:sz w:val="21"/>
                <w:szCs w:val="21"/>
                <w:highlight w:val="none"/>
              </w:rPr>
            </w:pPr>
            <w:r>
              <w:rPr>
                <w:sz w:val="21"/>
                <w:szCs w:val="21"/>
                <w:highlight w:val="none"/>
              </w:rPr>
              <w:t>TDS</w:t>
            </w:r>
          </w:p>
          <w:p w14:paraId="154152F0">
            <w:pPr>
              <w:widowControl/>
              <w:snapToGrid w:val="0"/>
              <w:jc w:val="center"/>
              <w:rPr>
                <w:sz w:val="21"/>
                <w:szCs w:val="21"/>
                <w:highlight w:val="none"/>
              </w:rPr>
            </w:pPr>
            <w:r>
              <w:rPr>
                <w:sz w:val="21"/>
                <w:szCs w:val="21"/>
                <w:highlight w:val="none"/>
              </w:rPr>
              <w:t>Ca</w:t>
            </w:r>
            <w:r>
              <w:rPr>
                <w:sz w:val="21"/>
                <w:szCs w:val="21"/>
                <w:highlight w:val="none"/>
                <w:vertAlign w:val="superscript"/>
              </w:rPr>
              <w:t>2+</w:t>
            </w:r>
          </w:p>
          <w:p w14:paraId="4EF17BD6">
            <w:pPr>
              <w:widowControl/>
              <w:snapToGrid w:val="0"/>
              <w:jc w:val="center"/>
              <w:rPr>
                <w:sz w:val="21"/>
                <w:szCs w:val="21"/>
                <w:highlight w:val="none"/>
              </w:rPr>
            </w:pPr>
            <w:r>
              <w:rPr>
                <w:sz w:val="21"/>
                <w:szCs w:val="21"/>
                <w:highlight w:val="none"/>
              </w:rPr>
              <w:t>pH</w:t>
            </w:r>
          </w:p>
        </w:tc>
        <w:tc>
          <w:tcPr>
            <w:tcW w:w="528" w:type="pct"/>
            <w:noWrap w:val="0"/>
            <w:vAlign w:val="center"/>
          </w:tcPr>
          <w:p w14:paraId="2C4BD19B">
            <w:pPr>
              <w:widowControl/>
              <w:snapToGrid w:val="0"/>
              <w:jc w:val="center"/>
              <w:rPr>
                <w:sz w:val="21"/>
                <w:szCs w:val="21"/>
                <w:highlight w:val="none"/>
              </w:rPr>
            </w:pPr>
            <w:r>
              <w:rPr>
                <w:sz w:val="21"/>
                <w:szCs w:val="21"/>
                <w:highlight w:val="none"/>
              </w:rPr>
              <w:t>60</w:t>
            </w:r>
          </w:p>
          <w:p w14:paraId="26D2BBCB">
            <w:pPr>
              <w:widowControl/>
              <w:snapToGrid w:val="0"/>
              <w:jc w:val="center"/>
              <w:rPr>
                <w:sz w:val="21"/>
                <w:szCs w:val="21"/>
                <w:highlight w:val="none"/>
              </w:rPr>
            </w:pPr>
            <w:r>
              <w:rPr>
                <w:sz w:val="21"/>
                <w:szCs w:val="21"/>
                <w:highlight w:val="none"/>
              </w:rPr>
              <w:t>12NTU</w:t>
            </w:r>
          </w:p>
          <w:p w14:paraId="6BAB1E5A">
            <w:pPr>
              <w:widowControl/>
              <w:snapToGrid w:val="0"/>
              <w:jc w:val="center"/>
              <w:rPr>
                <w:sz w:val="21"/>
                <w:szCs w:val="21"/>
                <w:highlight w:val="none"/>
              </w:rPr>
            </w:pPr>
            <w:r>
              <w:rPr>
                <w:sz w:val="21"/>
                <w:szCs w:val="21"/>
                <w:highlight w:val="none"/>
              </w:rPr>
              <w:t>1200</w:t>
            </w:r>
          </w:p>
          <w:p w14:paraId="6AB0BDB5">
            <w:pPr>
              <w:widowControl/>
              <w:snapToGrid w:val="0"/>
              <w:jc w:val="center"/>
              <w:rPr>
                <w:sz w:val="21"/>
                <w:szCs w:val="21"/>
                <w:highlight w:val="none"/>
              </w:rPr>
            </w:pPr>
            <w:r>
              <w:rPr>
                <w:sz w:val="21"/>
                <w:szCs w:val="21"/>
                <w:highlight w:val="none"/>
              </w:rPr>
              <w:t>15</w:t>
            </w:r>
          </w:p>
          <w:p w14:paraId="327B76C5">
            <w:pPr>
              <w:widowControl/>
              <w:snapToGrid w:val="0"/>
              <w:jc w:val="center"/>
              <w:rPr>
                <w:sz w:val="21"/>
                <w:szCs w:val="21"/>
                <w:highlight w:val="none"/>
              </w:rPr>
            </w:pPr>
            <w:r>
              <w:rPr>
                <w:sz w:val="21"/>
                <w:szCs w:val="21"/>
                <w:highlight w:val="none"/>
              </w:rPr>
              <w:t>9</w:t>
            </w:r>
          </w:p>
        </w:tc>
        <w:tc>
          <w:tcPr>
            <w:tcW w:w="301" w:type="pct"/>
            <w:noWrap w:val="0"/>
            <w:vAlign w:val="center"/>
          </w:tcPr>
          <w:p w14:paraId="7B7A05B6">
            <w:pPr>
              <w:widowControl/>
              <w:snapToGrid w:val="0"/>
              <w:jc w:val="center"/>
              <w:rPr>
                <w:sz w:val="21"/>
                <w:szCs w:val="21"/>
                <w:highlight w:val="none"/>
              </w:rPr>
            </w:pPr>
            <w:r>
              <w:rPr>
                <w:sz w:val="21"/>
                <w:szCs w:val="21"/>
                <w:highlight w:val="none"/>
              </w:rPr>
              <w:t>连续</w:t>
            </w:r>
          </w:p>
        </w:tc>
        <w:tc>
          <w:tcPr>
            <w:tcW w:w="1225" w:type="pct"/>
            <w:vMerge w:val="continue"/>
            <w:noWrap w:val="0"/>
            <w:vAlign w:val="center"/>
          </w:tcPr>
          <w:p w14:paraId="66A0D2EC">
            <w:pPr>
              <w:widowControl/>
              <w:snapToGrid w:val="0"/>
              <w:jc w:val="center"/>
              <w:rPr>
                <w:sz w:val="21"/>
                <w:szCs w:val="21"/>
                <w:highlight w:val="none"/>
              </w:rPr>
            </w:pPr>
          </w:p>
        </w:tc>
      </w:tr>
      <w:tr w14:paraId="5C91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7C98D15B">
            <w:pPr>
              <w:widowControl/>
              <w:snapToGrid w:val="0"/>
              <w:jc w:val="center"/>
              <w:rPr>
                <w:sz w:val="21"/>
                <w:szCs w:val="21"/>
                <w:highlight w:val="none"/>
              </w:rPr>
            </w:pPr>
          </w:p>
        </w:tc>
        <w:tc>
          <w:tcPr>
            <w:tcW w:w="712" w:type="pct"/>
            <w:noWrap w:val="0"/>
            <w:vAlign w:val="center"/>
          </w:tcPr>
          <w:p w14:paraId="2E3C21D5">
            <w:pPr>
              <w:jc w:val="center"/>
              <w:rPr>
                <w:sz w:val="21"/>
                <w:szCs w:val="21"/>
                <w:highlight w:val="none"/>
              </w:rPr>
            </w:pPr>
            <w:r>
              <w:rPr>
                <w:sz w:val="21"/>
                <w:szCs w:val="21"/>
                <w:highlight w:val="none"/>
              </w:rPr>
              <w:t>第三循环水场（开式）</w:t>
            </w:r>
          </w:p>
        </w:tc>
        <w:tc>
          <w:tcPr>
            <w:tcW w:w="795" w:type="pct"/>
            <w:noWrap w:val="0"/>
            <w:vAlign w:val="center"/>
          </w:tcPr>
          <w:p w14:paraId="60414A31">
            <w:pPr>
              <w:widowControl/>
              <w:snapToGrid w:val="0"/>
              <w:jc w:val="center"/>
              <w:rPr>
                <w:sz w:val="21"/>
                <w:szCs w:val="21"/>
                <w:highlight w:val="none"/>
              </w:rPr>
            </w:pPr>
            <w:r>
              <w:rPr>
                <w:sz w:val="21"/>
                <w:szCs w:val="21"/>
                <w:highlight w:val="none"/>
              </w:rPr>
              <w:t>含盐废水</w:t>
            </w:r>
          </w:p>
        </w:tc>
        <w:tc>
          <w:tcPr>
            <w:tcW w:w="628" w:type="pct"/>
            <w:noWrap w:val="0"/>
            <w:vAlign w:val="center"/>
          </w:tcPr>
          <w:p w14:paraId="697E0804">
            <w:pPr>
              <w:widowControl/>
              <w:snapToGrid w:val="0"/>
              <w:jc w:val="center"/>
              <w:rPr>
                <w:sz w:val="21"/>
                <w:szCs w:val="21"/>
                <w:highlight w:val="none"/>
              </w:rPr>
            </w:pPr>
            <w:r>
              <w:rPr>
                <w:sz w:val="21"/>
                <w:szCs w:val="21"/>
                <w:highlight w:val="none"/>
              </w:rPr>
              <w:t>夏季：61.6</w:t>
            </w:r>
          </w:p>
          <w:p w14:paraId="1091E704">
            <w:pPr>
              <w:widowControl/>
              <w:snapToGrid w:val="0"/>
              <w:jc w:val="center"/>
              <w:rPr>
                <w:sz w:val="21"/>
                <w:szCs w:val="21"/>
                <w:highlight w:val="none"/>
              </w:rPr>
            </w:pPr>
            <w:r>
              <w:rPr>
                <w:sz w:val="21"/>
                <w:szCs w:val="21"/>
                <w:highlight w:val="none"/>
              </w:rPr>
              <w:t>冬季：49.3</w:t>
            </w:r>
          </w:p>
        </w:tc>
        <w:tc>
          <w:tcPr>
            <w:tcW w:w="413" w:type="pct"/>
            <w:noWrap w:val="0"/>
            <w:vAlign w:val="center"/>
          </w:tcPr>
          <w:p w14:paraId="2D71D0F5">
            <w:pPr>
              <w:widowControl/>
              <w:snapToGrid w:val="0"/>
              <w:jc w:val="center"/>
              <w:rPr>
                <w:sz w:val="21"/>
                <w:szCs w:val="21"/>
                <w:highlight w:val="none"/>
              </w:rPr>
            </w:pPr>
            <w:r>
              <w:rPr>
                <w:sz w:val="21"/>
                <w:szCs w:val="21"/>
                <w:highlight w:val="none"/>
              </w:rPr>
              <w:t>COD</w:t>
            </w:r>
          </w:p>
          <w:p w14:paraId="2E374F52">
            <w:pPr>
              <w:widowControl/>
              <w:snapToGrid w:val="0"/>
              <w:jc w:val="center"/>
              <w:rPr>
                <w:sz w:val="21"/>
                <w:szCs w:val="21"/>
                <w:highlight w:val="none"/>
              </w:rPr>
            </w:pPr>
            <w:r>
              <w:rPr>
                <w:sz w:val="21"/>
                <w:szCs w:val="21"/>
                <w:highlight w:val="none"/>
              </w:rPr>
              <w:t>浊度</w:t>
            </w:r>
          </w:p>
          <w:p w14:paraId="2497305D">
            <w:pPr>
              <w:widowControl/>
              <w:snapToGrid w:val="0"/>
              <w:jc w:val="center"/>
              <w:rPr>
                <w:sz w:val="21"/>
                <w:szCs w:val="21"/>
                <w:highlight w:val="none"/>
              </w:rPr>
            </w:pPr>
            <w:r>
              <w:rPr>
                <w:sz w:val="21"/>
                <w:szCs w:val="21"/>
                <w:highlight w:val="none"/>
              </w:rPr>
              <w:t>TDS</w:t>
            </w:r>
          </w:p>
          <w:p w14:paraId="4FE90553">
            <w:pPr>
              <w:widowControl/>
              <w:snapToGrid w:val="0"/>
              <w:jc w:val="center"/>
              <w:rPr>
                <w:sz w:val="21"/>
                <w:szCs w:val="21"/>
                <w:highlight w:val="none"/>
              </w:rPr>
            </w:pPr>
            <w:r>
              <w:rPr>
                <w:sz w:val="21"/>
                <w:szCs w:val="21"/>
                <w:highlight w:val="none"/>
              </w:rPr>
              <w:t>Ca</w:t>
            </w:r>
            <w:r>
              <w:rPr>
                <w:sz w:val="21"/>
                <w:szCs w:val="21"/>
                <w:highlight w:val="none"/>
                <w:vertAlign w:val="superscript"/>
              </w:rPr>
              <w:t>2+</w:t>
            </w:r>
          </w:p>
          <w:p w14:paraId="7BE6182A">
            <w:pPr>
              <w:widowControl/>
              <w:snapToGrid w:val="0"/>
              <w:jc w:val="center"/>
              <w:rPr>
                <w:sz w:val="21"/>
                <w:szCs w:val="21"/>
                <w:highlight w:val="none"/>
              </w:rPr>
            </w:pPr>
            <w:r>
              <w:rPr>
                <w:sz w:val="21"/>
                <w:szCs w:val="21"/>
                <w:highlight w:val="none"/>
              </w:rPr>
              <w:t>pH</w:t>
            </w:r>
          </w:p>
        </w:tc>
        <w:tc>
          <w:tcPr>
            <w:tcW w:w="528" w:type="pct"/>
            <w:noWrap w:val="0"/>
            <w:vAlign w:val="center"/>
          </w:tcPr>
          <w:p w14:paraId="7F67EF25">
            <w:pPr>
              <w:widowControl/>
              <w:snapToGrid w:val="0"/>
              <w:jc w:val="center"/>
              <w:rPr>
                <w:sz w:val="21"/>
                <w:szCs w:val="21"/>
                <w:highlight w:val="none"/>
              </w:rPr>
            </w:pPr>
            <w:r>
              <w:rPr>
                <w:sz w:val="21"/>
                <w:szCs w:val="21"/>
                <w:highlight w:val="none"/>
              </w:rPr>
              <w:t>60</w:t>
            </w:r>
          </w:p>
          <w:p w14:paraId="52F09A84">
            <w:pPr>
              <w:widowControl/>
              <w:snapToGrid w:val="0"/>
              <w:jc w:val="center"/>
              <w:rPr>
                <w:sz w:val="21"/>
                <w:szCs w:val="21"/>
                <w:highlight w:val="none"/>
              </w:rPr>
            </w:pPr>
            <w:r>
              <w:rPr>
                <w:sz w:val="21"/>
                <w:szCs w:val="21"/>
                <w:highlight w:val="none"/>
              </w:rPr>
              <w:t>12NTU</w:t>
            </w:r>
          </w:p>
          <w:p w14:paraId="39965F0E">
            <w:pPr>
              <w:widowControl/>
              <w:snapToGrid w:val="0"/>
              <w:jc w:val="center"/>
              <w:rPr>
                <w:sz w:val="21"/>
                <w:szCs w:val="21"/>
                <w:highlight w:val="none"/>
              </w:rPr>
            </w:pPr>
            <w:r>
              <w:rPr>
                <w:sz w:val="21"/>
                <w:szCs w:val="21"/>
                <w:highlight w:val="none"/>
              </w:rPr>
              <w:t>1200</w:t>
            </w:r>
          </w:p>
          <w:p w14:paraId="4818366D">
            <w:pPr>
              <w:widowControl/>
              <w:snapToGrid w:val="0"/>
              <w:jc w:val="center"/>
              <w:rPr>
                <w:sz w:val="21"/>
                <w:szCs w:val="21"/>
                <w:highlight w:val="none"/>
              </w:rPr>
            </w:pPr>
            <w:r>
              <w:rPr>
                <w:sz w:val="21"/>
                <w:szCs w:val="21"/>
                <w:highlight w:val="none"/>
              </w:rPr>
              <w:t>15</w:t>
            </w:r>
          </w:p>
          <w:p w14:paraId="2DF5AB07">
            <w:pPr>
              <w:widowControl/>
              <w:snapToGrid w:val="0"/>
              <w:jc w:val="center"/>
              <w:rPr>
                <w:sz w:val="21"/>
                <w:szCs w:val="21"/>
                <w:highlight w:val="none"/>
              </w:rPr>
            </w:pPr>
            <w:r>
              <w:rPr>
                <w:sz w:val="21"/>
                <w:szCs w:val="21"/>
                <w:highlight w:val="none"/>
              </w:rPr>
              <w:t>9</w:t>
            </w:r>
          </w:p>
        </w:tc>
        <w:tc>
          <w:tcPr>
            <w:tcW w:w="301" w:type="pct"/>
            <w:noWrap w:val="0"/>
            <w:vAlign w:val="center"/>
          </w:tcPr>
          <w:p w14:paraId="3CA0DB17">
            <w:pPr>
              <w:widowControl/>
              <w:snapToGrid w:val="0"/>
              <w:jc w:val="center"/>
              <w:rPr>
                <w:sz w:val="21"/>
                <w:szCs w:val="21"/>
                <w:highlight w:val="none"/>
              </w:rPr>
            </w:pPr>
            <w:r>
              <w:rPr>
                <w:sz w:val="21"/>
                <w:szCs w:val="21"/>
                <w:highlight w:val="none"/>
              </w:rPr>
              <w:t>连续</w:t>
            </w:r>
          </w:p>
        </w:tc>
        <w:tc>
          <w:tcPr>
            <w:tcW w:w="1225" w:type="pct"/>
            <w:vMerge w:val="continue"/>
            <w:noWrap w:val="0"/>
            <w:vAlign w:val="center"/>
          </w:tcPr>
          <w:p w14:paraId="1F756DAA">
            <w:pPr>
              <w:widowControl/>
              <w:snapToGrid w:val="0"/>
              <w:jc w:val="center"/>
              <w:rPr>
                <w:sz w:val="21"/>
                <w:szCs w:val="21"/>
                <w:highlight w:val="none"/>
              </w:rPr>
            </w:pPr>
          </w:p>
        </w:tc>
      </w:tr>
      <w:tr w14:paraId="2AF4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96" w:type="pct"/>
            <w:vMerge w:val="continue"/>
            <w:noWrap w:val="0"/>
            <w:vAlign w:val="center"/>
          </w:tcPr>
          <w:p w14:paraId="0B3E6097">
            <w:pPr>
              <w:widowControl/>
              <w:snapToGrid w:val="0"/>
              <w:jc w:val="center"/>
              <w:rPr>
                <w:sz w:val="21"/>
                <w:szCs w:val="21"/>
                <w:highlight w:val="none"/>
              </w:rPr>
            </w:pPr>
          </w:p>
        </w:tc>
        <w:tc>
          <w:tcPr>
            <w:tcW w:w="712" w:type="pct"/>
            <w:noWrap w:val="0"/>
            <w:vAlign w:val="center"/>
          </w:tcPr>
          <w:p w14:paraId="045C0B53">
            <w:pPr>
              <w:widowControl/>
              <w:snapToGrid w:val="0"/>
              <w:jc w:val="center"/>
              <w:rPr>
                <w:sz w:val="21"/>
                <w:szCs w:val="21"/>
                <w:highlight w:val="none"/>
              </w:rPr>
            </w:pPr>
            <w:r>
              <w:rPr>
                <w:sz w:val="21"/>
                <w:szCs w:val="21"/>
                <w:highlight w:val="none"/>
              </w:rPr>
              <w:t>火炬系统</w:t>
            </w:r>
          </w:p>
        </w:tc>
        <w:tc>
          <w:tcPr>
            <w:tcW w:w="795" w:type="pct"/>
            <w:noWrap w:val="0"/>
            <w:vAlign w:val="center"/>
          </w:tcPr>
          <w:p w14:paraId="66B059AE">
            <w:pPr>
              <w:widowControl/>
              <w:snapToGrid w:val="0"/>
              <w:jc w:val="center"/>
              <w:rPr>
                <w:sz w:val="21"/>
                <w:szCs w:val="21"/>
                <w:highlight w:val="none"/>
              </w:rPr>
            </w:pPr>
            <w:r>
              <w:rPr>
                <w:sz w:val="21"/>
                <w:szCs w:val="21"/>
                <w:highlight w:val="none"/>
              </w:rPr>
              <w:t>气液分离罐排水及水封</w:t>
            </w:r>
            <w:r>
              <w:rPr>
                <w:rFonts w:hint="eastAsia"/>
                <w:sz w:val="21"/>
                <w:szCs w:val="21"/>
                <w:highlight w:val="none"/>
                <w:lang w:eastAsia="zh-CN"/>
              </w:rPr>
              <w:t>罐</w:t>
            </w:r>
            <w:r>
              <w:rPr>
                <w:sz w:val="21"/>
                <w:szCs w:val="21"/>
                <w:highlight w:val="none"/>
              </w:rPr>
              <w:t>排水</w:t>
            </w:r>
          </w:p>
        </w:tc>
        <w:tc>
          <w:tcPr>
            <w:tcW w:w="628" w:type="pct"/>
            <w:noWrap w:val="0"/>
            <w:vAlign w:val="center"/>
          </w:tcPr>
          <w:p w14:paraId="129A5B10">
            <w:pPr>
              <w:widowControl/>
              <w:snapToGrid w:val="0"/>
              <w:jc w:val="center"/>
              <w:rPr>
                <w:sz w:val="21"/>
                <w:szCs w:val="21"/>
                <w:highlight w:val="none"/>
              </w:rPr>
            </w:pPr>
            <w:r>
              <w:rPr>
                <w:sz w:val="21"/>
                <w:szCs w:val="21"/>
                <w:highlight w:val="none"/>
              </w:rPr>
              <w:t>1</w:t>
            </w:r>
          </w:p>
        </w:tc>
        <w:tc>
          <w:tcPr>
            <w:tcW w:w="413" w:type="pct"/>
            <w:noWrap w:val="0"/>
            <w:vAlign w:val="center"/>
          </w:tcPr>
          <w:p w14:paraId="5D4A3540">
            <w:pPr>
              <w:widowControl/>
              <w:snapToGrid w:val="0"/>
              <w:jc w:val="center"/>
              <w:rPr>
                <w:sz w:val="21"/>
                <w:szCs w:val="21"/>
                <w:highlight w:val="none"/>
              </w:rPr>
            </w:pPr>
            <w:r>
              <w:rPr>
                <w:sz w:val="21"/>
                <w:szCs w:val="21"/>
                <w:highlight w:val="none"/>
              </w:rPr>
              <w:t>CODcr</w:t>
            </w:r>
          </w:p>
          <w:p w14:paraId="65511BF4">
            <w:pPr>
              <w:widowControl/>
              <w:snapToGrid w:val="0"/>
              <w:jc w:val="center"/>
              <w:rPr>
                <w:sz w:val="21"/>
                <w:szCs w:val="21"/>
                <w:highlight w:val="none"/>
              </w:rPr>
            </w:pPr>
            <w:r>
              <w:rPr>
                <w:sz w:val="21"/>
                <w:szCs w:val="21"/>
                <w:highlight w:val="none"/>
              </w:rPr>
              <w:t>油</w:t>
            </w:r>
          </w:p>
        </w:tc>
        <w:tc>
          <w:tcPr>
            <w:tcW w:w="528" w:type="pct"/>
            <w:noWrap w:val="0"/>
            <w:vAlign w:val="center"/>
          </w:tcPr>
          <w:p w14:paraId="55D2AD40">
            <w:pPr>
              <w:widowControl/>
              <w:snapToGrid w:val="0"/>
              <w:jc w:val="center"/>
              <w:rPr>
                <w:sz w:val="21"/>
                <w:szCs w:val="21"/>
                <w:highlight w:val="none"/>
              </w:rPr>
            </w:pPr>
            <w:r>
              <w:rPr>
                <w:sz w:val="21"/>
                <w:szCs w:val="21"/>
                <w:highlight w:val="none"/>
              </w:rPr>
              <w:t>300~500</w:t>
            </w:r>
          </w:p>
          <w:p w14:paraId="3A99C692">
            <w:pPr>
              <w:widowControl/>
              <w:snapToGrid w:val="0"/>
              <w:jc w:val="center"/>
              <w:rPr>
                <w:sz w:val="21"/>
                <w:szCs w:val="21"/>
                <w:highlight w:val="none"/>
              </w:rPr>
            </w:pPr>
            <w:r>
              <w:rPr>
                <w:sz w:val="21"/>
                <w:szCs w:val="21"/>
                <w:highlight w:val="none"/>
              </w:rPr>
              <w:t>&lt;500</w:t>
            </w:r>
          </w:p>
        </w:tc>
        <w:tc>
          <w:tcPr>
            <w:tcW w:w="301" w:type="pct"/>
            <w:noWrap w:val="0"/>
            <w:vAlign w:val="center"/>
          </w:tcPr>
          <w:p w14:paraId="74A4BB22">
            <w:pPr>
              <w:widowControl/>
              <w:snapToGrid w:val="0"/>
              <w:jc w:val="center"/>
              <w:rPr>
                <w:sz w:val="21"/>
                <w:szCs w:val="21"/>
                <w:highlight w:val="none"/>
              </w:rPr>
            </w:pPr>
            <w:r>
              <w:rPr>
                <w:sz w:val="21"/>
                <w:szCs w:val="21"/>
                <w:highlight w:val="none"/>
              </w:rPr>
              <w:t>间断</w:t>
            </w:r>
          </w:p>
        </w:tc>
        <w:tc>
          <w:tcPr>
            <w:tcW w:w="1225" w:type="pct"/>
            <w:noWrap w:val="0"/>
            <w:vAlign w:val="center"/>
          </w:tcPr>
          <w:p w14:paraId="12BBFBEF">
            <w:pPr>
              <w:widowControl/>
              <w:snapToGrid w:val="0"/>
              <w:jc w:val="center"/>
              <w:rPr>
                <w:rFonts w:hint="eastAsia" w:eastAsia="宋体"/>
                <w:sz w:val="21"/>
                <w:szCs w:val="21"/>
                <w:highlight w:val="none"/>
                <w:lang w:eastAsia="zh-CN"/>
              </w:rPr>
            </w:pPr>
            <w:r>
              <w:rPr>
                <w:sz w:val="21"/>
                <w:szCs w:val="21"/>
                <w:highlight w:val="none"/>
              </w:rPr>
              <w:t>去</w:t>
            </w:r>
            <w:r>
              <w:rPr>
                <w:rFonts w:hint="eastAsia"/>
                <w:sz w:val="21"/>
                <w:szCs w:val="21"/>
                <w:highlight w:val="none"/>
                <w:lang w:eastAsia="zh-CN"/>
              </w:rPr>
              <w:t>污水处理厂</w:t>
            </w:r>
          </w:p>
        </w:tc>
      </w:tr>
      <w:tr w14:paraId="1169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7704A541">
            <w:pPr>
              <w:widowControl/>
              <w:snapToGrid w:val="0"/>
              <w:jc w:val="center"/>
              <w:rPr>
                <w:sz w:val="21"/>
                <w:szCs w:val="21"/>
                <w:highlight w:val="none"/>
              </w:rPr>
            </w:pPr>
            <w:r>
              <w:rPr>
                <w:sz w:val="21"/>
                <w:szCs w:val="21"/>
                <w:highlight w:val="none"/>
              </w:rPr>
              <w:t>地面冲洗水</w:t>
            </w:r>
          </w:p>
        </w:tc>
        <w:tc>
          <w:tcPr>
            <w:tcW w:w="628" w:type="pct"/>
            <w:noWrap w:val="0"/>
            <w:vAlign w:val="center"/>
          </w:tcPr>
          <w:p w14:paraId="12F6E15C">
            <w:pPr>
              <w:widowControl/>
              <w:snapToGrid w:val="0"/>
              <w:jc w:val="center"/>
              <w:rPr>
                <w:sz w:val="21"/>
                <w:szCs w:val="21"/>
                <w:highlight w:val="none"/>
              </w:rPr>
            </w:pPr>
            <w:r>
              <w:rPr>
                <w:sz w:val="21"/>
                <w:szCs w:val="21"/>
                <w:highlight w:val="none"/>
              </w:rPr>
              <w:t>5</w:t>
            </w:r>
          </w:p>
        </w:tc>
        <w:tc>
          <w:tcPr>
            <w:tcW w:w="413" w:type="pct"/>
            <w:noWrap w:val="0"/>
            <w:vAlign w:val="center"/>
          </w:tcPr>
          <w:p w14:paraId="3242E174">
            <w:pPr>
              <w:widowControl/>
              <w:snapToGrid w:val="0"/>
              <w:jc w:val="center"/>
              <w:rPr>
                <w:sz w:val="21"/>
                <w:szCs w:val="21"/>
                <w:highlight w:val="none"/>
              </w:rPr>
            </w:pPr>
            <w:r>
              <w:rPr>
                <w:sz w:val="21"/>
                <w:szCs w:val="21"/>
                <w:highlight w:val="none"/>
              </w:rPr>
              <w:t>COD</w:t>
            </w:r>
          </w:p>
          <w:p w14:paraId="374E0B28">
            <w:pPr>
              <w:widowControl/>
              <w:snapToGrid w:val="0"/>
              <w:jc w:val="center"/>
              <w:rPr>
                <w:sz w:val="21"/>
                <w:szCs w:val="21"/>
                <w:highlight w:val="none"/>
              </w:rPr>
            </w:pPr>
            <w:r>
              <w:rPr>
                <w:sz w:val="21"/>
                <w:szCs w:val="21"/>
                <w:highlight w:val="none"/>
              </w:rPr>
              <w:t>SS</w:t>
            </w:r>
          </w:p>
          <w:p w14:paraId="66D241B2">
            <w:pPr>
              <w:widowControl/>
              <w:snapToGrid w:val="0"/>
              <w:jc w:val="center"/>
              <w:rPr>
                <w:sz w:val="21"/>
                <w:szCs w:val="21"/>
                <w:highlight w:val="none"/>
              </w:rPr>
            </w:pPr>
            <w:r>
              <w:rPr>
                <w:sz w:val="21"/>
                <w:szCs w:val="21"/>
                <w:highlight w:val="none"/>
              </w:rPr>
              <w:t>油</w:t>
            </w:r>
          </w:p>
        </w:tc>
        <w:tc>
          <w:tcPr>
            <w:tcW w:w="528" w:type="pct"/>
            <w:noWrap w:val="0"/>
            <w:vAlign w:val="center"/>
          </w:tcPr>
          <w:p w14:paraId="6B62135E">
            <w:pPr>
              <w:widowControl/>
              <w:snapToGrid w:val="0"/>
              <w:jc w:val="center"/>
              <w:rPr>
                <w:sz w:val="21"/>
                <w:szCs w:val="21"/>
                <w:highlight w:val="none"/>
              </w:rPr>
            </w:pPr>
            <w:r>
              <w:rPr>
                <w:sz w:val="21"/>
                <w:szCs w:val="21"/>
                <w:highlight w:val="none"/>
              </w:rPr>
              <w:t>&lt;700</w:t>
            </w:r>
          </w:p>
          <w:p w14:paraId="458C9E8D">
            <w:pPr>
              <w:widowControl/>
              <w:snapToGrid w:val="0"/>
              <w:jc w:val="center"/>
              <w:rPr>
                <w:sz w:val="21"/>
                <w:szCs w:val="21"/>
                <w:highlight w:val="none"/>
              </w:rPr>
            </w:pPr>
            <w:r>
              <w:rPr>
                <w:sz w:val="21"/>
                <w:szCs w:val="21"/>
                <w:highlight w:val="none"/>
              </w:rPr>
              <w:t>&lt;800</w:t>
            </w:r>
          </w:p>
          <w:p w14:paraId="296E3247">
            <w:pPr>
              <w:widowControl/>
              <w:snapToGrid w:val="0"/>
              <w:jc w:val="center"/>
              <w:rPr>
                <w:sz w:val="21"/>
                <w:szCs w:val="21"/>
                <w:highlight w:val="none"/>
              </w:rPr>
            </w:pPr>
            <w:r>
              <w:rPr>
                <w:sz w:val="21"/>
                <w:szCs w:val="21"/>
                <w:highlight w:val="none"/>
              </w:rPr>
              <w:t>500</w:t>
            </w:r>
          </w:p>
        </w:tc>
        <w:tc>
          <w:tcPr>
            <w:tcW w:w="301" w:type="pct"/>
            <w:noWrap w:val="0"/>
            <w:vAlign w:val="center"/>
          </w:tcPr>
          <w:p w14:paraId="042977EF">
            <w:pPr>
              <w:widowControl/>
              <w:snapToGrid w:val="0"/>
              <w:jc w:val="center"/>
              <w:rPr>
                <w:sz w:val="21"/>
                <w:szCs w:val="21"/>
                <w:highlight w:val="none"/>
              </w:rPr>
            </w:pPr>
            <w:r>
              <w:rPr>
                <w:sz w:val="21"/>
                <w:szCs w:val="21"/>
                <w:highlight w:val="none"/>
              </w:rPr>
              <w:t>间断</w:t>
            </w:r>
          </w:p>
        </w:tc>
        <w:tc>
          <w:tcPr>
            <w:tcW w:w="1225" w:type="pct"/>
            <w:noWrap w:val="0"/>
            <w:vAlign w:val="center"/>
          </w:tcPr>
          <w:p w14:paraId="5578A5F9">
            <w:pPr>
              <w:widowControl/>
              <w:snapToGrid w:val="0"/>
              <w:jc w:val="center"/>
              <w:rPr>
                <w:sz w:val="21"/>
                <w:szCs w:val="21"/>
                <w:highlight w:val="none"/>
              </w:rPr>
            </w:pPr>
            <w:r>
              <w:rPr>
                <w:sz w:val="21"/>
                <w:szCs w:val="21"/>
                <w:highlight w:val="none"/>
              </w:rPr>
              <w:t>去厂内</w:t>
            </w:r>
            <w:r>
              <w:rPr>
                <w:rFonts w:hint="eastAsia"/>
                <w:sz w:val="21"/>
                <w:szCs w:val="21"/>
                <w:highlight w:val="none"/>
                <w:lang w:eastAsia="zh-CN"/>
              </w:rPr>
              <w:t>污水处理厂进行</w:t>
            </w:r>
            <w:r>
              <w:rPr>
                <w:sz w:val="21"/>
                <w:szCs w:val="21"/>
                <w:highlight w:val="none"/>
              </w:rPr>
              <w:t>含油污水预处理</w:t>
            </w:r>
          </w:p>
        </w:tc>
      </w:tr>
      <w:tr w14:paraId="1463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17DF91D3">
            <w:pPr>
              <w:widowControl/>
              <w:snapToGrid w:val="0"/>
              <w:jc w:val="center"/>
              <w:rPr>
                <w:sz w:val="21"/>
                <w:szCs w:val="21"/>
                <w:highlight w:val="none"/>
              </w:rPr>
            </w:pPr>
            <w:r>
              <w:rPr>
                <w:sz w:val="21"/>
                <w:szCs w:val="21"/>
                <w:highlight w:val="none"/>
              </w:rPr>
              <w:t>生活污水</w:t>
            </w:r>
          </w:p>
        </w:tc>
        <w:tc>
          <w:tcPr>
            <w:tcW w:w="628" w:type="pct"/>
            <w:noWrap w:val="0"/>
            <w:vAlign w:val="center"/>
          </w:tcPr>
          <w:p w14:paraId="6AF71BFE">
            <w:pPr>
              <w:widowControl/>
              <w:snapToGrid w:val="0"/>
              <w:jc w:val="center"/>
              <w:rPr>
                <w:sz w:val="21"/>
                <w:szCs w:val="21"/>
                <w:highlight w:val="none"/>
              </w:rPr>
            </w:pPr>
            <w:r>
              <w:rPr>
                <w:sz w:val="21"/>
                <w:szCs w:val="21"/>
                <w:highlight w:val="none"/>
              </w:rPr>
              <w:t>20</w:t>
            </w:r>
          </w:p>
        </w:tc>
        <w:tc>
          <w:tcPr>
            <w:tcW w:w="413" w:type="pct"/>
            <w:noWrap w:val="0"/>
            <w:vAlign w:val="center"/>
          </w:tcPr>
          <w:p w14:paraId="1B983E4B">
            <w:pPr>
              <w:widowControl/>
              <w:snapToGrid w:val="0"/>
              <w:jc w:val="center"/>
              <w:rPr>
                <w:sz w:val="21"/>
                <w:szCs w:val="21"/>
                <w:highlight w:val="none"/>
              </w:rPr>
            </w:pPr>
            <w:r>
              <w:rPr>
                <w:sz w:val="21"/>
                <w:szCs w:val="21"/>
                <w:highlight w:val="none"/>
              </w:rPr>
              <w:t>COD</w:t>
            </w:r>
          </w:p>
          <w:p w14:paraId="544EA6CF">
            <w:pPr>
              <w:widowControl/>
              <w:snapToGrid w:val="0"/>
              <w:jc w:val="center"/>
              <w:rPr>
                <w:sz w:val="21"/>
                <w:szCs w:val="21"/>
                <w:highlight w:val="none"/>
              </w:rPr>
            </w:pPr>
            <w:r>
              <w:rPr>
                <w:sz w:val="21"/>
                <w:szCs w:val="21"/>
                <w:highlight w:val="none"/>
              </w:rPr>
              <w:t>BOD</w:t>
            </w:r>
          </w:p>
          <w:p w14:paraId="24C05B8D">
            <w:pPr>
              <w:widowControl/>
              <w:snapToGrid w:val="0"/>
              <w:jc w:val="center"/>
              <w:rPr>
                <w:sz w:val="21"/>
                <w:szCs w:val="21"/>
                <w:highlight w:val="none"/>
              </w:rPr>
            </w:pPr>
            <w:r>
              <w:rPr>
                <w:sz w:val="21"/>
                <w:szCs w:val="21"/>
                <w:highlight w:val="none"/>
              </w:rPr>
              <w:t>氨氮</w:t>
            </w:r>
          </w:p>
          <w:p w14:paraId="3D94AE62">
            <w:pPr>
              <w:widowControl/>
              <w:snapToGrid w:val="0"/>
              <w:jc w:val="center"/>
              <w:rPr>
                <w:sz w:val="21"/>
                <w:szCs w:val="21"/>
                <w:highlight w:val="none"/>
              </w:rPr>
            </w:pPr>
            <w:r>
              <w:rPr>
                <w:sz w:val="21"/>
                <w:szCs w:val="21"/>
                <w:highlight w:val="none"/>
              </w:rPr>
              <w:t>SS</w:t>
            </w:r>
          </w:p>
          <w:p w14:paraId="1BA81F7C">
            <w:pPr>
              <w:widowControl/>
              <w:snapToGrid w:val="0"/>
              <w:jc w:val="center"/>
              <w:rPr>
                <w:sz w:val="21"/>
                <w:szCs w:val="21"/>
                <w:highlight w:val="none"/>
              </w:rPr>
            </w:pPr>
          </w:p>
        </w:tc>
        <w:tc>
          <w:tcPr>
            <w:tcW w:w="528" w:type="pct"/>
            <w:noWrap w:val="0"/>
            <w:vAlign w:val="center"/>
          </w:tcPr>
          <w:p w14:paraId="77D51F5F">
            <w:pPr>
              <w:widowControl/>
              <w:snapToGrid w:val="0"/>
              <w:jc w:val="center"/>
              <w:rPr>
                <w:sz w:val="21"/>
                <w:szCs w:val="21"/>
                <w:highlight w:val="none"/>
              </w:rPr>
            </w:pPr>
            <w:r>
              <w:rPr>
                <w:sz w:val="21"/>
                <w:szCs w:val="21"/>
                <w:highlight w:val="none"/>
              </w:rPr>
              <w:t>300~500</w:t>
            </w:r>
          </w:p>
          <w:p w14:paraId="21300377">
            <w:pPr>
              <w:widowControl/>
              <w:snapToGrid w:val="0"/>
              <w:jc w:val="center"/>
              <w:rPr>
                <w:sz w:val="21"/>
                <w:szCs w:val="21"/>
                <w:highlight w:val="none"/>
              </w:rPr>
            </w:pPr>
            <w:r>
              <w:rPr>
                <w:sz w:val="21"/>
                <w:szCs w:val="21"/>
                <w:highlight w:val="none"/>
              </w:rPr>
              <w:t>150~300</w:t>
            </w:r>
          </w:p>
          <w:p w14:paraId="2BE3F172">
            <w:pPr>
              <w:widowControl/>
              <w:snapToGrid w:val="0"/>
              <w:jc w:val="center"/>
              <w:rPr>
                <w:sz w:val="21"/>
                <w:szCs w:val="21"/>
                <w:highlight w:val="none"/>
              </w:rPr>
            </w:pPr>
            <w:r>
              <w:rPr>
                <w:sz w:val="21"/>
                <w:szCs w:val="21"/>
                <w:highlight w:val="none"/>
              </w:rPr>
              <w:t>20~50</w:t>
            </w:r>
          </w:p>
          <w:p w14:paraId="3B5A7646">
            <w:pPr>
              <w:widowControl/>
              <w:snapToGrid w:val="0"/>
              <w:jc w:val="center"/>
              <w:rPr>
                <w:sz w:val="21"/>
                <w:szCs w:val="21"/>
                <w:highlight w:val="none"/>
              </w:rPr>
            </w:pPr>
            <w:r>
              <w:rPr>
                <w:sz w:val="21"/>
                <w:szCs w:val="21"/>
                <w:highlight w:val="none"/>
              </w:rPr>
              <w:t>100~300</w:t>
            </w:r>
          </w:p>
        </w:tc>
        <w:tc>
          <w:tcPr>
            <w:tcW w:w="301" w:type="pct"/>
            <w:noWrap w:val="0"/>
            <w:vAlign w:val="center"/>
          </w:tcPr>
          <w:p w14:paraId="79352D7C">
            <w:pPr>
              <w:widowControl/>
              <w:snapToGrid w:val="0"/>
              <w:jc w:val="center"/>
              <w:rPr>
                <w:sz w:val="21"/>
                <w:szCs w:val="21"/>
                <w:highlight w:val="none"/>
              </w:rPr>
            </w:pPr>
            <w:r>
              <w:rPr>
                <w:sz w:val="21"/>
                <w:szCs w:val="21"/>
                <w:highlight w:val="none"/>
              </w:rPr>
              <w:t>间断</w:t>
            </w:r>
          </w:p>
        </w:tc>
        <w:tc>
          <w:tcPr>
            <w:tcW w:w="1225" w:type="pct"/>
            <w:noWrap w:val="0"/>
            <w:vAlign w:val="center"/>
          </w:tcPr>
          <w:p w14:paraId="27C2AB80">
            <w:pPr>
              <w:widowControl/>
              <w:snapToGrid w:val="0"/>
              <w:jc w:val="center"/>
              <w:rPr>
                <w:rFonts w:hint="eastAsia" w:eastAsia="宋体"/>
                <w:sz w:val="21"/>
                <w:szCs w:val="21"/>
                <w:highlight w:val="none"/>
                <w:lang w:eastAsia="zh-CN"/>
              </w:rPr>
            </w:pPr>
            <w:r>
              <w:rPr>
                <w:sz w:val="21"/>
                <w:szCs w:val="21"/>
                <w:highlight w:val="none"/>
              </w:rPr>
              <w:t>送厂内</w:t>
            </w:r>
            <w:r>
              <w:rPr>
                <w:rFonts w:hint="eastAsia"/>
                <w:sz w:val="21"/>
                <w:szCs w:val="21"/>
                <w:highlight w:val="none"/>
                <w:lang w:eastAsia="zh-CN"/>
              </w:rPr>
              <w:t>污水处理厂</w:t>
            </w:r>
          </w:p>
        </w:tc>
      </w:tr>
      <w:tr w14:paraId="4FB9C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36651CF8">
            <w:pPr>
              <w:widowControl/>
              <w:snapToGrid w:val="0"/>
              <w:jc w:val="center"/>
              <w:rPr>
                <w:sz w:val="21"/>
                <w:szCs w:val="21"/>
                <w:highlight w:val="none"/>
              </w:rPr>
            </w:pPr>
            <w:r>
              <w:rPr>
                <w:rFonts w:hint="eastAsia"/>
                <w:sz w:val="21"/>
                <w:szCs w:val="21"/>
                <w:highlight w:val="none"/>
                <w:lang w:eastAsia="zh-CN"/>
              </w:rPr>
              <w:t>污水处理厂</w:t>
            </w:r>
            <w:r>
              <w:rPr>
                <w:sz w:val="21"/>
                <w:szCs w:val="21"/>
                <w:highlight w:val="none"/>
              </w:rPr>
              <w:t>出水</w:t>
            </w:r>
          </w:p>
        </w:tc>
        <w:tc>
          <w:tcPr>
            <w:tcW w:w="628" w:type="pct"/>
            <w:noWrap w:val="0"/>
            <w:vAlign w:val="center"/>
          </w:tcPr>
          <w:p w14:paraId="7BBD7335">
            <w:pPr>
              <w:widowControl/>
              <w:snapToGrid w:val="0"/>
              <w:jc w:val="center"/>
              <w:rPr>
                <w:sz w:val="21"/>
                <w:szCs w:val="21"/>
                <w:highlight w:val="none"/>
              </w:rPr>
            </w:pPr>
            <w:r>
              <w:rPr>
                <w:sz w:val="21"/>
                <w:szCs w:val="21"/>
                <w:highlight w:val="none"/>
              </w:rPr>
              <w:t>900.66</w:t>
            </w:r>
          </w:p>
        </w:tc>
        <w:tc>
          <w:tcPr>
            <w:tcW w:w="413" w:type="pct"/>
            <w:noWrap w:val="0"/>
            <w:vAlign w:val="center"/>
          </w:tcPr>
          <w:p w14:paraId="69229EA4">
            <w:pPr>
              <w:jc w:val="center"/>
              <w:rPr>
                <w:sz w:val="21"/>
                <w:szCs w:val="21"/>
                <w:highlight w:val="none"/>
              </w:rPr>
            </w:pPr>
            <w:r>
              <w:rPr>
                <w:sz w:val="21"/>
                <w:szCs w:val="21"/>
                <w:highlight w:val="none"/>
              </w:rPr>
              <w:t>CODcr</w:t>
            </w:r>
          </w:p>
          <w:p w14:paraId="63E56BD5">
            <w:pPr>
              <w:jc w:val="center"/>
              <w:rPr>
                <w:sz w:val="21"/>
                <w:szCs w:val="21"/>
                <w:highlight w:val="none"/>
              </w:rPr>
            </w:pPr>
            <w:r>
              <w:rPr>
                <w:sz w:val="21"/>
                <w:szCs w:val="21"/>
                <w:highlight w:val="none"/>
              </w:rPr>
              <w:t>BOD</w:t>
            </w:r>
            <w:r>
              <w:rPr>
                <w:sz w:val="21"/>
                <w:szCs w:val="21"/>
                <w:highlight w:val="none"/>
                <w:vertAlign w:val="subscript"/>
              </w:rPr>
              <w:t>5</w:t>
            </w:r>
          </w:p>
          <w:p w14:paraId="6D43B59F">
            <w:pPr>
              <w:jc w:val="center"/>
              <w:rPr>
                <w:sz w:val="21"/>
                <w:szCs w:val="21"/>
                <w:highlight w:val="none"/>
              </w:rPr>
            </w:pPr>
            <w:r>
              <w:rPr>
                <w:sz w:val="21"/>
                <w:szCs w:val="21"/>
                <w:highlight w:val="none"/>
              </w:rPr>
              <w:t>NH</w:t>
            </w:r>
            <w:r>
              <w:rPr>
                <w:sz w:val="21"/>
                <w:szCs w:val="21"/>
                <w:highlight w:val="none"/>
                <w:vertAlign w:val="subscript"/>
              </w:rPr>
              <w:t>3</w:t>
            </w:r>
            <w:r>
              <w:rPr>
                <w:sz w:val="21"/>
                <w:szCs w:val="21"/>
                <w:highlight w:val="none"/>
              </w:rPr>
              <w:t>-N</w:t>
            </w:r>
          </w:p>
          <w:p w14:paraId="30C2B924">
            <w:pPr>
              <w:jc w:val="center"/>
              <w:rPr>
                <w:sz w:val="21"/>
                <w:szCs w:val="21"/>
                <w:highlight w:val="none"/>
              </w:rPr>
            </w:pPr>
            <w:r>
              <w:rPr>
                <w:sz w:val="21"/>
                <w:szCs w:val="21"/>
                <w:highlight w:val="none"/>
              </w:rPr>
              <w:t>TN</w:t>
            </w:r>
          </w:p>
          <w:p w14:paraId="22278B16">
            <w:pPr>
              <w:jc w:val="center"/>
              <w:rPr>
                <w:sz w:val="21"/>
                <w:szCs w:val="21"/>
                <w:highlight w:val="none"/>
              </w:rPr>
            </w:pPr>
            <w:r>
              <w:rPr>
                <w:sz w:val="21"/>
                <w:szCs w:val="21"/>
                <w:highlight w:val="none"/>
              </w:rPr>
              <w:t>石油类</w:t>
            </w:r>
          </w:p>
          <w:p w14:paraId="0B6465C2">
            <w:pPr>
              <w:jc w:val="center"/>
              <w:rPr>
                <w:sz w:val="21"/>
                <w:szCs w:val="21"/>
                <w:highlight w:val="none"/>
              </w:rPr>
            </w:pPr>
            <w:r>
              <w:rPr>
                <w:sz w:val="21"/>
                <w:szCs w:val="21"/>
                <w:highlight w:val="none"/>
              </w:rPr>
              <w:t>pH</w:t>
            </w:r>
          </w:p>
          <w:p w14:paraId="08800B38">
            <w:pPr>
              <w:jc w:val="center"/>
              <w:rPr>
                <w:sz w:val="21"/>
                <w:szCs w:val="21"/>
                <w:highlight w:val="none"/>
              </w:rPr>
            </w:pPr>
            <w:r>
              <w:rPr>
                <w:sz w:val="21"/>
                <w:szCs w:val="21"/>
                <w:highlight w:val="none"/>
              </w:rPr>
              <w:t>SS</w:t>
            </w:r>
          </w:p>
          <w:p w14:paraId="48D5272B">
            <w:pPr>
              <w:jc w:val="center"/>
              <w:rPr>
                <w:sz w:val="21"/>
                <w:szCs w:val="21"/>
                <w:highlight w:val="none"/>
              </w:rPr>
            </w:pPr>
            <w:r>
              <w:rPr>
                <w:sz w:val="21"/>
                <w:szCs w:val="21"/>
                <w:highlight w:val="none"/>
              </w:rPr>
              <w:t>TDS</w:t>
            </w:r>
          </w:p>
        </w:tc>
        <w:tc>
          <w:tcPr>
            <w:tcW w:w="528" w:type="pct"/>
            <w:noWrap w:val="0"/>
            <w:vAlign w:val="center"/>
          </w:tcPr>
          <w:p w14:paraId="77695D96">
            <w:pPr>
              <w:jc w:val="center"/>
              <w:rPr>
                <w:sz w:val="21"/>
                <w:szCs w:val="21"/>
                <w:highlight w:val="none"/>
              </w:rPr>
            </w:pPr>
            <w:r>
              <w:rPr>
                <w:sz w:val="21"/>
                <w:szCs w:val="21"/>
                <w:highlight w:val="none"/>
              </w:rPr>
              <w:t>≤50</w:t>
            </w:r>
          </w:p>
          <w:p w14:paraId="520FFCF3">
            <w:pPr>
              <w:jc w:val="center"/>
              <w:rPr>
                <w:sz w:val="21"/>
                <w:szCs w:val="21"/>
                <w:highlight w:val="none"/>
              </w:rPr>
            </w:pPr>
            <w:r>
              <w:rPr>
                <w:sz w:val="21"/>
                <w:szCs w:val="21"/>
                <w:highlight w:val="none"/>
              </w:rPr>
              <w:t>≤5</w:t>
            </w:r>
          </w:p>
          <w:p w14:paraId="6FB432F5">
            <w:pPr>
              <w:jc w:val="center"/>
              <w:rPr>
                <w:sz w:val="21"/>
                <w:szCs w:val="21"/>
                <w:highlight w:val="none"/>
              </w:rPr>
            </w:pPr>
            <w:r>
              <w:rPr>
                <w:sz w:val="21"/>
                <w:szCs w:val="21"/>
                <w:highlight w:val="none"/>
              </w:rPr>
              <w:t>≤5</w:t>
            </w:r>
          </w:p>
          <w:p w14:paraId="3CABF792">
            <w:pPr>
              <w:jc w:val="center"/>
              <w:rPr>
                <w:sz w:val="21"/>
                <w:szCs w:val="21"/>
                <w:highlight w:val="none"/>
              </w:rPr>
            </w:pPr>
            <w:r>
              <w:rPr>
                <w:sz w:val="21"/>
                <w:szCs w:val="21"/>
                <w:highlight w:val="none"/>
              </w:rPr>
              <w:t>≤35</w:t>
            </w:r>
          </w:p>
          <w:p w14:paraId="4C0DC201">
            <w:pPr>
              <w:jc w:val="center"/>
              <w:rPr>
                <w:sz w:val="21"/>
                <w:szCs w:val="21"/>
                <w:highlight w:val="none"/>
              </w:rPr>
            </w:pPr>
            <w:r>
              <w:rPr>
                <w:sz w:val="21"/>
                <w:szCs w:val="21"/>
                <w:highlight w:val="none"/>
              </w:rPr>
              <w:t>≤1</w:t>
            </w:r>
          </w:p>
          <w:p w14:paraId="6B48F522">
            <w:pPr>
              <w:jc w:val="center"/>
              <w:rPr>
                <w:sz w:val="21"/>
                <w:szCs w:val="21"/>
                <w:highlight w:val="none"/>
              </w:rPr>
            </w:pPr>
            <w:r>
              <w:rPr>
                <w:sz w:val="21"/>
                <w:szCs w:val="21"/>
                <w:highlight w:val="none"/>
              </w:rPr>
              <w:t>7~9</w:t>
            </w:r>
          </w:p>
          <w:p w14:paraId="59968454">
            <w:pPr>
              <w:jc w:val="center"/>
              <w:rPr>
                <w:sz w:val="21"/>
                <w:szCs w:val="21"/>
                <w:highlight w:val="none"/>
              </w:rPr>
            </w:pPr>
            <w:r>
              <w:rPr>
                <w:sz w:val="21"/>
                <w:szCs w:val="21"/>
                <w:highlight w:val="none"/>
              </w:rPr>
              <w:t>≤15</w:t>
            </w:r>
          </w:p>
          <w:p w14:paraId="08CF87DF">
            <w:pPr>
              <w:jc w:val="center"/>
              <w:rPr>
                <w:sz w:val="21"/>
                <w:szCs w:val="21"/>
                <w:highlight w:val="none"/>
              </w:rPr>
            </w:pPr>
            <w:r>
              <w:rPr>
                <w:sz w:val="21"/>
                <w:szCs w:val="21"/>
                <w:highlight w:val="none"/>
              </w:rPr>
              <w:t>≤2400</w:t>
            </w:r>
          </w:p>
        </w:tc>
        <w:tc>
          <w:tcPr>
            <w:tcW w:w="301" w:type="pct"/>
            <w:noWrap w:val="0"/>
            <w:vAlign w:val="center"/>
          </w:tcPr>
          <w:p w14:paraId="65D6D475">
            <w:pPr>
              <w:widowControl/>
              <w:snapToGrid w:val="0"/>
              <w:jc w:val="center"/>
              <w:rPr>
                <w:sz w:val="21"/>
                <w:szCs w:val="21"/>
                <w:highlight w:val="none"/>
              </w:rPr>
            </w:pPr>
            <w:r>
              <w:rPr>
                <w:sz w:val="21"/>
                <w:szCs w:val="21"/>
                <w:highlight w:val="none"/>
              </w:rPr>
              <w:t>连续</w:t>
            </w:r>
          </w:p>
        </w:tc>
        <w:tc>
          <w:tcPr>
            <w:tcW w:w="1225" w:type="pct"/>
            <w:noWrap w:val="0"/>
            <w:vAlign w:val="center"/>
          </w:tcPr>
          <w:p w14:paraId="1129B4E2">
            <w:pPr>
              <w:widowControl/>
              <w:snapToGrid w:val="0"/>
              <w:jc w:val="center"/>
              <w:rPr>
                <w:sz w:val="21"/>
                <w:szCs w:val="21"/>
                <w:highlight w:val="none"/>
              </w:rPr>
            </w:pPr>
            <w:r>
              <w:rPr>
                <w:rFonts w:hint="eastAsia"/>
                <w:sz w:val="21"/>
                <w:szCs w:val="21"/>
                <w:highlight w:val="none"/>
                <w:lang w:eastAsia="zh-CN"/>
              </w:rPr>
              <w:t>使用</w:t>
            </w:r>
            <w:r>
              <w:rPr>
                <w:sz w:val="21"/>
                <w:szCs w:val="21"/>
                <w:highlight w:val="none"/>
              </w:rPr>
              <w:t>废水处理及回用装置处理</w:t>
            </w:r>
          </w:p>
        </w:tc>
      </w:tr>
      <w:tr w14:paraId="4A580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03" w:type="pct"/>
            <w:gridSpan w:val="3"/>
            <w:noWrap w:val="0"/>
            <w:vAlign w:val="center"/>
          </w:tcPr>
          <w:p w14:paraId="531077C8">
            <w:pPr>
              <w:widowControl/>
              <w:snapToGrid w:val="0"/>
              <w:jc w:val="center"/>
              <w:rPr>
                <w:sz w:val="21"/>
                <w:szCs w:val="21"/>
                <w:highlight w:val="none"/>
              </w:rPr>
            </w:pPr>
            <w:r>
              <w:rPr>
                <w:sz w:val="21"/>
                <w:szCs w:val="21"/>
                <w:highlight w:val="none"/>
              </w:rPr>
              <w:t>废水处理及回用装置</w:t>
            </w:r>
            <w:r>
              <w:rPr>
                <w:rFonts w:hint="eastAsia"/>
                <w:sz w:val="21"/>
                <w:szCs w:val="21"/>
                <w:highlight w:val="none"/>
                <w:lang w:eastAsia="zh-CN"/>
              </w:rPr>
              <w:t>排放</w:t>
            </w:r>
            <w:r>
              <w:rPr>
                <w:sz w:val="21"/>
                <w:szCs w:val="21"/>
                <w:highlight w:val="none"/>
              </w:rPr>
              <w:t>浓盐水</w:t>
            </w:r>
          </w:p>
        </w:tc>
        <w:tc>
          <w:tcPr>
            <w:tcW w:w="628" w:type="pct"/>
            <w:noWrap w:val="0"/>
            <w:vAlign w:val="center"/>
          </w:tcPr>
          <w:p w14:paraId="739EF40A">
            <w:pPr>
              <w:widowControl/>
              <w:snapToGrid w:val="0"/>
              <w:jc w:val="center"/>
              <w:rPr>
                <w:sz w:val="21"/>
                <w:szCs w:val="21"/>
                <w:highlight w:val="none"/>
              </w:rPr>
            </w:pPr>
            <w:r>
              <w:rPr>
                <w:sz w:val="21"/>
                <w:szCs w:val="21"/>
                <w:highlight w:val="none"/>
              </w:rPr>
              <w:t>夏季487.36</w:t>
            </w:r>
          </w:p>
          <w:p w14:paraId="4BF3CEA5">
            <w:pPr>
              <w:widowControl/>
              <w:snapToGrid w:val="0"/>
              <w:jc w:val="center"/>
              <w:rPr>
                <w:sz w:val="21"/>
                <w:szCs w:val="21"/>
                <w:highlight w:val="none"/>
              </w:rPr>
            </w:pPr>
            <w:r>
              <w:rPr>
                <w:sz w:val="21"/>
                <w:szCs w:val="21"/>
                <w:highlight w:val="none"/>
              </w:rPr>
              <w:t>冬季454.76</w:t>
            </w:r>
          </w:p>
        </w:tc>
        <w:tc>
          <w:tcPr>
            <w:tcW w:w="413" w:type="pct"/>
            <w:noWrap w:val="0"/>
            <w:vAlign w:val="center"/>
          </w:tcPr>
          <w:p w14:paraId="3A41FE41">
            <w:pPr>
              <w:widowControl/>
              <w:snapToGrid w:val="0"/>
              <w:jc w:val="center"/>
              <w:rPr>
                <w:sz w:val="21"/>
                <w:szCs w:val="21"/>
                <w:highlight w:val="none"/>
              </w:rPr>
            </w:pPr>
            <w:r>
              <w:rPr>
                <w:sz w:val="21"/>
                <w:szCs w:val="21"/>
                <w:highlight w:val="none"/>
              </w:rPr>
              <w:t>pH</w:t>
            </w:r>
          </w:p>
          <w:p w14:paraId="50BD4936">
            <w:pPr>
              <w:widowControl/>
              <w:snapToGrid w:val="0"/>
              <w:jc w:val="center"/>
              <w:rPr>
                <w:sz w:val="21"/>
                <w:szCs w:val="21"/>
                <w:highlight w:val="none"/>
              </w:rPr>
            </w:pPr>
            <w:r>
              <w:rPr>
                <w:sz w:val="21"/>
                <w:szCs w:val="21"/>
                <w:highlight w:val="none"/>
              </w:rPr>
              <w:t>CODCr</w:t>
            </w:r>
          </w:p>
          <w:p w14:paraId="665EB4C0">
            <w:pPr>
              <w:widowControl/>
              <w:snapToGrid w:val="0"/>
              <w:jc w:val="center"/>
              <w:rPr>
                <w:sz w:val="21"/>
                <w:szCs w:val="21"/>
                <w:highlight w:val="none"/>
              </w:rPr>
            </w:pPr>
            <w:r>
              <w:rPr>
                <w:sz w:val="21"/>
                <w:szCs w:val="21"/>
                <w:highlight w:val="none"/>
              </w:rPr>
              <w:t>BOD5</w:t>
            </w:r>
          </w:p>
          <w:p w14:paraId="7CA26B34">
            <w:pPr>
              <w:widowControl/>
              <w:snapToGrid w:val="0"/>
              <w:jc w:val="center"/>
              <w:rPr>
                <w:sz w:val="21"/>
                <w:szCs w:val="21"/>
                <w:highlight w:val="none"/>
              </w:rPr>
            </w:pPr>
            <w:r>
              <w:rPr>
                <w:sz w:val="21"/>
                <w:szCs w:val="21"/>
                <w:highlight w:val="none"/>
              </w:rPr>
              <w:t>TDS</w:t>
            </w:r>
          </w:p>
        </w:tc>
        <w:tc>
          <w:tcPr>
            <w:tcW w:w="528" w:type="pct"/>
            <w:noWrap w:val="0"/>
            <w:vAlign w:val="center"/>
          </w:tcPr>
          <w:p w14:paraId="02095F13">
            <w:pPr>
              <w:widowControl/>
              <w:snapToGrid w:val="0"/>
              <w:jc w:val="center"/>
              <w:rPr>
                <w:sz w:val="21"/>
                <w:szCs w:val="21"/>
                <w:highlight w:val="none"/>
              </w:rPr>
            </w:pPr>
            <w:r>
              <w:rPr>
                <w:sz w:val="21"/>
                <w:szCs w:val="21"/>
                <w:highlight w:val="none"/>
              </w:rPr>
              <w:t>~8</w:t>
            </w:r>
          </w:p>
          <w:p w14:paraId="2F756163">
            <w:pPr>
              <w:widowControl/>
              <w:snapToGrid w:val="0"/>
              <w:jc w:val="center"/>
              <w:rPr>
                <w:sz w:val="21"/>
                <w:szCs w:val="21"/>
                <w:highlight w:val="none"/>
              </w:rPr>
            </w:pPr>
            <w:r>
              <w:rPr>
                <w:sz w:val="21"/>
                <w:szCs w:val="21"/>
                <w:highlight w:val="none"/>
              </w:rPr>
              <w:t>200</w:t>
            </w:r>
          </w:p>
          <w:p w14:paraId="4CD46172">
            <w:pPr>
              <w:widowControl/>
              <w:snapToGrid w:val="0"/>
              <w:jc w:val="center"/>
              <w:rPr>
                <w:sz w:val="21"/>
                <w:szCs w:val="21"/>
                <w:highlight w:val="none"/>
              </w:rPr>
            </w:pPr>
            <w:r>
              <w:rPr>
                <w:sz w:val="21"/>
                <w:szCs w:val="21"/>
                <w:highlight w:val="none"/>
              </w:rPr>
              <w:t>25</w:t>
            </w:r>
          </w:p>
          <w:p w14:paraId="236105B8">
            <w:pPr>
              <w:widowControl/>
              <w:snapToGrid w:val="0"/>
              <w:jc w:val="center"/>
              <w:rPr>
                <w:sz w:val="21"/>
                <w:szCs w:val="21"/>
                <w:highlight w:val="none"/>
              </w:rPr>
            </w:pPr>
            <w:r>
              <w:rPr>
                <w:sz w:val="21"/>
                <w:szCs w:val="21"/>
                <w:highlight w:val="none"/>
              </w:rPr>
              <w:t>10236</w:t>
            </w:r>
          </w:p>
        </w:tc>
        <w:tc>
          <w:tcPr>
            <w:tcW w:w="301" w:type="pct"/>
            <w:noWrap w:val="0"/>
            <w:vAlign w:val="center"/>
          </w:tcPr>
          <w:p w14:paraId="3442A4FE">
            <w:pPr>
              <w:widowControl/>
              <w:snapToGrid w:val="0"/>
              <w:jc w:val="center"/>
              <w:rPr>
                <w:sz w:val="21"/>
                <w:szCs w:val="21"/>
                <w:highlight w:val="none"/>
              </w:rPr>
            </w:pPr>
            <w:r>
              <w:rPr>
                <w:sz w:val="21"/>
                <w:szCs w:val="21"/>
                <w:highlight w:val="none"/>
              </w:rPr>
              <w:t>连续</w:t>
            </w:r>
          </w:p>
        </w:tc>
        <w:tc>
          <w:tcPr>
            <w:tcW w:w="1225" w:type="pct"/>
            <w:noWrap w:val="0"/>
            <w:vAlign w:val="center"/>
          </w:tcPr>
          <w:p w14:paraId="1A795997">
            <w:pPr>
              <w:widowControl/>
              <w:snapToGrid w:val="0"/>
              <w:jc w:val="center"/>
              <w:rPr>
                <w:rFonts w:hint="eastAsia" w:eastAsia="宋体"/>
                <w:sz w:val="21"/>
                <w:szCs w:val="21"/>
                <w:highlight w:val="none"/>
                <w:lang w:eastAsia="zh-CN"/>
              </w:rPr>
            </w:pPr>
            <w:r>
              <w:rPr>
                <w:rFonts w:hint="eastAsia"/>
                <w:sz w:val="21"/>
                <w:szCs w:val="21"/>
                <w:highlight w:val="none"/>
                <w:lang w:eastAsia="zh-CN"/>
              </w:rPr>
              <w:t>使用</w:t>
            </w:r>
            <w:r>
              <w:rPr>
                <w:sz w:val="21"/>
                <w:szCs w:val="21"/>
                <w:highlight w:val="none"/>
              </w:rPr>
              <w:t>高含盐</w:t>
            </w:r>
            <w:r>
              <w:rPr>
                <w:rFonts w:hint="eastAsia"/>
                <w:sz w:val="21"/>
                <w:szCs w:val="21"/>
                <w:highlight w:val="none"/>
                <w:lang w:eastAsia="zh-CN"/>
              </w:rPr>
              <w:t>废</w:t>
            </w:r>
            <w:r>
              <w:rPr>
                <w:sz w:val="21"/>
                <w:szCs w:val="21"/>
                <w:highlight w:val="none"/>
              </w:rPr>
              <w:t>水蒸发及结晶装置处理</w:t>
            </w:r>
            <w:r>
              <w:rPr>
                <w:rFonts w:hint="eastAsia"/>
                <w:sz w:val="21"/>
                <w:szCs w:val="21"/>
                <w:highlight w:val="none"/>
                <w:lang w:eastAsia="zh-CN"/>
              </w:rPr>
              <w:t>。</w:t>
            </w:r>
          </w:p>
        </w:tc>
      </w:tr>
    </w:tbl>
    <w:p w14:paraId="02F7997B">
      <w:pPr>
        <w:widowControl/>
        <w:snapToGrid w:val="0"/>
        <w:jc w:val="center"/>
        <w:rPr>
          <w:b/>
          <w:bCs/>
          <w:szCs w:val="21"/>
          <w:highlight w:val="none"/>
        </w:rPr>
      </w:pPr>
    </w:p>
    <w:p w14:paraId="6D27BFE3">
      <w:pPr>
        <w:widowControl/>
        <w:snapToGrid w:val="0"/>
        <w:jc w:val="center"/>
        <w:rPr>
          <w:b/>
          <w:bCs/>
          <w:szCs w:val="21"/>
          <w:highlight w:val="none"/>
        </w:rPr>
      </w:pPr>
    </w:p>
    <w:p w14:paraId="2C3CCD69">
      <w:pPr>
        <w:widowControl/>
        <w:snapToGrid w:val="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5：</w:t>
      </w:r>
      <w:r>
        <w:rPr>
          <w:b/>
          <w:bCs/>
          <w:szCs w:val="21"/>
          <w:highlight w:val="none"/>
        </w:rPr>
        <w:t>废水处理及回用1（生化合格出水处理）出口回用水水质监测结果（</w:t>
      </w:r>
      <w:r>
        <w:rPr>
          <w:b/>
          <w:bCs/>
          <w:spacing w:val="-2"/>
          <w:szCs w:val="21"/>
          <w:highlight w:val="none"/>
        </w:rPr>
        <w:t>mg</w:t>
      </w:r>
      <w:r>
        <w:rPr>
          <w:b/>
          <w:bCs/>
          <w:spacing w:val="2"/>
          <w:szCs w:val="21"/>
          <w:highlight w:val="none"/>
        </w:rPr>
        <w:t>/L</w:t>
      </w:r>
      <w:r>
        <w:rPr>
          <w:b/>
          <w:bCs/>
          <w:spacing w:val="-1"/>
          <w:szCs w:val="21"/>
          <w:highlight w:val="none"/>
        </w:rPr>
        <w:t>，</w:t>
      </w:r>
      <w:r>
        <w:rPr>
          <w:b/>
          <w:bCs/>
          <w:spacing w:val="2"/>
          <w:szCs w:val="21"/>
          <w:highlight w:val="none"/>
        </w:rPr>
        <w:t>特</w:t>
      </w:r>
      <w:r>
        <w:rPr>
          <w:b/>
          <w:bCs/>
          <w:spacing w:val="-1"/>
          <w:szCs w:val="21"/>
          <w:highlight w:val="none"/>
        </w:rPr>
        <w:t>殊</w:t>
      </w:r>
      <w:r>
        <w:rPr>
          <w:b/>
          <w:bCs/>
          <w:spacing w:val="2"/>
          <w:szCs w:val="21"/>
          <w:highlight w:val="none"/>
        </w:rPr>
        <w:t>项</w:t>
      </w:r>
      <w:r>
        <w:rPr>
          <w:b/>
          <w:bCs/>
          <w:spacing w:val="-1"/>
          <w:szCs w:val="21"/>
          <w:highlight w:val="none"/>
        </w:rPr>
        <w:t>目</w:t>
      </w:r>
      <w:r>
        <w:rPr>
          <w:b/>
          <w:bCs/>
          <w:spacing w:val="2"/>
          <w:szCs w:val="21"/>
          <w:highlight w:val="none"/>
        </w:rPr>
        <w:t>除</w:t>
      </w:r>
      <w:r>
        <w:rPr>
          <w:b/>
          <w:bCs/>
          <w:spacing w:val="-1"/>
          <w:szCs w:val="21"/>
          <w:highlight w:val="none"/>
        </w:rPr>
        <w:t>外</w:t>
      </w:r>
      <w:r>
        <w:rPr>
          <w:b/>
          <w:bCs/>
          <w:szCs w:val="21"/>
          <w:highlight w:val="none"/>
        </w:rPr>
        <w:t>）</w:t>
      </w:r>
    </w:p>
    <w:p w14:paraId="6E3D4815">
      <w:pPr>
        <w:kinsoku w:val="0"/>
        <w:overflowPunct w:val="0"/>
        <w:autoSpaceDE w:val="0"/>
        <w:autoSpaceDN w:val="0"/>
        <w:adjustRightInd w:val="0"/>
        <w:spacing w:before="9" w:line="50" w:lineRule="exact"/>
        <w:jc w:val="left"/>
        <w:rPr>
          <w:sz w:val="5"/>
          <w:szCs w:val="5"/>
          <w:highlight w:val="none"/>
        </w:rPr>
      </w:pPr>
      <w:bookmarkStart w:id="5" w:name="项目名称：内蒙古伊泰化工有限责任公司120万吨/年精细化学品项目水处理及零排放整"/>
      <w:bookmarkEnd w:id="5"/>
    </w:p>
    <w:p w14:paraId="682A31A9">
      <w:pPr>
        <w:kinsoku w:val="0"/>
        <w:overflowPunct w:val="0"/>
        <w:autoSpaceDE w:val="0"/>
        <w:autoSpaceDN w:val="0"/>
        <w:adjustRightInd w:val="0"/>
        <w:spacing w:before="3" w:line="60" w:lineRule="exact"/>
        <w:jc w:val="left"/>
        <w:rPr>
          <w:sz w:val="6"/>
          <w:szCs w:val="6"/>
          <w:highlight w:val="none"/>
        </w:rPr>
      </w:pPr>
    </w:p>
    <w:tbl>
      <w:tblPr>
        <w:tblStyle w:val="41"/>
        <w:tblW w:w="4999" w:type="pct"/>
        <w:jc w:val="center"/>
        <w:tblLayout w:type="autofit"/>
        <w:tblCellMar>
          <w:top w:w="0" w:type="dxa"/>
          <w:left w:w="0" w:type="dxa"/>
          <w:bottom w:w="0" w:type="dxa"/>
          <w:right w:w="0" w:type="dxa"/>
        </w:tblCellMar>
      </w:tblPr>
      <w:tblGrid>
        <w:gridCol w:w="2332"/>
        <w:gridCol w:w="1486"/>
        <w:gridCol w:w="1426"/>
        <w:gridCol w:w="1166"/>
        <w:gridCol w:w="1375"/>
        <w:gridCol w:w="1223"/>
        <w:gridCol w:w="1066"/>
        <w:gridCol w:w="1375"/>
        <w:gridCol w:w="1223"/>
        <w:gridCol w:w="1615"/>
      </w:tblGrid>
      <w:tr w14:paraId="50DB71EB">
        <w:tblPrEx>
          <w:tblCellMar>
            <w:top w:w="0" w:type="dxa"/>
            <w:left w:w="0" w:type="dxa"/>
            <w:bottom w:w="0" w:type="dxa"/>
            <w:right w:w="0" w:type="dxa"/>
          </w:tblCellMar>
        </w:tblPrEx>
        <w:trPr>
          <w:trHeight w:val="355" w:hRule="exact"/>
          <w:jc w:val="center"/>
        </w:trPr>
        <w:tc>
          <w:tcPr>
            <w:tcW w:w="816" w:type="pct"/>
            <w:vMerge w:val="restart"/>
            <w:tcBorders>
              <w:top w:val="single" w:color="auto" w:sz="4" w:space="0"/>
              <w:left w:val="single" w:color="auto" w:sz="4" w:space="0"/>
              <w:right w:val="single" w:color="000000" w:sz="4" w:space="0"/>
            </w:tcBorders>
            <w:noWrap w:val="0"/>
            <w:vAlign w:val="center"/>
          </w:tcPr>
          <w:p w14:paraId="7AA35387">
            <w:pPr>
              <w:kinsoku w:val="0"/>
              <w:overflowPunct w:val="0"/>
              <w:autoSpaceDE w:val="0"/>
              <w:autoSpaceDN w:val="0"/>
              <w:adjustRightInd w:val="0"/>
              <w:jc w:val="center"/>
              <w:rPr>
                <w:sz w:val="21"/>
                <w:szCs w:val="21"/>
                <w:highlight w:val="none"/>
              </w:rPr>
            </w:pPr>
            <w:r>
              <w:rPr>
                <w:spacing w:val="-1"/>
                <w:sz w:val="21"/>
                <w:szCs w:val="21"/>
                <w:highlight w:val="none"/>
              </w:rPr>
              <w:t>检</w:t>
            </w:r>
            <w:r>
              <w:rPr>
                <w:spacing w:val="2"/>
                <w:sz w:val="21"/>
                <w:szCs w:val="21"/>
                <w:highlight w:val="none"/>
              </w:rPr>
              <w:t>测</w:t>
            </w:r>
            <w:r>
              <w:rPr>
                <w:spacing w:val="-1"/>
                <w:sz w:val="21"/>
                <w:szCs w:val="21"/>
                <w:highlight w:val="none"/>
              </w:rPr>
              <w:t>因</w:t>
            </w:r>
            <w:r>
              <w:rPr>
                <w:sz w:val="21"/>
                <w:szCs w:val="21"/>
                <w:highlight w:val="none"/>
              </w:rPr>
              <w:t>子</w:t>
            </w:r>
          </w:p>
        </w:tc>
        <w:tc>
          <w:tcPr>
            <w:tcW w:w="4183" w:type="pct"/>
            <w:gridSpan w:val="9"/>
            <w:tcBorders>
              <w:top w:val="single" w:color="auto" w:sz="4" w:space="0"/>
              <w:left w:val="single" w:color="000000" w:sz="4" w:space="0"/>
              <w:bottom w:val="single" w:color="000000" w:sz="4" w:space="0"/>
              <w:right w:val="single" w:color="auto" w:sz="4" w:space="0"/>
            </w:tcBorders>
            <w:noWrap w:val="0"/>
            <w:vAlign w:val="top"/>
          </w:tcPr>
          <w:p w14:paraId="03DDB131">
            <w:pPr>
              <w:kinsoku w:val="0"/>
              <w:overflowPunct w:val="0"/>
              <w:autoSpaceDE w:val="0"/>
              <w:autoSpaceDN w:val="0"/>
              <w:adjustRightInd w:val="0"/>
              <w:jc w:val="center"/>
              <w:rPr>
                <w:sz w:val="21"/>
                <w:szCs w:val="21"/>
                <w:highlight w:val="none"/>
              </w:rPr>
            </w:pPr>
            <w:r>
              <w:rPr>
                <w:rFonts w:hint="eastAsia"/>
                <w:spacing w:val="-1"/>
                <w:sz w:val="21"/>
                <w:szCs w:val="21"/>
                <w:highlight w:val="none"/>
                <w:lang w:eastAsia="zh-CN"/>
              </w:rPr>
              <w:t>监测</w:t>
            </w:r>
            <w:r>
              <w:rPr>
                <w:spacing w:val="-1"/>
                <w:sz w:val="21"/>
                <w:szCs w:val="21"/>
                <w:highlight w:val="none"/>
              </w:rPr>
              <w:t>点</w:t>
            </w:r>
            <w:r>
              <w:rPr>
                <w:sz w:val="21"/>
                <w:szCs w:val="21"/>
                <w:highlight w:val="none"/>
              </w:rPr>
              <w:t>位</w:t>
            </w:r>
          </w:p>
        </w:tc>
      </w:tr>
      <w:tr w14:paraId="027E3A41">
        <w:tblPrEx>
          <w:tblCellMar>
            <w:top w:w="0" w:type="dxa"/>
            <w:left w:w="0" w:type="dxa"/>
            <w:bottom w:w="0" w:type="dxa"/>
            <w:right w:w="0" w:type="dxa"/>
          </w:tblCellMar>
        </w:tblPrEx>
        <w:trPr>
          <w:trHeight w:val="355" w:hRule="exact"/>
          <w:jc w:val="center"/>
        </w:trPr>
        <w:tc>
          <w:tcPr>
            <w:tcW w:w="816" w:type="pct"/>
            <w:vMerge w:val="continue"/>
            <w:tcBorders>
              <w:left w:val="single" w:color="auto" w:sz="4" w:space="0"/>
              <w:bottom w:val="single" w:color="auto" w:sz="4" w:space="0"/>
              <w:right w:val="single" w:color="000000" w:sz="4" w:space="0"/>
            </w:tcBorders>
            <w:noWrap w:val="0"/>
            <w:vAlign w:val="center"/>
          </w:tcPr>
          <w:p w14:paraId="4F158FAD">
            <w:pPr>
              <w:kinsoku w:val="0"/>
              <w:overflowPunct w:val="0"/>
              <w:autoSpaceDE w:val="0"/>
              <w:autoSpaceDN w:val="0"/>
              <w:adjustRightInd w:val="0"/>
              <w:jc w:val="center"/>
              <w:rPr>
                <w:sz w:val="21"/>
                <w:szCs w:val="21"/>
                <w:highlight w:val="none"/>
              </w:rPr>
            </w:pPr>
          </w:p>
        </w:tc>
        <w:tc>
          <w:tcPr>
            <w:tcW w:w="4183" w:type="pct"/>
            <w:gridSpan w:val="9"/>
            <w:tcBorders>
              <w:top w:val="single" w:color="000000" w:sz="4" w:space="0"/>
              <w:left w:val="single" w:color="000000" w:sz="4" w:space="0"/>
              <w:bottom w:val="single" w:color="auto" w:sz="4" w:space="0"/>
              <w:right w:val="single" w:color="auto" w:sz="4" w:space="0"/>
            </w:tcBorders>
            <w:noWrap w:val="0"/>
            <w:vAlign w:val="top"/>
          </w:tcPr>
          <w:p w14:paraId="470F1230">
            <w:pPr>
              <w:kinsoku w:val="0"/>
              <w:overflowPunct w:val="0"/>
              <w:autoSpaceDE w:val="0"/>
              <w:autoSpaceDN w:val="0"/>
              <w:adjustRightInd w:val="0"/>
              <w:jc w:val="center"/>
              <w:rPr>
                <w:sz w:val="21"/>
                <w:szCs w:val="21"/>
                <w:highlight w:val="none"/>
              </w:rPr>
            </w:pPr>
            <w:r>
              <w:rPr>
                <w:sz w:val="21"/>
                <w:szCs w:val="21"/>
                <w:highlight w:val="none"/>
              </w:rPr>
              <w:t>废水处理系统及回用单元回用工序1</w:t>
            </w:r>
          </w:p>
        </w:tc>
      </w:tr>
      <w:tr w14:paraId="0E6FBEF8">
        <w:tblPrEx>
          <w:tblCellMar>
            <w:top w:w="0" w:type="dxa"/>
            <w:left w:w="0" w:type="dxa"/>
            <w:bottom w:w="0" w:type="dxa"/>
            <w:right w:w="0" w:type="dxa"/>
          </w:tblCellMar>
        </w:tblPrEx>
        <w:trPr>
          <w:trHeight w:val="355" w:hRule="exact"/>
          <w:jc w:val="center"/>
        </w:trPr>
        <w:tc>
          <w:tcPr>
            <w:tcW w:w="816" w:type="pct"/>
            <w:vMerge w:val="continue"/>
            <w:tcBorders>
              <w:top w:val="single" w:color="auto" w:sz="4" w:space="0"/>
              <w:left w:val="single" w:color="auto" w:sz="4" w:space="0"/>
              <w:bottom w:val="single" w:color="000000" w:sz="4" w:space="0"/>
              <w:right w:val="single" w:color="000000" w:sz="4" w:space="0"/>
            </w:tcBorders>
            <w:noWrap w:val="0"/>
            <w:vAlign w:val="center"/>
          </w:tcPr>
          <w:p w14:paraId="29654774">
            <w:pPr>
              <w:kinsoku w:val="0"/>
              <w:overflowPunct w:val="0"/>
              <w:autoSpaceDE w:val="0"/>
              <w:autoSpaceDN w:val="0"/>
              <w:adjustRightInd w:val="0"/>
              <w:jc w:val="center"/>
              <w:rPr>
                <w:sz w:val="21"/>
                <w:szCs w:val="21"/>
                <w:highlight w:val="none"/>
              </w:rPr>
            </w:pPr>
          </w:p>
        </w:tc>
        <w:tc>
          <w:tcPr>
            <w:tcW w:w="520" w:type="pct"/>
            <w:tcBorders>
              <w:top w:val="single" w:color="auto" w:sz="4" w:space="0"/>
              <w:left w:val="single" w:color="000000" w:sz="4" w:space="0"/>
              <w:bottom w:val="single" w:color="000000" w:sz="4" w:space="0"/>
              <w:right w:val="single" w:color="000000" w:sz="4" w:space="0"/>
            </w:tcBorders>
            <w:noWrap w:val="0"/>
            <w:vAlign w:val="center"/>
          </w:tcPr>
          <w:p w14:paraId="6475A9C2">
            <w:pPr>
              <w:kinsoku w:val="0"/>
              <w:overflowPunct w:val="0"/>
              <w:autoSpaceDE w:val="0"/>
              <w:autoSpaceDN w:val="0"/>
              <w:adjustRightInd w:val="0"/>
              <w:jc w:val="center"/>
              <w:rPr>
                <w:sz w:val="21"/>
                <w:szCs w:val="21"/>
                <w:highlight w:val="none"/>
              </w:rPr>
            </w:pPr>
            <w:r>
              <w:rPr>
                <w:sz w:val="21"/>
                <w:szCs w:val="21"/>
                <w:highlight w:val="none"/>
              </w:rPr>
              <w:t>第1次</w:t>
            </w:r>
          </w:p>
        </w:tc>
        <w:tc>
          <w:tcPr>
            <w:tcW w:w="499" w:type="pct"/>
            <w:tcBorders>
              <w:top w:val="single" w:color="auto" w:sz="4" w:space="0"/>
              <w:left w:val="single" w:color="000000" w:sz="4" w:space="0"/>
              <w:bottom w:val="single" w:color="000000" w:sz="4" w:space="0"/>
              <w:right w:val="single" w:color="000000" w:sz="4" w:space="0"/>
            </w:tcBorders>
            <w:noWrap w:val="0"/>
            <w:vAlign w:val="center"/>
          </w:tcPr>
          <w:p w14:paraId="06AC46C3">
            <w:pPr>
              <w:kinsoku w:val="0"/>
              <w:overflowPunct w:val="0"/>
              <w:autoSpaceDE w:val="0"/>
              <w:autoSpaceDN w:val="0"/>
              <w:adjustRightInd w:val="0"/>
              <w:jc w:val="center"/>
              <w:rPr>
                <w:sz w:val="21"/>
                <w:szCs w:val="21"/>
                <w:highlight w:val="none"/>
              </w:rPr>
            </w:pPr>
            <w:r>
              <w:rPr>
                <w:sz w:val="21"/>
                <w:szCs w:val="21"/>
                <w:highlight w:val="none"/>
              </w:rPr>
              <w:t>第2次</w:t>
            </w:r>
          </w:p>
        </w:tc>
        <w:tc>
          <w:tcPr>
            <w:tcW w:w="408" w:type="pct"/>
            <w:tcBorders>
              <w:top w:val="single" w:color="auto" w:sz="4" w:space="0"/>
              <w:left w:val="single" w:color="000000" w:sz="4" w:space="0"/>
              <w:bottom w:val="single" w:color="000000" w:sz="4" w:space="0"/>
              <w:right w:val="single" w:color="000000" w:sz="4" w:space="0"/>
            </w:tcBorders>
            <w:noWrap w:val="0"/>
            <w:vAlign w:val="center"/>
          </w:tcPr>
          <w:p w14:paraId="343FBA8F">
            <w:pPr>
              <w:kinsoku w:val="0"/>
              <w:overflowPunct w:val="0"/>
              <w:autoSpaceDE w:val="0"/>
              <w:autoSpaceDN w:val="0"/>
              <w:adjustRightInd w:val="0"/>
              <w:jc w:val="center"/>
              <w:rPr>
                <w:sz w:val="21"/>
                <w:szCs w:val="21"/>
                <w:highlight w:val="none"/>
              </w:rPr>
            </w:pPr>
            <w:r>
              <w:rPr>
                <w:sz w:val="21"/>
                <w:szCs w:val="21"/>
                <w:highlight w:val="none"/>
              </w:rPr>
              <w:t>第3次</w:t>
            </w:r>
          </w:p>
        </w:tc>
        <w:tc>
          <w:tcPr>
            <w:tcW w:w="481" w:type="pct"/>
            <w:tcBorders>
              <w:top w:val="single" w:color="auto" w:sz="4" w:space="0"/>
              <w:left w:val="single" w:color="000000" w:sz="4" w:space="0"/>
              <w:bottom w:val="single" w:color="000000" w:sz="4" w:space="0"/>
              <w:right w:val="single" w:color="000000" w:sz="4" w:space="0"/>
            </w:tcBorders>
            <w:noWrap w:val="0"/>
            <w:vAlign w:val="center"/>
          </w:tcPr>
          <w:p w14:paraId="4469603A">
            <w:pPr>
              <w:kinsoku w:val="0"/>
              <w:overflowPunct w:val="0"/>
              <w:autoSpaceDE w:val="0"/>
              <w:autoSpaceDN w:val="0"/>
              <w:adjustRightInd w:val="0"/>
              <w:jc w:val="center"/>
              <w:rPr>
                <w:sz w:val="21"/>
                <w:szCs w:val="21"/>
                <w:highlight w:val="none"/>
              </w:rPr>
            </w:pPr>
            <w:r>
              <w:rPr>
                <w:sz w:val="21"/>
                <w:szCs w:val="21"/>
                <w:highlight w:val="none"/>
              </w:rPr>
              <w:t>第4次</w:t>
            </w:r>
          </w:p>
        </w:tc>
        <w:tc>
          <w:tcPr>
            <w:tcW w:w="428" w:type="pct"/>
            <w:tcBorders>
              <w:top w:val="single" w:color="auto" w:sz="4" w:space="0"/>
              <w:left w:val="single" w:color="000000" w:sz="4" w:space="0"/>
              <w:bottom w:val="single" w:color="000000" w:sz="4" w:space="0"/>
              <w:right w:val="single" w:color="000000" w:sz="4" w:space="0"/>
            </w:tcBorders>
            <w:noWrap w:val="0"/>
            <w:vAlign w:val="center"/>
          </w:tcPr>
          <w:p w14:paraId="1A96DEE9">
            <w:pPr>
              <w:kinsoku w:val="0"/>
              <w:overflowPunct w:val="0"/>
              <w:autoSpaceDE w:val="0"/>
              <w:autoSpaceDN w:val="0"/>
              <w:adjustRightInd w:val="0"/>
              <w:jc w:val="center"/>
              <w:rPr>
                <w:sz w:val="21"/>
                <w:szCs w:val="21"/>
                <w:highlight w:val="none"/>
              </w:rPr>
            </w:pPr>
            <w:r>
              <w:rPr>
                <w:sz w:val="21"/>
                <w:szCs w:val="21"/>
                <w:highlight w:val="none"/>
              </w:rPr>
              <w:t>第1次</w:t>
            </w:r>
          </w:p>
        </w:tc>
        <w:tc>
          <w:tcPr>
            <w:tcW w:w="373" w:type="pct"/>
            <w:tcBorders>
              <w:top w:val="single" w:color="auto" w:sz="4" w:space="0"/>
              <w:left w:val="single" w:color="000000" w:sz="4" w:space="0"/>
              <w:bottom w:val="single" w:color="000000" w:sz="4" w:space="0"/>
              <w:right w:val="single" w:color="000000" w:sz="4" w:space="0"/>
            </w:tcBorders>
            <w:noWrap w:val="0"/>
            <w:vAlign w:val="center"/>
          </w:tcPr>
          <w:p w14:paraId="7D72771E">
            <w:pPr>
              <w:kinsoku w:val="0"/>
              <w:overflowPunct w:val="0"/>
              <w:autoSpaceDE w:val="0"/>
              <w:autoSpaceDN w:val="0"/>
              <w:adjustRightInd w:val="0"/>
              <w:jc w:val="center"/>
              <w:rPr>
                <w:sz w:val="21"/>
                <w:szCs w:val="21"/>
                <w:highlight w:val="none"/>
              </w:rPr>
            </w:pPr>
            <w:r>
              <w:rPr>
                <w:sz w:val="21"/>
                <w:szCs w:val="21"/>
                <w:highlight w:val="none"/>
              </w:rPr>
              <w:t>第2次</w:t>
            </w:r>
          </w:p>
        </w:tc>
        <w:tc>
          <w:tcPr>
            <w:tcW w:w="481" w:type="pct"/>
            <w:tcBorders>
              <w:top w:val="single" w:color="auto" w:sz="4" w:space="0"/>
              <w:left w:val="single" w:color="000000" w:sz="4" w:space="0"/>
              <w:bottom w:val="single" w:color="000000" w:sz="4" w:space="0"/>
              <w:right w:val="single" w:color="000000" w:sz="4" w:space="0"/>
            </w:tcBorders>
            <w:noWrap w:val="0"/>
            <w:vAlign w:val="center"/>
          </w:tcPr>
          <w:p w14:paraId="4058A2C2">
            <w:pPr>
              <w:kinsoku w:val="0"/>
              <w:overflowPunct w:val="0"/>
              <w:autoSpaceDE w:val="0"/>
              <w:autoSpaceDN w:val="0"/>
              <w:adjustRightInd w:val="0"/>
              <w:jc w:val="center"/>
              <w:rPr>
                <w:sz w:val="21"/>
                <w:szCs w:val="21"/>
                <w:highlight w:val="none"/>
              </w:rPr>
            </w:pPr>
            <w:r>
              <w:rPr>
                <w:sz w:val="21"/>
                <w:szCs w:val="21"/>
                <w:highlight w:val="none"/>
              </w:rPr>
              <w:t>第3次</w:t>
            </w:r>
          </w:p>
        </w:tc>
        <w:tc>
          <w:tcPr>
            <w:tcW w:w="428" w:type="pct"/>
            <w:tcBorders>
              <w:top w:val="single" w:color="auto" w:sz="4" w:space="0"/>
              <w:left w:val="single" w:color="000000" w:sz="4" w:space="0"/>
              <w:bottom w:val="single" w:color="000000" w:sz="4" w:space="0"/>
              <w:right w:val="single" w:color="auto" w:sz="4" w:space="0"/>
            </w:tcBorders>
            <w:noWrap w:val="0"/>
            <w:vAlign w:val="center"/>
          </w:tcPr>
          <w:p w14:paraId="5A699197">
            <w:pPr>
              <w:kinsoku w:val="0"/>
              <w:overflowPunct w:val="0"/>
              <w:autoSpaceDE w:val="0"/>
              <w:autoSpaceDN w:val="0"/>
              <w:adjustRightInd w:val="0"/>
              <w:jc w:val="center"/>
              <w:rPr>
                <w:sz w:val="21"/>
                <w:szCs w:val="21"/>
                <w:highlight w:val="none"/>
              </w:rPr>
            </w:pPr>
            <w:r>
              <w:rPr>
                <w:sz w:val="21"/>
                <w:szCs w:val="21"/>
                <w:highlight w:val="none"/>
              </w:rPr>
              <w:t>第4次</w:t>
            </w:r>
          </w:p>
        </w:tc>
        <w:tc>
          <w:tcPr>
            <w:tcW w:w="564" w:type="pct"/>
            <w:tcBorders>
              <w:top w:val="single" w:color="auto" w:sz="4" w:space="0"/>
              <w:left w:val="single" w:color="auto" w:sz="4" w:space="0"/>
              <w:bottom w:val="single" w:color="000000" w:sz="4" w:space="0"/>
              <w:right w:val="single" w:color="000000" w:sz="4" w:space="0"/>
            </w:tcBorders>
            <w:noWrap w:val="0"/>
            <w:vAlign w:val="center"/>
          </w:tcPr>
          <w:p w14:paraId="07CED227">
            <w:pPr>
              <w:kinsoku w:val="0"/>
              <w:overflowPunct w:val="0"/>
              <w:autoSpaceDE w:val="0"/>
              <w:autoSpaceDN w:val="0"/>
              <w:adjustRightInd w:val="0"/>
              <w:jc w:val="center"/>
              <w:rPr>
                <w:sz w:val="21"/>
                <w:szCs w:val="21"/>
                <w:highlight w:val="none"/>
              </w:rPr>
            </w:pPr>
            <w:r>
              <w:rPr>
                <w:sz w:val="21"/>
                <w:szCs w:val="21"/>
                <w:highlight w:val="none"/>
              </w:rPr>
              <w:t>标准值</w:t>
            </w:r>
          </w:p>
        </w:tc>
      </w:tr>
      <w:tr w14:paraId="700690E2">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35BAD7D1">
            <w:pPr>
              <w:kinsoku w:val="0"/>
              <w:overflowPunct w:val="0"/>
              <w:autoSpaceDE w:val="0"/>
              <w:autoSpaceDN w:val="0"/>
              <w:adjustRightInd w:val="0"/>
              <w:jc w:val="center"/>
              <w:rPr>
                <w:sz w:val="21"/>
                <w:szCs w:val="21"/>
                <w:highlight w:val="none"/>
              </w:rPr>
            </w:pPr>
            <w:r>
              <w:rPr>
                <w:sz w:val="21"/>
                <w:szCs w:val="21"/>
                <w:highlight w:val="none"/>
              </w:rPr>
              <w:t>p</w:t>
            </w:r>
            <w:r>
              <w:rPr>
                <w:spacing w:val="-1"/>
                <w:sz w:val="21"/>
                <w:szCs w:val="21"/>
                <w:highlight w:val="none"/>
              </w:rPr>
              <w:t>H</w:t>
            </w:r>
            <w:r>
              <w:rPr>
                <w:rFonts w:hint="eastAsia"/>
                <w:spacing w:val="1"/>
                <w:sz w:val="21"/>
                <w:szCs w:val="21"/>
                <w:highlight w:val="none"/>
                <w:lang w:eastAsia="zh-CN"/>
              </w:rPr>
              <w:t>（</w:t>
            </w:r>
            <w:r>
              <w:rPr>
                <w:sz w:val="21"/>
                <w:szCs w:val="21"/>
                <w:highlight w:val="none"/>
              </w:rPr>
              <w:t>无量纲</w:t>
            </w:r>
            <w:r>
              <w:rPr>
                <w:rFonts w:hint="eastAsia"/>
                <w:spacing w:val="1"/>
                <w:sz w:val="21"/>
                <w:szCs w:val="21"/>
                <w:highlight w:val="none"/>
                <w:lang w:eastAsia="zh-CN"/>
              </w:rPr>
              <w:t>）</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726839C0">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1</w:t>
            </w:r>
            <w:r>
              <w:rPr>
                <w:sz w:val="21"/>
                <w:szCs w:val="21"/>
                <w:highlight w:val="none"/>
              </w:rPr>
              <w:t>9</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059971F4">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1</w:t>
            </w:r>
            <w:r>
              <w:rPr>
                <w:sz w:val="21"/>
                <w:szCs w:val="21"/>
                <w:highlight w:val="none"/>
              </w:rPr>
              <w:t>6</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6057CC6C">
            <w:pPr>
              <w:kinsoku w:val="0"/>
              <w:overflowPunct w:val="0"/>
              <w:autoSpaceDE w:val="0"/>
              <w:autoSpaceDN w:val="0"/>
              <w:adjustRightInd w:val="0"/>
              <w:jc w:val="center"/>
              <w:rPr>
                <w:sz w:val="21"/>
                <w:szCs w:val="21"/>
                <w:highlight w:val="none"/>
              </w:rPr>
            </w:pPr>
            <w:r>
              <w:rPr>
                <w:sz w:val="21"/>
                <w:szCs w:val="21"/>
                <w:highlight w:val="none"/>
              </w:rPr>
              <w:t>6.22</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5BC35140">
            <w:pPr>
              <w:kinsoku w:val="0"/>
              <w:overflowPunct w:val="0"/>
              <w:autoSpaceDE w:val="0"/>
              <w:autoSpaceDN w:val="0"/>
              <w:adjustRightInd w:val="0"/>
              <w:jc w:val="center"/>
              <w:rPr>
                <w:sz w:val="21"/>
                <w:szCs w:val="21"/>
                <w:highlight w:val="none"/>
              </w:rPr>
            </w:pPr>
            <w:r>
              <w:rPr>
                <w:sz w:val="21"/>
                <w:szCs w:val="21"/>
                <w:highlight w:val="none"/>
              </w:rPr>
              <w:t>6.20</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41B1CA15">
            <w:pPr>
              <w:kinsoku w:val="0"/>
              <w:overflowPunct w:val="0"/>
              <w:autoSpaceDE w:val="0"/>
              <w:autoSpaceDN w:val="0"/>
              <w:adjustRightInd w:val="0"/>
              <w:jc w:val="center"/>
              <w:rPr>
                <w:sz w:val="21"/>
                <w:szCs w:val="21"/>
                <w:highlight w:val="none"/>
              </w:rPr>
            </w:pPr>
            <w:r>
              <w:rPr>
                <w:sz w:val="21"/>
                <w:szCs w:val="21"/>
                <w:highlight w:val="none"/>
              </w:rPr>
              <w:t>5.98</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7085FDCC">
            <w:pPr>
              <w:kinsoku w:val="0"/>
              <w:overflowPunct w:val="0"/>
              <w:autoSpaceDE w:val="0"/>
              <w:autoSpaceDN w:val="0"/>
              <w:adjustRightInd w:val="0"/>
              <w:jc w:val="center"/>
              <w:rPr>
                <w:sz w:val="21"/>
                <w:szCs w:val="21"/>
                <w:highlight w:val="none"/>
              </w:rPr>
            </w:pPr>
            <w:r>
              <w:rPr>
                <w:sz w:val="21"/>
                <w:szCs w:val="21"/>
                <w:highlight w:val="none"/>
              </w:rPr>
              <w:t>5.96</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3370D204">
            <w:pPr>
              <w:kinsoku w:val="0"/>
              <w:overflowPunct w:val="0"/>
              <w:autoSpaceDE w:val="0"/>
              <w:autoSpaceDN w:val="0"/>
              <w:adjustRightInd w:val="0"/>
              <w:jc w:val="center"/>
              <w:rPr>
                <w:sz w:val="21"/>
                <w:szCs w:val="21"/>
                <w:highlight w:val="none"/>
              </w:rPr>
            </w:pPr>
            <w:r>
              <w:rPr>
                <w:sz w:val="21"/>
                <w:szCs w:val="21"/>
                <w:highlight w:val="none"/>
              </w:rPr>
              <w:t>6.00</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3F9FB820">
            <w:pPr>
              <w:kinsoku w:val="0"/>
              <w:overflowPunct w:val="0"/>
              <w:autoSpaceDE w:val="0"/>
              <w:autoSpaceDN w:val="0"/>
              <w:adjustRightInd w:val="0"/>
              <w:jc w:val="center"/>
              <w:rPr>
                <w:sz w:val="21"/>
                <w:szCs w:val="21"/>
                <w:highlight w:val="none"/>
              </w:rPr>
            </w:pPr>
            <w:r>
              <w:rPr>
                <w:sz w:val="21"/>
                <w:szCs w:val="21"/>
                <w:highlight w:val="none"/>
              </w:rPr>
              <w:t>5.97</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6150285B">
            <w:pPr>
              <w:kinsoku w:val="0"/>
              <w:overflowPunct w:val="0"/>
              <w:autoSpaceDE w:val="0"/>
              <w:autoSpaceDN w:val="0"/>
              <w:adjustRightInd w:val="0"/>
              <w:jc w:val="center"/>
              <w:rPr>
                <w:sz w:val="21"/>
                <w:szCs w:val="21"/>
                <w:highlight w:val="none"/>
              </w:rPr>
            </w:pPr>
            <w:r>
              <w:rPr>
                <w:sz w:val="21"/>
                <w:szCs w:val="21"/>
                <w:highlight w:val="none"/>
              </w:rPr>
              <w:t>6~9</w:t>
            </w:r>
          </w:p>
        </w:tc>
      </w:tr>
      <w:tr w14:paraId="3239D002">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43BF3350">
            <w:pPr>
              <w:kinsoku w:val="0"/>
              <w:overflowPunct w:val="0"/>
              <w:autoSpaceDE w:val="0"/>
              <w:autoSpaceDN w:val="0"/>
              <w:adjustRightInd w:val="0"/>
              <w:jc w:val="center"/>
              <w:rPr>
                <w:sz w:val="21"/>
                <w:szCs w:val="21"/>
                <w:highlight w:val="none"/>
              </w:rPr>
            </w:pPr>
            <w:r>
              <w:rPr>
                <w:spacing w:val="-1"/>
                <w:sz w:val="21"/>
                <w:szCs w:val="21"/>
                <w:highlight w:val="none"/>
              </w:rPr>
              <w:t>水</w:t>
            </w:r>
            <w:r>
              <w:rPr>
                <w:spacing w:val="2"/>
                <w:sz w:val="21"/>
                <w:szCs w:val="21"/>
                <w:highlight w:val="none"/>
              </w:rPr>
              <w:t>温（</w:t>
            </w:r>
            <w:r>
              <w:rPr>
                <w:spacing w:val="-1"/>
                <w:sz w:val="21"/>
                <w:szCs w:val="21"/>
                <w:highlight w:val="none"/>
              </w:rPr>
              <w:t>℃</w:t>
            </w:r>
            <w:r>
              <w:rPr>
                <w:sz w:val="21"/>
                <w:szCs w:val="21"/>
                <w:highlight w:val="none"/>
              </w:rPr>
              <w:t>）</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7800C3F1">
            <w:pPr>
              <w:kinsoku w:val="0"/>
              <w:overflowPunct w:val="0"/>
              <w:autoSpaceDE w:val="0"/>
              <w:autoSpaceDN w:val="0"/>
              <w:adjustRightInd w:val="0"/>
              <w:jc w:val="center"/>
              <w:rPr>
                <w:sz w:val="21"/>
                <w:szCs w:val="21"/>
                <w:highlight w:val="none"/>
              </w:rPr>
            </w:pPr>
            <w:r>
              <w:rPr>
                <w:spacing w:val="1"/>
                <w:sz w:val="21"/>
                <w:szCs w:val="21"/>
                <w:highlight w:val="none"/>
              </w:rPr>
              <w:t>29</w:t>
            </w:r>
            <w:r>
              <w:rPr>
                <w:sz w:val="21"/>
                <w:szCs w:val="21"/>
                <w:highlight w:val="none"/>
              </w:rPr>
              <w:t>.5</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7E544875">
            <w:pPr>
              <w:kinsoku w:val="0"/>
              <w:overflowPunct w:val="0"/>
              <w:autoSpaceDE w:val="0"/>
              <w:autoSpaceDN w:val="0"/>
              <w:adjustRightInd w:val="0"/>
              <w:jc w:val="center"/>
              <w:rPr>
                <w:sz w:val="21"/>
                <w:szCs w:val="21"/>
                <w:highlight w:val="none"/>
              </w:rPr>
            </w:pPr>
            <w:r>
              <w:rPr>
                <w:spacing w:val="1"/>
                <w:sz w:val="21"/>
                <w:szCs w:val="21"/>
                <w:highlight w:val="none"/>
              </w:rPr>
              <w:t>30</w:t>
            </w:r>
            <w:r>
              <w:rPr>
                <w:sz w:val="21"/>
                <w:szCs w:val="21"/>
                <w:highlight w:val="none"/>
              </w:rPr>
              <w:t>.1</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5BA18ED7">
            <w:pPr>
              <w:kinsoku w:val="0"/>
              <w:overflowPunct w:val="0"/>
              <w:autoSpaceDE w:val="0"/>
              <w:autoSpaceDN w:val="0"/>
              <w:adjustRightInd w:val="0"/>
              <w:jc w:val="center"/>
              <w:rPr>
                <w:sz w:val="21"/>
                <w:szCs w:val="21"/>
                <w:highlight w:val="none"/>
              </w:rPr>
            </w:pPr>
            <w:r>
              <w:rPr>
                <w:sz w:val="21"/>
                <w:szCs w:val="21"/>
                <w:highlight w:val="none"/>
              </w:rPr>
              <w:t>29.8</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53BC63D0">
            <w:pPr>
              <w:kinsoku w:val="0"/>
              <w:overflowPunct w:val="0"/>
              <w:autoSpaceDE w:val="0"/>
              <w:autoSpaceDN w:val="0"/>
              <w:adjustRightInd w:val="0"/>
              <w:jc w:val="center"/>
              <w:rPr>
                <w:sz w:val="21"/>
                <w:szCs w:val="21"/>
                <w:highlight w:val="none"/>
              </w:rPr>
            </w:pPr>
            <w:r>
              <w:rPr>
                <w:sz w:val="21"/>
                <w:szCs w:val="21"/>
                <w:highlight w:val="none"/>
              </w:rPr>
              <w:t>29.7</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58BC9811">
            <w:pPr>
              <w:kinsoku w:val="0"/>
              <w:overflowPunct w:val="0"/>
              <w:autoSpaceDE w:val="0"/>
              <w:autoSpaceDN w:val="0"/>
              <w:adjustRightInd w:val="0"/>
              <w:jc w:val="center"/>
              <w:rPr>
                <w:sz w:val="21"/>
                <w:szCs w:val="21"/>
                <w:highlight w:val="none"/>
              </w:rPr>
            </w:pPr>
            <w:r>
              <w:rPr>
                <w:sz w:val="21"/>
                <w:szCs w:val="21"/>
                <w:highlight w:val="none"/>
              </w:rPr>
              <w:t>29.1</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685674FC">
            <w:pPr>
              <w:kinsoku w:val="0"/>
              <w:overflowPunct w:val="0"/>
              <w:autoSpaceDE w:val="0"/>
              <w:autoSpaceDN w:val="0"/>
              <w:adjustRightInd w:val="0"/>
              <w:jc w:val="center"/>
              <w:rPr>
                <w:sz w:val="21"/>
                <w:szCs w:val="21"/>
                <w:highlight w:val="none"/>
              </w:rPr>
            </w:pPr>
            <w:r>
              <w:rPr>
                <w:sz w:val="21"/>
                <w:szCs w:val="21"/>
                <w:highlight w:val="none"/>
              </w:rPr>
              <w:t>29.2</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8B20A89">
            <w:pPr>
              <w:kinsoku w:val="0"/>
              <w:overflowPunct w:val="0"/>
              <w:autoSpaceDE w:val="0"/>
              <w:autoSpaceDN w:val="0"/>
              <w:adjustRightInd w:val="0"/>
              <w:jc w:val="center"/>
              <w:rPr>
                <w:sz w:val="21"/>
                <w:szCs w:val="21"/>
                <w:highlight w:val="none"/>
              </w:rPr>
            </w:pPr>
            <w:r>
              <w:rPr>
                <w:sz w:val="21"/>
                <w:szCs w:val="21"/>
                <w:highlight w:val="none"/>
              </w:rPr>
              <w:t>29.1</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6C711A0F">
            <w:pPr>
              <w:kinsoku w:val="0"/>
              <w:overflowPunct w:val="0"/>
              <w:autoSpaceDE w:val="0"/>
              <w:autoSpaceDN w:val="0"/>
              <w:adjustRightInd w:val="0"/>
              <w:jc w:val="center"/>
              <w:rPr>
                <w:sz w:val="21"/>
                <w:szCs w:val="21"/>
                <w:highlight w:val="none"/>
              </w:rPr>
            </w:pPr>
            <w:r>
              <w:rPr>
                <w:sz w:val="21"/>
                <w:szCs w:val="21"/>
                <w:highlight w:val="none"/>
              </w:rPr>
              <w:t>29.9</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038F4DCC">
            <w:pPr>
              <w:kinsoku w:val="0"/>
              <w:overflowPunct w:val="0"/>
              <w:autoSpaceDE w:val="0"/>
              <w:autoSpaceDN w:val="0"/>
              <w:adjustRightInd w:val="0"/>
              <w:jc w:val="center"/>
              <w:rPr>
                <w:sz w:val="21"/>
                <w:szCs w:val="21"/>
                <w:highlight w:val="none"/>
              </w:rPr>
            </w:pPr>
            <w:r>
              <w:rPr>
                <w:sz w:val="21"/>
                <w:szCs w:val="21"/>
                <w:highlight w:val="none"/>
              </w:rPr>
              <w:t>/</w:t>
            </w:r>
          </w:p>
        </w:tc>
      </w:tr>
      <w:tr w14:paraId="16E0C507">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3564BEB3">
            <w:pPr>
              <w:kinsoku w:val="0"/>
              <w:overflowPunct w:val="0"/>
              <w:autoSpaceDE w:val="0"/>
              <w:autoSpaceDN w:val="0"/>
              <w:adjustRightInd w:val="0"/>
              <w:jc w:val="center"/>
              <w:rPr>
                <w:sz w:val="21"/>
                <w:szCs w:val="21"/>
                <w:highlight w:val="none"/>
              </w:rPr>
            </w:pPr>
            <w:r>
              <w:rPr>
                <w:sz w:val="21"/>
                <w:szCs w:val="21"/>
                <w:highlight w:val="none"/>
              </w:rPr>
              <w:t>色度（倍）</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6B7CB2E6">
            <w:pPr>
              <w:kinsoku w:val="0"/>
              <w:overflowPunct w:val="0"/>
              <w:autoSpaceDE w:val="0"/>
              <w:autoSpaceDN w:val="0"/>
              <w:adjustRightInd w:val="0"/>
              <w:jc w:val="center"/>
              <w:rPr>
                <w:sz w:val="21"/>
                <w:szCs w:val="21"/>
                <w:highlight w:val="none"/>
              </w:rPr>
            </w:pPr>
            <w:r>
              <w:rPr>
                <w:sz w:val="21"/>
                <w:szCs w:val="21"/>
                <w:highlight w:val="none"/>
              </w:rPr>
              <w:t>1</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7BE748F3">
            <w:pPr>
              <w:kinsoku w:val="0"/>
              <w:overflowPunct w:val="0"/>
              <w:autoSpaceDE w:val="0"/>
              <w:autoSpaceDN w:val="0"/>
              <w:adjustRightInd w:val="0"/>
              <w:jc w:val="center"/>
              <w:rPr>
                <w:sz w:val="21"/>
                <w:szCs w:val="21"/>
                <w:highlight w:val="none"/>
              </w:rPr>
            </w:pPr>
            <w:r>
              <w:rPr>
                <w:sz w:val="21"/>
                <w:szCs w:val="21"/>
                <w:highlight w:val="none"/>
              </w:rPr>
              <w:t>1</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564CC83C">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0910DCB1">
            <w:pPr>
              <w:kinsoku w:val="0"/>
              <w:overflowPunct w:val="0"/>
              <w:autoSpaceDE w:val="0"/>
              <w:autoSpaceDN w:val="0"/>
              <w:adjustRightInd w:val="0"/>
              <w:jc w:val="center"/>
              <w:rPr>
                <w:sz w:val="21"/>
                <w:szCs w:val="21"/>
                <w:highlight w:val="none"/>
              </w:rPr>
            </w:pPr>
            <w:r>
              <w:rPr>
                <w:sz w:val="21"/>
                <w:szCs w:val="21"/>
                <w:highlight w:val="none"/>
              </w:rPr>
              <w:t>1</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25153D2D">
            <w:pPr>
              <w:kinsoku w:val="0"/>
              <w:overflowPunct w:val="0"/>
              <w:autoSpaceDE w:val="0"/>
              <w:autoSpaceDN w:val="0"/>
              <w:adjustRightInd w:val="0"/>
              <w:jc w:val="center"/>
              <w:rPr>
                <w:sz w:val="21"/>
                <w:szCs w:val="21"/>
                <w:highlight w:val="none"/>
              </w:rPr>
            </w:pPr>
            <w:r>
              <w:rPr>
                <w:sz w:val="21"/>
                <w:szCs w:val="21"/>
                <w:highlight w:val="none"/>
              </w:rPr>
              <w:t>1</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4AE9E7D1">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202E4406">
            <w:pPr>
              <w:kinsoku w:val="0"/>
              <w:overflowPunct w:val="0"/>
              <w:autoSpaceDE w:val="0"/>
              <w:autoSpaceDN w:val="0"/>
              <w:adjustRightInd w:val="0"/>
              <w:jc w:val="center"/>
              <w:rPr>
                <w:sz w:val="21"/>
                <w:szCs w:val="21"/>
                <w:highlight w:val="none"/>
              </w:rPr>
            </w:pPr>
            <w:r>
              <w:rPr>
                <w:sz w:val="21"/>
                <w:szCs w:val="21"/>
                <w:highlight w:val="none"/>
              </w:rPr>
              <w:t>1</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30A544BB">
            <w:pPr>
              <w:kinsoku w:val="0"/>
              <w:overflowPunct w:val="0"/>
              <w:autoSpaceDE w:val="0"/>
              <w:autoSpaceDN w:val="0"/>
              <w:adjustRightInd w:val="0"/>
              <w:jc w:val="center"/>
              <w:rPr>
                <w:sz w:val="21"/>
                <w:szCs w:val="21"/>
                <w:highlight w:val="none"/>
              </w:rPr>
            </w:pPr>
            <w:r>
              <w:rPr>
                <w:sz w:val="21"/>
                <w:szCs w:val="21"/>
                <w:highlight w:val="none"/>
              </w:rPr>
              <w:t>1</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274BB660">
            <w:pPr>
              <w:kinsoku w:val="0"/>
              <w:overflowPunct w:val="0"/>
              <w:autoSpaceDE w:val="0"/>
              <w:autoSpaceDN w:val="0"/>
              <w:adjustRightInd w:val="0"/>
              <w:jc w:val="center"/>
              <w:rPr>
                <w:sz w:val="21"/>
                <w:szCs w:val="21"/>
                <w:highlight w:val="none"/>
              </w:rPr>
            </w:pPr>
            <w:r>
              <w:rPr>
                <w:sz w:val="21"/>
                <w:szCs w:val="21"/>
                <w:highlight w:val="none"/>
              </w:rPr>
              <w:t>80</w:t>
            </w:r>
          </w:p>
        </w:tc>
      </w:tr>
      <w:tr w14:paraId="529202ED">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6D46393F">
            <w:pPr>
              <w:kinsoku w:val="0"/>
              <w:overflowPunct w:val="0"/>
              <w:autoSpaceDE w:val="0"/>
              <w:autoSpaceDN w:val="0"/>
              <w:adjustRightInd w:val="0"/>
              <w:jc w:val="center"/>
              <w:rPr>
                <w:sz w:val="21"/>
                <w:szCs w:val="21"/>
                <w:highlight w:val="none"/>
              </w:rPr>
            </w:pPr>
            <w:r>
              <w:rPr>
                <w:sz w:val="21"/>
                <w:szCs w:val="21"/>
                <w:highlight w:val="none"/>
              </w:rPr>
              <w:t>悬浮物</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7AF1C531">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3</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10358596">
            <w:pPr>
              <w:kinsoku w:val="0"/>
              <w:overflowPunct w:val="0"/>
              <w:autoSpaceDE w:val="0"/>
              <w:autoSpaceDN w:val="0"/>
              <w:adjustRightInd w:val="0"/>
              <w:jc w:val="center"/>
              <w:rPr>
                <w:sz w:val="21"/>
                <w:szCs w:val="21"/>
                <w:highlight w:val="none"/>
              </w:rPr>
            </w:pPr>
            <w:r>
              <w:rPr>
                <w:spacing w:val="1"/>
                <w:sz w:val="21"/>
                <w:szCs w:val="21"/>
                <w:highlight w:val="none"/>
              </w:rPr>
              <w:t>2</w:t>
            </w:r>
            <w:r>
              <w:rPr>
                <w:sz w:val="21"/>
                <w:szCs w:val="21"/>
                <w:highlight w:val="none"/>
              </w:rPr>
              <w:t>6</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71B4B7D3">
            <w:pPr>
              <w:kinsoku w:val="0"/>
              <w:overflowPunct w:val="0"/>
              <w:autoSpaceDE w:val="0"/>
              <w:autoSpaceDN w:val="0"/>
              <w:adjustRightInd w:val="0"/>
              <w:jc w:val="center"/>
              <w:rPr>
                <w:sz w:val="21"/>
                <w:szCs w:val="21"/>
                <w:highlight w:val="none"/>
              </w:rPr>
            </w:pPr>
            <w:r>
              <w:rPr>
                <w:sz w:val="21"/>
                <w:szCs w:val="21"/>
                <w:highlight w:val="none"/>
              </w:rPr>
              <w:t>30</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0F0B27D7">
            <w:pPr>
              <w:kinsoku w:val="0"/>
              <w:overflowPunct w:val="0"/>
              <w:autoSpaceDE w:val="0"/>
              <w:autoSpaceDN w:val="0"/>
              <w:adjustRightInd w:val="0"/>
              <w:jc w:val="center"/>
              <w:rPr>
                <w:sz w:val="21"/>
                <w:szCs w:val="21"/>
                <w:highlight w:val="none"/>
              </w:rPr>
            </w:pPr>
            <w:r>
              <w:rPr>
                <w:sz w:val="21"/>
                <w:szCs w:val="21"/>
                <w:highlight w:val="none"/>
              </w:rPr>
              <w:t>40</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56C34E9D">
            <w:pPr>
              <w:kinsoku w:val="0"/>
              <w:overflowPunct w:val="0"/>
              <w:autoSpaceDE w:val="0"/>
              <w:autoSpaceDN w:val="0"/>
              <w:adjustRightInd w:val="0"/>
              <w:jc w:val="center"/>
              <w:rPr>
                <w:sz w:val="21"/>
                <w:szCs w:val="21"/>
                <w:highlight w:val="none"/>
              </w:rPr>
            </w:pPr>
            <w:r>
              <w:rPr>
                <w:sz w:val="21"/>
                <w:szCs w:val="21"/>
                <w:highlight w:val="none"/>
              </w:rPr>
              <w:t>31</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7B28C0FE">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68C2F583">
            <w:pPr>
              <w:kinsoku w:val="0"/>
              <w:overflowPunct w:val="0"/>
              <w:autoSpaceDE w:val="0"/>
              <w:autoSpaceDN w:val="0"/>
              <w:adjustRightInd w:val="0"/>
              <w:jc w:val="center"/>
              <w:rPr>
                <w:sz w:val="21"/>
                <w:szCs w:val="21"/>
                <w:highlight w:val="none"/>
              </w:rPr>
            </w:pPr>
            <w:r>
              <w:rPr>
                <w:sz w:val="21"/>
                <w:szCs w:val="21"/>
                <w:highlight w:val="none"/>
              </w:rPr>
              <w:t>24</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458C6DB6">
            <w:pPr>
              <w:kinsoku w:val="0"/>
              <w:overflowPunct w:val="0"/>
              <w:autoSpaceDE w:val="0"/>
              <w:autoSpaceDN w:val="0"/>
              <w:adjustRightInd w:val="0"/>
              <w:jc w:val="center"/>
              <w:rPr>
                <w:sz w:val="21"/>
                <w:szCs w:val="21"/>
                <w:highlight w:val="none"/>
              </w:rPr>
            </w:pPr>
            <w:r>
              <w:rPr>
                <w:sz w:val="21"/>
                <w:szCs w:val="21"/>
                <w:highlight w:val="none"/>
              </w:rPr>
              <w:t>30</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871B4C7">
            <w:pPr>
              <w:kinsoku w:val="0"/>
              <w:overflowPunct w:val="0"/>
              <w:autoSpaceDE w:val="0"/>
              <w:autoSpaceDN w:val="0"/>
              <w:adjustRightInd w:val="0"/>
              <w:jc w:val="center"/>
              <w:rPr>
                <w:sz w:val="21"/>
                <w:szCs w:val="21"/>
                <w:highlight w:val="none"/>
              </w:rPr>
            </w:pPr>
            <w:r>
              <w:rPr>
                <w:sz w:val="21"/>
                <w:szCs w:val="21"/>
                <w:highlight w:val="none"/>
              </w:rPr>
              <w:t>70</w:t>
            </w:r>
          </w:p>
        </w:tc>
      </w:tr>
      <w:tr w14:paraId="5C47AFD5">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top"/>
          </w:tcPr>
          <w:p w14:paraId="296BDCF7">
            <w:pPr>
              <w:kinsoku w:val="0"/>
              <w:overflowPunct w:val="0"/>
              <w:autoSpaceDE w:val="0"/>
              <w:autoSpaceDN w:val="0"/>
              <w:adjustRightInd w:val="0"/>
              <w:jc w:val="center"/>
              <w:rPr>
                <w:sz w:val="21"/>
                <w:szCs w:val="21"/>
                <w:highlight w:val="none"/>
              </w:rPr>
            </w:pPr>
            <w:r>
              <w:rPr>
                <w:sz w:val="21"/>
                <w:szCs w:val="21"/>
                <w:highlight w:val="none"/>
              </w:rPr>
              <w:t>化学需氧量</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0A4EC106">
            <w:pPr>
              <w:kinsoku w:val="0"/>
              <w:overflowPunct w:val="0"/>
              <w:autoSpaceDE w:val="0"/>
              <w:autoSpaceDN w:val="0"/>
              <w:adjustRightInd w:val="0"/>
              <w:jc w:val="center"/>
              <w:rPr>
                <w:sz w:val="21"/>
                <w:szCs w:val="21"/>
                <w:highlight w:val="none"/>
              </w:rPr>
            </w:pPr>
            <w:r>
              <w:rPr>
                <w:sz w:val="21"/>
                <w:szCs w:val="21"/>
                <w:highlight w:val="none"/>
              </w:rPr>
              <w:t>8</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34099993">
            <w:pPr>
              <w:kinsoku w:val="0"/>
              <w:overflowPunct w:val="0"/>
              <w:autoSpaceDE w:val="0"/>
              <w:autoSpaceDN w:val="0"/>
              <w:adjustRightInd w:val="0"/>
              <w:jc w:val="center"/>
              <w:rPr>
                <w:sz w:val="21"/>
                <w:szCs w:val="21"/>
                <w:highlight w:val="none"/>
              </w:rPr>
            </w:pPr>
            <w:r>
              <w:rPr>
                <w:sz w:val="21"/>
                <w:szCs w:val="21"/>
                <w:highlight w:val="none"/>
              </w:rPr>
              <w:t>9</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3EC8B2CB">
            <w:pPr>
              <w:kinsoku w:val="0"/>
              <w:overflowPunct w:val="0"/>
              <w:autoSpaceDE w:val="0"/>
              <w:autoSpaceDN w:val="0"/>
              <w:adjustRightInd w:val="0"/>
              <w:jc w:val="center"/>
              <w:rPr>
                <w:sz w:val="21"/>
                <w:szCs w:val="21"/>
                <w:highlight w:val="none"/>
              </w:rPr>
            </w:pPr>
            <w:r>
              <w:rPr>
                <w:sz w:val="21"/>
                <w:szCs w:val="21"/>
                <w:highlight w:val="none"/>
              </w:rPr>
              <w:t>9</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B7C8A2F">
            <w:pPr>
              <w:kinsoku w:val="0"/>
              <w:overflowPunct w:val="0"/>
              <w:autoSpaceDE w:val="0"/>
              <w:autoSpaceDN w:val="0"/>
              <w:adjustRightInd w:val="0"/>
              <w:jc w:val="center"/>
              <w:rPr>
                <w:sz w:val="21"/>
                <w:szCs w:val="21"/>
                <w:highlight w:val="none"/>
              </w:rPr>
            </w:pPr>
            <w:r>
              <w:rPr>
                <w:sz w:val="21"/>
                <w:szCs w:val="21"/>
                <w:highlight w:val="none"/>
              </w:rPr>
              <w:t>6</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08A97660">
            <w:pPr>
              <w:kinsoku w:val="0"/>
              <w:overflowPunct w:val="0"/>
              <w:autoSpaceDE w:val="0"/>
              <w:autoSpaceDN w:val="0"/>
              <w:adjustRightInd w:val="0"/>
              <w:jc w:val="center"/>
              <w:rPr>
                <w:sz w:val="21"/>
                <w:szCs w:val="21"/>
                <w:highlight w:val="none"/>
              </w:rPr>
            </w:pPr>
            <w:r>
              <w:rPr>
                <w:sz w:val="21"/>
                <w:szCs w:val="21"/>
                <w:highlight w:val="none"/>
              </w:rPr>
              <w:t>8</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2F3C3E68">
            <w:pPr>
              <w:kinsoku w:val="0"/>
              <w:overflowPunct w:val="0"/>
              <w:autoSpaceDE w:val="0"/>
              <w:autoSpaceDN w:val="0"/>
              <w:adjustRightInd w:val="0"/>
              <w:jc w:val="center"/>
              <w:rPr>
                <w:sz w:val="21"/>
                <w:szCs w:val="21"/>
                <w:highlight w:val="none"/>
              </w:rPr>
            </w:pPr>
            <w:r>
              <w:rPr>
                <w:sz w:val="21"/>
                <w:szCs w:val="21"/>
                <w:highlight w:val="none"/>
              </w:rPr>
              <w:t>7</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382556F4">
            <w:pPr>
              <w:kinsoku w:val="0"/>
              <w:overflowPunct w:val="0"/>
              <w:autoSpaceDE w:val="0"/>
              <w:autoSpaceDN w:val="0"/>
              <w:adjustRightInd w:val="0"/>
              <w:jc w:val="center"/>
              <w:rPr>
                <w:sz w:val="21"/>
                <w:szCs w:val="21"/>
                <w:highlight w:val="none"/>
              </w:rPr>
            </w:pPr>
            <w:r>
              <w:rPr>
                <w:sz w:val="21"/>
                <w:szCs w:val="21"/>
                <w:highlight w:val="none"/>
              </w:rPr>
              <w:t>9</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6F04FD08">
            <w:pPr>
              <w:kinsoku w:val="0"/>
              <w:overflowPunct w:val="0"/>
              <w:autoSpaceDE w:val="0"/>
              <w:autoSpaceDN w:val="0"/>
              <w:adjustRightInd w:val="0"/>
              <w:jc w:val="center"/>
              <w:rPr>
                <w:sz w:val="21"/>
                <w:szCs w:val="21"/>
                <w:highlight w:val="none"/>
              </w:rPr>
            </w:pPr>
            <w:r>
              <w:rPr>
                <w:sz w:val="21"/>
                <w:szCs w:val="21"/>
                <w:highlight w:val="none"/>
              </w:rPr>
              <w:t>9</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60611311">
            <w:pPr>
              <w:kinsoku w:val="0"/>
              <w:overflowPunct w:val="0"/>
              <w:autoSpaceDE w:val="0"/>
              <w:autoSpaceDN w:val="0"/>
              <w:adjustRightInd w:val="0"/>
              <w:jc w:val="center"/>
              <w:rPr>
                <w:sz w:val="21"/>
                <w:szCs w:val="21"/>
                <w:highlight w:val="none"/>
              </w:rPr>
            </w:pPr>
            <w:r>
              <w:rPr>
                <w:sz w:val="21"/>
                <w:szCs w:val="21"/>
                <w:highlight w:val="none"/>
              </w:rPr>
              <w:t>100</w:t>
            </w:r>
          </w:p>
        </w:tc>
      </w:tr>
      <w:tr w14:paraId="382ECE21">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000CE48">
            <w:pPr>
              <w:kinsoku w:val="0"/>
              <w:overflowPunct w:val="0"/>
              <w:autoSpaceDE w:val="0"/>
              <w:autoSpaceDN w:val="0"/>
              <w:adjustRightInd w:val="0"/>
              <w:jc w:val="center"/>
              <w:rPr>
                <w:sz w:val="21"/>
                <w:szCs w:val="21"/>
                <w:highlight w:val="none"/>
              </w:rPr>
            </w:pPr>
            <w:r>
              <w:rPr>
                <w:sz w:val="21"/>
                <w:szCs w:val="21"/>
                <w:highlight w:val="none"/>
              </w:rPr>
              <w:t>五日生化需氧量</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5AAA3915">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.0</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09217CD2">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.5</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36600754">
            <w:pPr>
              <w:kinsoku w:val="0"/>
              <w:overflowPunct w:val="0"/>
              <w:autoSpaceDE w:val="0"/>
              <w:autoSpaceDN w:val="0"/>
              <w:adjustRightInd w:val="0"/>
              <w:jc w:val="center"/>
              <w:rPr>
                <w:sz w:val="21"/>
                <w:szCs w:val="21"/>
                <w:highlight w:val="none"/>
              </w:rPr>
            </w:pPr>
            <w:r>
              <w:rPr>
                <w:sz w:val="21"/>
                <w:szCs w:val="21"/>
                <w:highlight w:val="none"/>
              </w:rPr>
              <w:t>3.3</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536F8C89">
            <w:pPr>
              <w:kinsoku w:val="0"/>
              <w:overflowPunct w:val="0"/>
              <w:autoSpaceDE w:val="0"/>
              <w:autoSpaceDN w:val="0"/>
              <w:adjustRightInd w:val="0"/>
              <w:jc w:val="center"/>
              <w:rPr>
                <w:sz w:val="21"/>
                <w:szCs w:val="21"/>
                <w:highlight w:val="none"/>
              </w:rPr>
            </w:pPr>
            <w:r>
              <w:rPr>
                <w:sz w:val="21"/>
                <w:szCs w:val="21"/>
                <w:highlight w:val="none"/>
              </w:rPr>
              <w:t>3.2</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400561C6">
            <w:pPr>
              <w:kinsoku w:val="0"/>
              <w:overflowPunct w:val="0"/>
              <w:autoSpaceDE w:val="0"/>
              <w:autoSpaceDN w:val="0"/>
              <w:adjustRightInd w:val="0"/>
              <w:jc w:val="center"/>
              <w:rPr>
                <w:sz w:val="21"/>
                <w:szCs w:val="21"/>
                <w:highlight w:val="none"/>
              </w:rPr>
            </w:pPr>
            <w:r>
              <w:rPr>
                <w:sz w:val="21"/>
                <w:szCs w:val="21"/>
                <w:highlight w:val="none"/>
              </w:rPr>
              <w:t>3.7</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51FED1DB">
            <w:pPr>
              <w:kinsoku w:val="0"/>
              <w:overflowPunct w:val="0"/>
              <w:autoSpaceDE w:val="0"/>
              <w:autoSpaceDN w:val="0"/>
              <w:adjustRightInd w:val="0"/>
              <w:jc w:val="center"/>
              <w:rPr>
                <w:sz w:val="21"/>
                <w:szCs w:val="21"/>
                <w:highlight w:val="none"/>
              </w:rPr>
            </w:pPr>
            <w:r>
              <w:rPr>
                <w:sz w:val="21"/>
                <w:szCs w:val="21"/>
                <w:highlight w:val="none"/>
              </w:rPr>
              <w:t>3.8</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AA13094">
            <w:pPr>
              <w:kinsoku w:val="0"/>
              <w:overflowPunct w:val="0"/>
              <w:autoSpaceDE w:val="0"/>
              <w:autoSpaceDN w:val="0"/>
              <w:adjustRightInd w:val="0"/>
              <w:jc w:val="center"/>
              <w:rPr>
                <w:sz w:val="21"/>
                <w:szCs w:val="21"/>
                <w:highlight w:val="none"/>
              </w:rPr>
            </w:pPr>
            <w:r>
              <w:rPr>
                <w:sz w:val="21"/>
                <w:szCs w:val="21"/>
                <w:highlight w:val="none"/>
              </w:rPr>
              <w:t>3.6</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70D1D56A">
            <w:pPr>
              <w:kinsoku w:val="0"/>
              <w:overflowPunct w:val="0"/>
              <w:autoSpaceDE w:val="0"/>
              <w:autoSpaceDN w:val="0"/>
              <w:adjustRightInd w:val="0"/>
              <w:jc w:val="center"/>
              <w:rPr>
                <w:sz w:val="21"/>
                <w:szCs w:val="21"/>
                <w:highlight w:val="none"/>
              </w:rPr>
            </w:pPr>
            <w:r>
              <w:rPr>
                <w:sz w:val="21"/>
                <w:szCs w:val="21"/>
                <w:highlight w:val="none"/>
              </w:rPr>
              <w:t>3.2</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0E65A497">
            <w:pPr>
              <w:kinsoku w:val="0"/>
              <w:overflowPunct w:val="0"/>
              <w:autoSpaceDE w:val="0"/>
              <w:autoSpaceDN w:val="0"/>
              <w:adjustRightInd w:val="0"/>
              <w:jc w:val="center"/>
              <w:rPr>
                <w:sz w:val="21"/>
                <w:szCs w:val="21"/>
                <w:highlight w:val="none"/>
              </w:rPr>
            </w:pPr>
            <w:r>
              <w:rPr>
                <w:sz w:val="21"/>
                <w:szCs w:val="21"/>
                <w:highlight w:val="none"/>
              </w:rPr>
              <w:t>30</w:t>
            </w:r>
          </w:p>
        </w:tc>
      </w:tr>
      <w:tr w14:paraId="17795D10">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5A40E3B">
            <w:pPr>
              <w:kinsoku w:val="0"/>
              <w:overflowPunct w:val="0"/>
              <w:autoSpaceDE w:val="0"/>
              <w:autoSpaceDN w:val="0"/>
              <w:adjustRightInd w:val="0"/>
              <w:jc w:val="center"/>
              <w:rPr>
                <w:sz w:val="21"/>
                <w:szCs w:val="21"/>
                <w:highlight w:val="none"/>
              </w:rPr>
            </w:pPr>
            <w:r>
              <w:rPr>
                <w:sz w:val="21"/>
                <w:szCs w:val="21"/>
                <w:highlight w:val="none"/>
              </w:rPr>
              <w:t>氨氮</w:t>
            </w:r>
          </w:p>
        </w:tc>
        <w:tc>
          <w:tcPr>
            <w:tcW w:w="520" w:type="pct"/>
            <w:tcBorders>
              <w:top w:val="single" w:color="000000" w:sz="4" w:space="0"/>
              <w:left w:val="single" w:color="000000" w:sz="4" w:space="0"/>
              <w:bottom w:val="single" w:color="000000" w:sz="4" w:space="0"/>
              <w:right w:val="single" w:color="000000" w:sz="4" w:space="0"/>
            </w:tcBorders>
            <w:noWrap w:val="0"/>
            <w:vAlign w:val="top"/>
          </w:tcPr>
          <w:p w14:paraId="51EC266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top"/>
          </w:tcPr>
          <w:p w14:paraId="49FFC5E4">
            <w:pPr>
              <w:kinsoku w:val="0"/>
              <w:overflowPunct w:val="0"/>
              <w:autoSpaceDE w:val="0"/>
              <w:autoSpaceDN w:val="0"/>
              <w:adjustRightInd w:val="0"/>
              <w:jc w:val="center"/>
              <w:rPr>
                <w:sz w:val="21"/>
                <w:szCs w:val="21"/>
                <w:highlight w:val="none"/>
              </w:rPr>
            </w:pPr>
            <w:r>
              <w:rPr>
                <w:sz w:val="21"/>
                <w:szCs w:val="21"/>
                <w:highlight w:val="none"/>
              </w:rPr>
              <w:t>0.025L</w:t>
            </w:r>
          </w:p>
        </w:tc>
        <w:tc>
          <w:tcPr>
            <w:tcW w:w="408" w:type="pct"/>
            <w:tcBorders>
              <w:top w:val="single" w:color="000000" w:sz="4" w:space="0"/>
              <w:left w:val="single" w:color="000000" w:sz="4" w:space="0"/>
              <w:bottom w:val="single" w:color="000000" w:sz="4" w:space="0"/>
              <w:right w:val="single" w:color="000000" w:sz="4" w:space="0"/>
            </w:tcBorders>
            <w:noWrap w:val="0"/>
            <w:vAlign w:val="top"/>
          </w:tcPr>
          <w:p w14:paraId="7E8ECD3A">
            <w:pPr>
              <w:kinsoku w:val="0"/>
              <w:overflowPunct w:val="0"/>
              <w:autoSpaceDE w:val="0"/>
              <w:autoSpaceDN w:val="0"/>
              <w:adjustRightInd w:val="0"/>
              <w:jc w:val="center"/>
              <w:rPr>
                <w:sz w:val="21"/>
                <w:szCs w:val="21"/>
                <w:highlight w:val="none"/>
              </w:rPr>
            </w:pPr>
            <w:r>
              <w:rPr>
                <w:sz w:val="21"/>
                <w:szCs w:val="21"/>
                <w:highlight w:val="none"/>
              </w:rPr>
              <w:t>0.025L</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7B9B955F">
            <w:pPr>
              <w:kinsoku w:val="0"/>
              <w:overflowPunct w:val="0"/>
              <w:autoSpaceDE w:val="0"/>
              <w:autoSpaceDN w:val="0"/>
              <w:adjustRightInd w:val="0"/>
              <w:jc w:val="center"/>
              <w:rPr>
                <w:sz w:val="21"/>
                <w:szCs w:val="21"/>
                <w:highlight w:val="none"/>
              </w:rPr>
            </w:pPr>
            <w:r>
              <w:rPr>
                <w:sz w:val="21"/>
                <w:szCs w:val="21"/>
                <w:highlight w:val="none"/>
              </w:rPr>
              <w:t>0.025L</w:t>
            </w:r>
          </w:p>
        </w:tc>
        <w:tc>
          <w:tcPr>
            <w:tcW w:w="428" w:type="pct"/>
            <w:tcBorders>
              <w:top w:val="single" w:color="000000" w:sz="4" w:space="0"/>
              <w:left w:val="single" w:color="000000" w:sz="4" w:space="0"/>
              <w:bottom w:val="single" w:color="000000" w:sz="4" w:space="0"/>
              <w:right w:val="single" w:color="000000" w:sz="4" w:space="0"/>
            </w:tcBorders>
            <w:noWrap w:val="0"/>
            <w:vAlign w:val="top"/>
          </w:tcPr>
          <w:p w14:paraId="7A41E019">
            <w:pPr>
              <w:kinsoku w:val="0"/>
              <w:overflowPunct w:val="0"/>
              <w:autoSpaceDE w:val="0"/>
              <w:autoSpaceDN w:val="0"/>
              <w:adjustRightInd w:val="0"/>
              <w:jc w:val="center"/>
              <w:rPr>
                <w:sz w:val="21"/>
                <w:szCs w:val="21"/>
                <w:highlight w:val="none"/>
              </w:rPr>
            </w:pPr>
            <w:r>
              <w:rPr>
                <w:sz w:val="21"/>
                <w:szCs w:val="21"/>
                <w:highlight w:val="none"/>
              </w:rPr>
              <w:t>0.026</w:t>
            </w:r>
          </w:p>
        </w:tc>
        <w:tc>
          <w:tcPr>
            <w:tcW w:w="373" w:type="pct"/>
            <w:tcBorders>
              <w:top w:val="single" w:color="000000" w:sz="4" w:space="0"/>
              <w:left w:val="single" w:color="000000" w:sz="4" w:space="0"/>
              <w:bottom w:val="single" w:color="000000" w:sz="4" w:space="0"/>
              <w:right w:val="single" w:color="000000" w:sz="4" w:space="0"/>
            </w:tcBorders>
            <w:noWrap w:val="0"/>
            <w:vAlign w:val="top"/>
          </w:tcPr>
          <w:p w14:paraId="19845AF0">
            <w:pPr>
              <w:kinsoku w:val="0"/>
              <w:overflowPunct w:val="0"/>
              <w:autoSpaceDE w:val="0"/>
              <w:autoSpaceDN w:val="0"/>
              <w:adjustRightInd w:val="0"/>
              <w:jc w:val="center"/>
              <w:rPr>
                <w:sz w:val="21"/>
                <w:szCs w:val="21"/>
                <w:highlight w:val="none"/>
              </w:rPr>
            </w:pPr>
            <w:r>
              <w:rPr>
                <w:sz w:val="21"/>
                <w:szCs w:val="21"/>
                <w:highlight w:val="none"/>
              </w:rPr>
              <w:t>0.046</w:t>
            </w:r>
          </w:p>
        </w:tc>
        <w:tc>
          <w:tcPr>
            <w:tcW w:w="481" w:type="pct"/>
            <w:tcBorders>
              <w:top w:val="single" w:color="000000" w:sz="4" w:space="0"/>
              <w:left w:val="single" w:color="000000" w:sz="4" w:space="0"/>
              <w:bottom w:val="single" w:color="000000" w:sz="4" w:space="0"/>
              <w:right w:val="single" w:color="000000" w:sz="4" w:space="0"/>
            </w:tcBorders>
            <w:noWrap w:val="0"/>
            <w:vAlign w:val="top"/>
          </w:tcPr>
          <w:p w14:paraId="495B9406">
            <w:pPr>
              <w:kinsoku w:val="0"/>
              <w:overflowPunct w:val="0"/>
              <w:autoSpaceDE w:val="0"/>
              <w:autoSpaceDN w:val="0"/>
              <w:adjustRightInd w:val="0"/>
              <w:jc w:val="center"/>
              <w:rPr>
                <w:sz w:val="21"/>
                <w:szCs w:val="21"/>
                <w:highlight w:val="none"/>
              </w:rPr>
            </w:pPr>
            <w:r>
              <w:rPr>
                <w:sz w:val="21"/>
                <w:szCs w:val="21"/>
                <w:highlight w:val="none"/>
              </w:rPr>
              <w:t>0.025L</w:t>
            </w:r>
          </w:p>
        </w:tc>
        <w:tc>
          <w:tcPr>
            <w:tcW w:w="428" w:type="pct"/>
            <w:tcBorders>
              <w:top w:val="single" w:color="000000" w:sz="4" w:space="0"/>
              <w:left w:val="single" w:color="000000" w:sz="4" w:space="0"/>
              <w:bottom w:val="single" w:color="000000" w:sz="4" w:space="0"/>
              <w:right w:val="single" w:color="auto" w:sz="4" w:space="0"/>
            </w:tcBorders>
            <w:noWrap w:val="0"/>
            <w:vAlign w:val="top"/>
          </w:tcPr>
          <w:p w14:paraId="4995DEE1">
            <w:pPr>
              <w:kinsoku w:val="0"/>
              <w:overflowPunct w:val="0"/>
              <w:autoSpaceDE w:val="0"/>
              <w:autoSpaceDN w:val="0"/>
              <w:adjustRightInd w:val="0"/>
              <w:jc w:val="center"/>
              <w:rPr>
                <w:sz w:val="21"/>
                <w:szCs w:val="21"/>
                <w:highlight w:val="none"/>
              </w:rPr>
            </w:pPr>
            <w:r>
              <w:rPr>
                <w:sz w:val="21"/>
                <w:szCs w:val="21"/>
                <w:highlight w:val="none"/>
              </w:rPr>
              <w:t>0.025L</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1DAF1576">
            <w:pPr>
              <w:kinsoku w:val="0"/>
              <w:overflowPunct w:val="0"/>
              <w:autoSpaceDE w:val="0"/>
              <w:autoSpaceDN w:val="0"/>
              <w:adjustRightInd w:val="0"/>
              <w:jc w:val="center"/>
              <w:rPr>
                <w:sz w:val="21"/>
                <w:szCs w:val="21"/>
                <w:highlight w:val="none"/>
              </w:rPr>
            </w:pPr>
            <w:r>
              <w:rPr>
                <w:sz w:val="21"/>
                <w:szCs w:val="21"/>
                <w:highlight w:val="none"/>
              </w:rPr>
              <w:t>15</w:t>
            </w:r>
          </w:p>
        </w:tc>
      </w:tr>
      <w:tr w14:paraId="6F6D8E61">
        <w:tblPrEx>
          <w:tblCellMar>
            <w:top w:w="0" w:type="dxa"/>
            <w:left w:w="0" w:type="dxa"/>
            <w:bottom w:w="0" w:type="dxa"/>
            <w:right w:w="0" w:type="dxa"/>
          </w:tblCellMar>
        </w:tblPrEx>
        <w:trPr>
          <w:trHeight w:val="35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08A4B360">
            <w:pPr>
              <w:kinsoku w:val="0"/>
              <w:overflowPunct w:val="0"/>
              <w:autoSpaceDE w:val="0"/>
              <w:autoSpaceDN w:val="0"/>
              <w:adjustRightInd w:val="0"/>
              <w:jc w:val="center"/>
              <w:rPr>
                <w:sz w:val="21"/>
                <w:szCs w:val="21"/>
                <w:highlight w:val="none"/>
              </w:rPr>
            </w:pPr>
            <w:r>
              <w:rPr>
                <w:sz w:val="21"/>
                <w:szCs w:val="21"/>
                <w:highlight w:val="none"/>
              </w:rPr>
              <w:t>总磷</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A3D08C7">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1</w:t>
            </w:r>
            <w:r>
              <w:rPr>
                <w:sz w:val="21"/>
                <w:szCs w:val="21"/>
                <w:highlight w:val="none"/>
              </w:rPr>
              <w:t>3</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9EADE67">
            <w:pPr>
              <w:kinsoku w:val="0"/>
              <w:overflowPunct w:val="0"/>
              <w:autoSpaceDE w:val="0"/>
              <w:autoSpaceDN w:val="0"/>
              <w:adjustRightInd w:val="0"/>
              <w:jc w:val="center"/>
              <w:rPr>
                <w:sz w:val="21"/>
                <w:szCs w:val="21"/>
                <w:highlight w:val="none"/>
              </w:rPr>
            </w:pPr>
            <w:r>
              <w:rPr>
                <w:sz w:val="21"/>
                <w:szCs w:val="21"/>
                <w:highlight w:val="none"/>
              </w:rPr>
              <w:t>0.08</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7AF7F140">
            <w:pPr>
              <w:kinsoku w:val="0"/>
              <w:overflowPunct w:val="0"/>
              <w:autoSpaceDE w:val="0"/>
              <w:autoSpaceDN w:val="0"/>
              <w:adjustRightInd w:val="0"/>
              <w:jc w:val="center"/>
              <w:rPr>
                <w:sz w:val="21"/>
                <w:szCs w:val="21"/>
                <w:highlight w:val="none"/>
              </w:rPr>
            </w:pPr>
            <w:r>
              <w:rPr>
                <w:sz w:val="21"/>
                <w:szCs w:val="21"/>
                <w:highlight w:val="none"/>
              </w:rPr>
              <w:t>0.05</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7172F0B">
            <w:pPr>
              <w:kinsoku w:val="0"/>
              <w:overflowPunct w:val="0"/>
              <w:autoSpaceDE w:val="0"/>
              <w:autoSpaceDN w:val="0"/>
              <w:adjustRightInd w:val="0"/>
              <w:jc w:val="center"/>
              <w:rPr>
                <w:sz w:val="21"/>
                <w:szCs w:val="21"/>
                <w:highlight w:val="none"/>
              </w:rPr>
            </w:pPr>
            <w:r>
              <w:rPr>
                <w:sz w:val="21"/>
                <w:szCs w:val="21"/>
                <w:highlight w:val="none"/>
              </w:rPr>
              <w:t>0.12</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6E45BB0">
            <w:pPr>
              <w:kinsoku w:val="0"/>
              <w:overflowPunct w:val="0"/>
              <w:autoSpaceDE w:val="0"/>
              <w:autoSpaceDN w:val="0"/>
              <w:adjustRightInd w:val="0"/>
              <w:jc w:val="center"/>
              <w:rPr>
                <w:sz w:val="21"/>
                <w:szCs w:val="21"/>
                <w:highlight w:val="none"/>
              </w:rPr>
            </w:pPr>
            <w:r>
              <w:rPr>
                <w:sz w:val="21"/>
                <w:szCs w:val="21"/>
                <w:highlight w:val="none"/>
              </w:rPr>
              <w:t>0.10</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12336899">
            <w:pPr>
              <w:kinsoku w:val="0"/>
              <w:overflowPunct w:val="0"/>
              <w:autoSpaceDE w:val="0"/>
              <w:autoSpaceDN w:val="0"/>
              <w:adjustRightInd w:val="0"/>
              <w:jc w:val="center"/>
              <w:rPr>
                <w:sz w:val="21"/>
                <w:szCs w:val="21"/>
                <w:highlight w:val="none"/>
              </w:rPr>
            </w:pPr>
            <w:r>
              <w:rPr>
                <w:sz w:val="21"/>
                <w:szCs w:val="21"/>
                <w:highlight w:val="none"/>
              </w:rPr>
              <w:t>0.03</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44458AC">
            <w:pPr>
              <w:kinsoku w:val="0"/>
              <w:overflowPunct w:val="0"/>
              <w:autoSpaceDE w:val="0"/>
              <w:autoSpaceDN w:val="0"/>
              <w:adjustRightInd w:val="0"/>
              <w:jc w:val="center"/>
              <w:rPr>
                <w:sz w:val="21"/>
                <w:szCs w:val="21"/>
                <w:highlight w:val="none"/>
              </w:rPr>
            </w:pPr>
            <w:r>
              <w:rPr>
                <w:sz w:val="21"/>
                <w:szCs w:val="21"/>
                <w:highlight w:val="none"/>
              </w:rPr>
              <w:t>0.02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32ABA0E9">
            <w:pPr>
              <w:kinsoku w:val="0"/>
              <w:overflowPunct w:val="0"/>
              <w:autoSpaceDE w:val="0"/>
              <w:autoSpaceDN w:val="0"/>
              <w:adjustRightInd w:val="0"/>
              <w:jc w:val="center"/>
              <w:rPr>
                <w:sz w:val="21"/>
                <w:szCs w:val="21"/>
                <w:highlight w:val="none"/>
              </w:rPr>
            </w:pPr>
            <w:r>
              <w:rPr>
                <w:sz w:val="21"/>
                <w:szCs w:val="21"/>
                <w:highlight w:val="none"/>
              </w:rPr>
              <w:t>0.04</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134946F4">
            <w:pPr>
              <w:kinsoku w:val="0"/>
              <w:overflowPunct w:val="0"/>
              <w:autoSpaceDE w:val="0"/>
              <w:autoSpaceDN w:val="0"/>
              <w:adjustRightInd w:val="0"/>
              <w:jc w:val="center"/>
              <w:rPr>
                <w:sz w:val="21"/>
                <w:szCs w:val="21"/>
                <w:highlight w:val="none"/>
              </w:rPr>
            </w:pPr>
            <w:r>
              <w:rPr>
                <w:sz w:val="21"/>
                <w:szCs w:val="21"/>
                <w:highlight w:val="none"/>
              </w:rPr>
              <w:t>/</w:t>
            </w:r>
          </w:p>
        </w:tc>
      </w:tr>
      <w:tr w14:paraId="393A26E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74867FF">
            <w:pPr>
              <w:kinsoku w:val="0"/>
              <w:overflowPunct w:val="0"/>
              <w:autoSpaceDE w:val="0"/>
              <w:autoSpaceDN w:val="0"/>
              <w:adjustRightInd w:val="0"/>
              <w:jc w:val="center"/>
              <w:rPr>
                <w:sz w:val="21"/>
                <w:szCs w:val="21"/>
                <w:highlight w:val="none"/>
              </w:rPr>
            </w:pPr>
            <w:r>
              <w:rPr>
                <w:sz w:val="21"/>
                <w:szCs w:val="21"/>
                <w:highlight w:val="none"/>
              </w:rPr>
              <w:t>总氮</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44C96F1">
            <w:pPr>
              <w:kinsoku w:val="0"/>
              <w:overflowPunct w:val="0"/>
              <w:autoSpaceDE w:val="0"/>
              <w:autoSpaceDN w:val="0"/>
              <w:adjustRightInd w:val="0"/>
              <w:jc w:val="center"/>
              <w:rPr>
                <w:sz w:val="21"/>
                <w:szCs w:val="21"/>
                <w:highlight w:val="none"/>
              </w:rPr>
            </w:pPr>
            <w:r>
              <w:rPr>
                <w:spacing w:val="1"/>
                <w:sz w:val="21"/>
                <w:szCs w:val="21"/>
                <w:highlight w:val="none"/>
              </w:rPr>
              <w:t>9</w:t>
            </w:r>
            <w:r>
              <w:rPr>
                <w:sz w:val="21"/>
                <w:szCs w:val="21"/>
                <w:highlight w:val="none"/>
              </w:rPr>
              <w:t>.</w:t>
            </w:r>
            <w:r>
              <w:rPr>
                <w:spacing w:val="1"/>
                <w:sz w:val="21"/>
                <w:szCs w:val="21"/>
                <w:highlight w:val="none"/>
              </w:rPr>
              <w:t>0</w:t>
            </w:r>
            <w:r>
              <w:rPr>
                <w:sz w:val="21"/>
                <w:szCs w:val="21"/>
                <w:highlight w:val="none"/>
              </w:rPr>
              <w:t>2</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C806A28">
            <w:pPr>
              <w:kinsoku w:val="0"/>
              <w:overflowPunct w:val="0"/>
              <w:autoSpaceDE w:val="0"/>
              <w:autoSpaceDN w:val="0"/>
              <w:adjustRightInd w:val="0"/>
              <w:jc w:val="center"/>
              <w:rPr>
                <w:sz w:val="21"/>
                <w:szCs w:val="21"/>
                <w:highlight w:val="none"/>
              </w:rPr>
            </w:pPr>
            <w:r>
              <w:rPr>
                <w:spacing w:val="1"/>
                <w:sz w:val="21"/>
                <w:szCs w:val="21"/>
                <w:highlight w:val="none"/>
              </w:rPr>
              <w:t>29</w:t>
            </w:r>
            <w:r>
              <w:rPr>
                <w:sz w:val="21"/>
                <w:szCs w:val="21"/>
                <w:highlight w:val="none"/>
              </w:rPr>
              <w:t>.3</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AB40E53">
            <w:pPr>
              <w:kinsoku w:val="0"/>
              <w:overflowPunct w:val="0"/>
              <w:autoSpaceDE w:val="0"/>
              <w:autoSpaceDN w:val="0"/>
              <w:adjustRightInd w:val="0"/>
              <w:jc w:val="center"/>
              <w:rPr>
                <w:sz w:val="21"/>
                <w:szCs w:val="21"/>
                <w:highlight w:val="none"/>
              </w:rPr>
            </w:pPr>
            <w:r>
              <w:rPr>
                <w:sz w:val="21"/>
                <w:szCs w:val="21"/>
                <w:highlight w:val="none"/>
              </w:rPr>
              <w:t>10.8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B736235">
            <w:pPr>
              <w:kinsoku w:val="0"/>
              <w:overflowPunct w:val="0"/>
              <w:autoSpaceDE w:val="0"/>
              <w:autoSpaceDN w:val="0"/>
              <w:adjustRightInd w:val="0"/>
              <w:jc w:val="center"/>
              <w:rPr>
                <w:sz w:val="21"/>
                <w:szCs w:val="21"/>
                <w:highlight w:val="none"/>
              </w:rPr>
            </w:pPr>
            <w:r>
              <w:rPr>
                <w:sz w:val="21"/>
                <w:szCs w:val="21"/>
                <w:highlight w:val="none"/>
              </w:rPr>
              <w:t>6.96</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A86C938">
            <w:pPr>
              <w:kinsoku w:val="0"/>
              <w:overflowPunct w:val="0"/>
              <w:autoSpaceDE w:val="0"/>
              <w:autoSpaceDN w:val="0"/>
              <w:adjustRightInd w:val="0"/>
              <w:jc w:val="center"/>
              <w:rPr>
                <w:sz w:val="21"/>
                <w:szCs w:val="21"/>
                <w:highlight w:val="none"/>
              </w:rPr>
            </w:pPr>
            <w:r>
              <w:rPr>
                <w:sz w:val="21"/>
                <w:szCs w:val="21"/>
                <w:highlight w:val="none"/>
              </w:rPr>
              <w:t>8.67</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E7396B7">
            <w:pPr>
              <w:kinsoku w:val="0"/>
              <w:overflowPunct w:val="0"/>
              <w:autoSpaceDE w:val="0"/>
              <w:autoSpaceDN w:val="0"/>
              <w:adjustRightInd w:val="0"/>
              <w:jc w:val="center"/>
              <w:rPr>
                <w:sz w:val="21"/>
                <w:szCs w:val="21"/>
                <w:highlight w:val="none"/>
              </w:rPr>
            </w:pPr>
            <w:r>
              <w:rPr>
                <w:sz w:val="21"/>
                <w:szCs w:val="21"/>
                <w:highlight w:val="none"/>
              </w:rPr>
              <w:t>8.20</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9AB370B">
            <w:pPr>
              <w:kinsoku w:val="0"/>
              <w:overflowPunct w:val="0"/>
              <w:autoSpaceDE w:val="0"/>
              <w:autoSpaceDN w:val="0"/>
              <w:adjustRightInd w:val="0"/>
              <w:jc w:val="center"/>
              <w:rPr>
                <w:sz w:val="21"/>
                <w:szCs w:val="21"/>
                <w:highlight w:val="none"/>
              </w:rPr>
            </w:pPr>
            <w:r>
              <w:rPr>
                <w:spacing w:val="-5"/>
                <w:sz w:val="21"/>
                <w:szCs w:val="21"/>
                <w:highlight w:val="none"/>
              </w:rPr>
              <w:t>1</w:t>
            </w:r>
            <w:r>
              <w:rPr>
                <w:spacing w:val="-3"/>
                <w:sz w:val="21"/>
                <w:szCs w:val="21"/>
                <w:highlight w:val="none"/>
              </w:rPr>
              <w:t>1</w:t>
            </w:r>
            <w:r>
              <w:rPr>
                <w:sz w:val="21"/>
                <w:szCs w:val="21"/>
                <w:highlight w:val="none"/>
              </w:rPr>
              <w:t>.0</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6311E7C">
            <w:pPr>
              <w:kinsoku w:val="0"/>
              <w:overflowPunct w:val="0"/>
              <w:autoSpaceDE w:val="0"/>
              <w:autoSpaceDN w:val="0"/>
              <w:adjustRightInd w:val="0"/>
              <w:jc w:val="center"/>
              <w:rPr>
                <w:sz w:val="21"/>
                <w:szCs w:val="21"/>
                <w:highlight w:val="none"/>
              </w:rPr>
            </w:pPr>
            <w:r>
              <w:rPr>
                <w:sz w:val="21"/>
                <w:szCs w:val="21"/>
                <w:highlight w:val="none"/>
              </w:rPr>
              <w:t>9.96</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4836E06B">
            <w:pPr>
              <w:kinsoku w:val="0"/>
              <w:overflowPunct w:val="0"/>
              <w:autoSpaceDE w:val="0"/>
              <w:autoSpaceDN w:val="0"/>
              <w:adjustRightInd w:val="0"/>
              <w:jc w:val="center"/>
              <w:rPr>
                <w:sz w:val="21"/>
                <w:szCs w:val="21"/>
                <w:highlight w:val="none"/>
              </w:rPr>
            </w:pPr>
            <w:r>
              <w:rPr>
                <w:sz w:val="21"/>
                <w:szCs w:val="21"/>
                <w:highlight w:val="none"/>
              </w:rPr>
              <w:t>/</w:t>
            </w:r>
          </w:p>
        </w:tc>
      </w:tr>
      <w:tr w14:paraId="303D3EEF">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31E1318">
            <w:pPr>
              <w:kinsoku w:val="0"/>
              <w:overflowPunct w:val="0"/>
              <w:autoSpaceDE w:val="0"/>
              <w:autoSpaceDN w:val="0"/>
              <w:adjustRightInd w:val="0"/>
              <w:jc w:val="center"/>
              <w:rPr>
                <w:sz w:val="21"/>
                <w:szCs w:val="21"/>
                <w:highlight w:val="none"/>
              </w:rPr>
            </w:pPr>
            <w:r>
              <w:rPr>
                <w:sz w:val="21"/>
                <w:szCs w:val="21"/>
                <w:highlight w:val="none"/>
              </w:rPr>
              <w:t>硫化物</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3DBFE3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3B1A73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1BA2B7A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C52F39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45DAC1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0D2C99C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C1CE93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594C80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625F6F6A">
            <w:pPr>
              <w:kinsoku w:val="0"/>
              <w:overflowPunct w:val="0"/>
              <w:autoSpaceDE w:val="0"/>
              <w:autoSpaceDN w:val="0"/>
              <w:adjustRightInd w:val="0"/>
              <w:jc w:val="center"/>
              <w:rPr>
                <w:sz w:val="21"/>
                <w:szCs w:val="21"/>
                <w:highlight w:val="none"/>
              </w:rPr>
            </w:pPr>
            <w:r>
              <w:rPr>
                <w:sz w:val="21"/>
                <w:szCs w:val="21"/>
                <w:highlight w:val="none"/>
              </w:rPr>
              <w:t>1.0</w:t>
            </w:r>
          </w:p>
        </w:tc>
      </w:tr>
      <w:tr w14:paraId="6F6A27B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255847CC">
            <w:pPr>
              <w:kinsoku w:val="0"/>
              <w:overflowPunct w:val="0"/>
              <w:autoSpaceDE w:val="0"/>
              <w:autoSpaceDN w:val="0"/>
              <w:adjustRightInd w:val="0"/>
              <w:jc w:val="center"/>
              <w:rPr>
                <w:sz w:val="21"/>
                <w:szCs w:val="21"/>
                <w:highlight w:val="none"/>
              </w:rPr>
            </w:pPr>
            <w:r>
              <w:rPr>
                <w:sz w:val="21"/>
                <w:szCs w:val="21"/>
                <w:highlight w:val="none"/>
              </w:rPr>
              <w:t>氟化物</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79DC19A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5</w:t>
            </w:r>
            <w:r>
              <w:rPr>
                <w:sz w:val="21"/>
                <w:szCs w:val="21"/>
                <w:highlight w:val="none"/>
              </w:rPr>
              <w:t>6</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8643CB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5</w:t>
            </w:r>
            <w:r>
              <w:rPr>
                <w:sz w:val="21"/>
                <w:szCs w:val="21"/>
                <w:highlight w:val="none"/>
              </w:rPr>
              <w:t>9</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7D361470">
            <w:pPr>
              <w:kinsoku w:val="0"/>
              <w:overflowPunct w:val="0"/>
              <w:autoSpaceDE w:val="0"/>
              <w:autoSpaceDN w:val="0"/>
              <w:adjustRightInd w:val="0"/>
              <w:jc w:val="center"/>
              <w:rPr>
                <w:sz w:val="21"/>
                <w:szCs w:val="21"/>
                <w:highlight w:val="none"/>
              </w:rPr>
            </w:pPr>
            <w:r>
              <w:rPr>
                <w:sz w:val="21"/>
                <w:szCs w:val="21"/>
                <w:highlight w:val="none"/>
              </w:rPr>
              <w:t>0.58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1E12BFD">
            <w:pPr>
              <w:kinsoku w:val="0"/>
              <w:overflowPunct w:val="0"/>
              <w:autoSpaceDE w:val="0"/>
              <w:autoSpaceDN w:val="0"/>
              <w:adjustRightInd w:val="0"/>
              <w:jc w:val="center"/>
              <w:rPr>
                <w:sz w:val="21"/>
                <w:szCs w:val="21"/>
                <w:highlight w:val="none"/>
              </w:rPr>
            </w:pPr>
            <w:r>
              <w:rPr>
                <w:sz w:val="21"/>
                <w:szCs w:val="21"/>
                <w:highlight w:val="none"/>
              </w:rPr>
              <w:t>0.58</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4C603D5E">
            <w:pPr>
              <w:kinsoku w:val="0"/>
              <w:overflowPunct w:val="0"/>
              <w:autoSpaceDE w:val="0"/>
              <w:autoSpaceDN w:val="0"/>
              <w:adjustRightInd w:val="0"/>
              <w:jc w:val="center"/>
              <w:rPr>
                <w:sz w:val="21"/>
                <w:szCs w:val="21"/>
                <w:highlight w:val="none"/>
              </w:rPr>
            </w:pPr>
            <w:r>
              <w:rPr>
                <w:sz w:val="21"/>
                <w:szCs w:val="21"/>
                <w:highlight w:val="none"/>
              </w:rPr>
              <w:t>0.52</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6D73D6A">
            <w:pPr>
              <w:kinsoku w:val="0"/>
              <w:overflowPunct w:val="0"/>
              <w:autoSpaceDE w:val="0"/>
              <w:autoSpaceDN w:val="0"/>
              <w:adjustRightInd w:val="0"/>
              <w:jc w:val="center"/>
              <w:rPr>
                <w:sz w:val="21"/>
                <w:szCs w:val="21"/>
                <w:highlight w:val="none"/>
              </w:rPr>
            </w:pPr>
            <w:r>
              <w:rPr>
                <w:sz w:val="21"/>
                <w:szCs w:val="21"/>
                <w:highlight w:val="none"/>
              </w:rPr>
              <w:t>0.51</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60A275">
            <w:pPr>
              <w:kinsoku w:val="0"/>
              <w:overflowPunct w:val="0"/>
              <w:autoSpaceDE w:val="0"/>
              <w:autoSpaceDN w:val="0"/>
              <w:adjustRightInd w:val="0"/>
              <w:jc w:val="center"/>
              <w:rPr>
                <w:sz w:val="21"/>
                <w:szCs w:val="21"/>
                <w:highlight w:val="none"/>
              </w:rPr>
            </w:pPr>
            <w:r>
              <w:rPr>
                <w:sz w:val="21"/>
                <w:szCs w:val="21"/>
                <w:highlight w:val="none"/>
              </w:rPr>
              <w:t>0.50</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743759A">
            <w:pPr>
              <w:kinsoku w:val="0"/>
              <w:overflowPunct w:val="0"/>
              <w:autoSpaceDE w:val="0"/>
              <w:autoSpaceDN w:val="0"/>
              <w:adjustRightInd w:val="0"/>
              <w:jc w:val="center"/>
              <w:rPr>
                <w:sz w:val="21"/>
                <w:szCs w:val="21"/>
                <w:highlight w:val="none"/>
              </w:rPr>
            </w:pPr>
            <w:r>
              <w:rPr>
                <w:sz w:val="21"/>
                <w:szCs w:val="21"/>
                <w:highlight w:val="none"/>
              </w:rPr>
              <w:t>0.53</w:t>
            </w:r>
          </w:p>
        </w:tc>
        <w:tc>
          <w:tcPr>
            <w:tcW w:w="564" w:type="pct"/>
            <w:tcBorders>
              <w:top w:val="single" w:color="000000" w:sz="4" w:space="0"/>
              <w:left w:val="single" w:color="auto" w:sz="4" w:space="0"/>
              <w:bottom w:val="single" w:color="000000" w:sz="4" w:space="0"/>
              <w:right w:val="single" w:color="000000" w:sz="4" w:space="0"/>
            </w:tcBorders>
            <w:noWrap w:val="0"/>
            <w:vAlign w:val="bottom"/>
          </w:tcPr>
          <w:p w14:paraId="09F280D3">
            <w:pPr>
              <w:kinsoku w:val="0"/>
              <w:overflowPunct w:val="0"/>
              <w:autoSpaceDE w:val="0"/>
              <w:autoSpaceDN w:val="0"/>
              <w:adjustRightInd w:val="0"/>
              <w:jc w:val="center"/>
              <w:rPr>
                <w:sz w:val="21"/>
                <w:szCs w:val="21"/>
                <w:highlight w:val="none"/>
              </w:rPr>
            </w:pPr>
            <w:r>
              <w:rPr>
                <w:sz w:val="21"/>
                <w:szCs w:val="21"/>
                <w:highlight w:val="none"/>
              </w:rPr>
              <w:t>10</w:t>
            </w:r>
          </w:p>
        </w:tc>
      </w:tr>
      <w:tr w14:paraId="2C489C77">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1144C2DF">
            <w:pPr>
              <w:kinsoku w:val="0"/>
              <w:overflowPunct w:val="0"/>
              <w:autoSpaceDE w:val="0"/>
              <w:autoSpaceDN w:val="0"/>
              <w:adjustRightInd w:val="0"/>
              <w:jc w:val="center"/>
              <w:rPr>
                <w:sz w:val="21"/>
                <w:szCs w:val="21"/>
                <w:highlight w:val="none"/>
              </w:rPr>
            </w:pPr>
            <w:r>
              <w:rPr>
                <w:sz w:val="21"/>
                <w:szCs w:val="21"/>
                <w:highlight w:val="none"/>
              </w:rPr>
              <w:t>总铅（μ</w:t>
            </w:r>
            <w:r>
              <w:rPr>
                <w:spacing w:val="-3"/>
                <w:sz w:val="21"/>
                <w:szCs w:val="21"/>
                <w:highlight w:val="none"/>
              </w:rPr>
              <w:t>g</w:t>
            </w:r>
            <w:r>
              <w:rPr>
                <w:sz w:val="21"/>
                <w:szCs w:val="21"/>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00674F8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2</w:t>
            </w:r>
            <w:r>
              <w:rPr>
                <w:spacing w:val="1"/>
                <w:sz w:val="21"/>
                <w:szCs w:val="21"/>
                <w:highlight w:val="none"/>
              </w:rPr>
              <w:t>5</w:t>
            </w:r>
            <w:r>
              <w:rPr>
                <w:sz w:val="21"/>
                <w:szCs w:val="21"/>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8B1A22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652FC8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B4E743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6E9CA4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FF67A4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C3378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58CEE78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A05DA1C">
            <w:pPr>
              <w:kinsoku w:val="0"/>
              <w:overflowPunct w:val="0"/>
              <w:autoSpaceDE w:val="0"/>
              <w:autoSpaceDN w:val="0"/>
              <w:adjustRightInd w:val="0"/>
              <w:jc w:val="center"/>
              <w:rPr>
                <w:sz w:val="21"/>
                <w:szCs w:val="21"/>
                <w:highlight w:val="none"/>
              </w:rPr>
            </w:pPr>
            <w:r>
              <w:rPr>
                <w:sz w:val="21"/>
                <w:szCs w:val="21"/>
                <w:highlight w:val="none"/>
              </w:rPr>
              <w:t>1.0mg/L</w:t>
            </w:r>
          </w:p>
        </w:tc>
      </w:tr>
      <w:tr w14:paraId="5D14B15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173C0C50">
            <w:pPr>
              <w:kinsoku w:val="0"/>
              <w:overflowPunct w:val="0"/>
              <w:autoSpaceDE w:val="0"/>
              <w:autoSpaceDN w:val="0"/>
              <w:adjustRightInd w:val="0"/>
              <w:jc w:val="center"/>
              <w:rPr>
                <w:sz w:val="21"/>
                <w:szCs w:val="21"/>
                <w:highlight w:val="none"/>
              </w:rPr>
            </w:pPr>
            <w:r>
              <w:rPr>
                <w:sz w:val="21"/>
                <w:szCs w:val="21"/>
                <w:highlight w:val="none"/>
              </w:rPr>
              <w:t>总镉（μ</w:t>
            </w:r>
            <w:r>
              <w:rPr>
                <w:spacing w:val="-3"/>
                <w:sz w:val="21"/>
                <w:szCs w:val="21"/>
                <w:highlight w:val="none"/>
              </w:rPr>
              <w:t>g</w:t>
            </w:r>
            <w:r>
              <w:rPr>
                <w:sz w:val="21"/>
                <w:szCs w:val="21"/>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199C90D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470ED2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170966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6ED0AF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459156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FAE425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FCF3667">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CD8A36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29D7E09D">
            <w:pPr>
              <w:kinsoku w:val="0"/>
              <w:overflowPunct w:val="0"/>
              <w:autoSpaceDE w:val="0"/>
              <w:autoSpaceDN w:val="0"/>
              <w:adjustRightInd w:val="0"/>
              <w:jc w:val="center"/>
              <w:rPr>
                <w:sz w:val="21"/>
                <w:szCs w:val="21"/>
                <w:highlight w:val="none"/>
              </w:rPr>
            </w:pPr>
            <w:r>
              <w:rPr>
                <w:sz w:val="21"/>
                <w:szCs w:val="21"/>
                <w:highlight w:val="none"/>
              </w:rPr>
              <w:t>0.1mg/L</w:t>
            </w:r>
          </w:p>
        </w:tc>
      </w:tr>
      <w:tr w14:paraId="0088B272">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AF539DF">
            <w:pPr>
              <w:kinsoku w:val="0"/>
              <w:overflowPunct w:val="0"/>
              <w:autoSpaceDE w:val="0"/>
              <w:autoSpaceDN w:val="0"/>
              <w:adjustRightInd w:val="0"/>
              <w:jc w:val="center"/>
              <w:rPr>
                <w:sz w:val="21"/>
                <w:szCs w:val="21"/>
                <w:highlight w:val="none"/>
              </w:rPr>
            </w:pPr>
            <w:r>
              <w:rPr>
                <w:sz w:val="21"/>
                <w:szCs w:val="21"/>
                <w:highlight w:val="none"/>
              </w:rPr>
              <w:t>六价铬</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FDBBF1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F5F8A3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4C1D214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A50C62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1AAEBA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D2D442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DB43EA8">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282C452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615FFF4">
            <w:pPr>
              <w:kinsoku w:val="0"/>
              <w:overflowPunct w:val="0"/>
              <w:autoSpaceDE w:val="0"/>
              <w:autoSpaceDN w:val="0"/>
              <w:adjustRightInd w:val="0"/>
              <w:jc w:val="center"/>
              <w:rPr>
                <w:sz w:val="21"/>
                <w:szCs w:val="21"/>
                <w:highlight w:val="none"/>
              </w:rPr>
            </w:pPr>
            <w:r>
              <w:rPr>
                <w:sz w:val="21"/>
                <w:szCs w:val="21"/>
                <w:highlight w:val="none"/>
              </w:rPr>
              <w:t>0.5</w:t>
            </w:r>
          </w:p>
        </w:tc>
      </w:tr>
      <w:tr w14:paraId="69A64996">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0B61AF5E">
            <w:pPr>
              <w:kinsoku w:val="0"/>
              <w:overflowPunct w:val="0"/>
              <w:autoSpaceDE w:val="0"/>
              <w:autoSpaceDN w:val="0"/>
              <w:adjustRightInd w:val="0"/>
              <w:jc w:val="center"/>
              <w:rPr>
                <w:sz w:val="21"/>
                <w:szCs w:val="21"/>
                <w:highlight w:val="none"/>
              </w:rPr>
            </w:pPr>
            <w:r>
              <w:rPr>
                <w:sz w:val="21"/>
                <w:szCs w:val="21"/>
                <w:highlight w:val="none"/>
              </w:rPr>
              <w:t>总铬</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083C8F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0</w:t>
            </w:r>
            <w:r>
              <w:rPr>
                <w:spacing w:val="1"/>
                <w:sz w:val="21"/>
                <w:szCs w:val="21"/>
                <w:highlight w:val="none"/>
              </w:rPr>
              <w:t>3</w:t>
            </w:r>
            <w:r>
              <w:rPr>
                <w:sz w:val="21"/>
                <w:szCs w:val="21"/>
                <w:highlight w:val="none"/>
              </w:rPr>
              <w:t>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653D123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C96131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06FB70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4D8E7C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4B3742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DA0098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4E785469">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71C84B02">
            <w:pPr>
              <w:kinsoku w:val="0"/>
              <w:overflowPunct w:val="0"/>
              <w:autoSpaceDE w:val="0"/>
              <w:autoSpaceDN w:val="0"/>
              <w:adjustRightInd w:val="0"/>
              <w:jc w:val="center"/>
              <w:rPr>
                <w:sz w:val="21"/>
                <w:szCs w:val="21"/>
                <w:highlight w:val="none"/>
              </w:rPr>
            </w:pPr>
            <w:r>
              <w:rPr>
                <w:sz w:val="21"/>
                <w:szCs w:val="21"/>
                <w:highlight w:val="none"/>
              </w:rPr>
              <w:t>1.5</w:t>
            </w:r>
          </w:p>
        </w:tc>
      </w:tr>
      <w:tr w14:paraId="33639B6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FB6AC63">
            <w:pPr>
              <w:kinsoku w:val="0"/>
              <w:overflowPunct w:val="0"/>
              <w:autoSpaceDE w:val="0"/>
              <w:autoSpaceDN w:val="0"/>
              <w:adjustRightInd w:val="0"/>
              <w:jc w:val="center"/>
              <w:rPr>
                <w:sz w:val="21"/>
                <w:szCs w:val="21"/>
                <w:highlight w:val="none"/>
              </w:rPr>
            </w:pPr>
            <w:r>
              <w:rPr>
                <w:sz w:val="21"/>
                <w:szCs w:val="21"/>
                <w:highlight w:val="none"/>
              </w:rPr>
              <w:t>总砷（μ</w:t>
            </w:r>
            <w:r>
              <w:rPr>
                <w:spacing w:val="-3"/>
                <w:sz w:val="21"/>
                <w:szCs w:val="21"/>
                <w:highlight w:val="none"/>
              </w:rPr>
              <w:t>g</w:t>
            </w:r>
            <w:r>
              <w:rPr>
                <w:sz w:val="21"/>
                <w:szCs w:val="21"/>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16BCF63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.5</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AAA7C1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.4</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CB6F281">
            <w:pPr>
              <w:kinsoku w:val="0"/>
              <w:overflowPunct w:val="0"/>
              <w:autoSpaceDE w:val="0"/>
              <w:autoSpaceDN w:val="0"/>
              <w:adjustRightInd w:val="0"/>
              <w:jc w:val="center"/>
              <w:rPr>
                <w:sz w:val="21"/>
                <w:szCs w:val="21"/>
                <w:highlight w:val="none"/>
              </w:rPr>
            </w:pPr>
            <w:r>
              <w:rPr>
                <w:sz w:val="21"/>
                <w:szCs w:val="21"/>
                <w:highlight w:val="none"/>
              </w:rPr>
              <w:t>0.4</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F21BF33">
            <w:pPr>
              <w:kinsoku w:val="0"/>
              <w:overflowPunct w:val="0"/>
              <w:autoSpaceDE w:val="0"/>
              <w:autoSpaceDN w:val="0"/>
              <w:adjustRightInd w:val="0"/>
              <w:jc w:val="center"/>
              <w:rPr>
                <w:sz w:val="21"/>
                <w:szCs w:val="21"/>
                <w:highlight w:val="none"/>
              </w:rPr>
            </w:pPr>
            <w:r>
              <w:rPr>
                <w:sz w:val="21"/>
                <w:szCs w:val="21"/>
                <w:highlight w:val="none"/>
              </w:rPr>
              <w:t>0.4</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BD9CAB9">
            <w:pPr>
              <w:kinsoku w:val="0"/>
              <w:overflowPunct w:val="0"/>
              <w:autoSpaceDE w:val="0"/>
              <w:autoSpaceDN w:val="0"/>
              <w:adjustRightInd w:val="0"/>
              <w:jc w:val="center"/>
              <w:rPr>
                <w:sz w:val="21"/>
                <w:szCs w:val="21"/>
                <w:highlight w:val="none"/>
              </w:rPr>
            </w:pPr>
            <w:r>
              <w:rPr>
                <w:sz w:val="21"/>
                <w:szCs w:val="21"/>
                <w:highlight w:val="none"/>
              </w:rPr>
              <w:t>0.4</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7E1D1FE2">
            <w:pPr>
              <w:kinsoku w:val="0"/>
              <w:overflowPunct w:val="0"/>
              <w:autoSpaceDE w:val="0"/>
              <w:autoSpaceDN w:val="0"/>
              <w:adjustRightInd w:val="0"/>
              <w:jc w:val="center"/>
              <w:rPr>
                <w:sz w:val="21"/>
                <w:szCs w:val="21"/>
                <w:highlight w:val="none"/>
              </w:rPr>
            </w:pPr>
            <w:r>
              <w:rPr>
                <w:sz w:val="21"/>
                <w:szCs w:val="21"/>
                <w:highlight w:val="none"/>
              </w:rPr>
              <w:t>0.4</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07420A">
            <w:pPr>
              <w:kinsoku w:val="0"/>
              <w:overflowPunct w:val="0"/>
              <w:autoSpaceDE w:val="0"/>
              <w:autoSpaceDN w:val="0"/>
              <w:adjustRightInd w:val="0"/>
              <w:jc w:val="center"/>
              <w:rPr>
                <w:sz w:val="21"/>
                <w:szCs w:val="21"/>
                <w:highlight w:val="none"/>
              </w:rPr>
            </w:pPr>
            <w:r>
              <w:rPr>
                <w:sz w:val="21"/>
                <w:szCs w:val="21"/>
                <w:highlight w:val="none"/>
              </w:rPr>
              <w:t>0.5</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012679B9">
            <w:pPr>
              <w:kinsoku w:val="0"/>
              <w:overflowPunct w:val="0"/>
              <w:autoSpaceDE w:val="0"/>
              <w:autoSpaceDN w:val="0"/>
              <w:adjustRightInd w:val="0"/>
              <w:jc w:val="center"/>
              <w:rPr>
                <w:sz w:val="21"/>
                <w:szCs w:val="21"/>
                <w:highlight w:val="none"/>
              </w:rPr>
            </w:pPr>
            <w:r>
              <w:rPr>
                <w:sz w:val="21"/>
                <w:szCs w:val="21"/>
                <w:highlight w:val="none"/>
              </w:rPr>
              <w:t>0.4</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5E1CB4B">
            <w:pPr>
              <w:kinsoku w:val="0"/>
              <w:overflowPunct w:val="0"/>
              <w:autoSpaceDE w:val="0"/>
              <w:autoSpaceDN w:val="0"/>
              <w:adjustRightInd w:val="0"/>
              <w:jc w:val="center"/>
              <w:rPr>
                <w:sz w:val="21"/>
                <w:szCs w:val="21"/>
                <w:highlight w:val="none"/>
              </w:rPr>
            </w:pPr>
            <w:r>
              <w:rPr>
                <w:sz w:val="21"/>
                <w:szCs w:val="21"/>
                <w:highlight w:val="none"/>
              </w:rPr>
              <w:t>0.5mg/L</w:t>
            </w:r>
          </w:p>
        </w:tc>
      </w:tr>
      <w:tr w14:paraId="43745EAB">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5AA6E449">
            <w:pPr>
              <w:kinsoku w:val="0"/>
              <w:overflowPunct w:val="0"/>
              <w:autoSpaceDE w:val="0"/>
              <w:autoSpaceDN w:val="0"/>
              <w:adjustRightInd w:val="0"/>
              <w:jc w:val="center"/>
              <w:rPr>
                <w:sz w:val="21"/>
                <w:szCs w:val="21"/>
                <w:highlight w:val="none"/>
              </w:rPr>
            </w:pPr>
            <w:r>
              <w:rPr>
                <w:sz w:val="21"/>
                <w:szCs w:val="21"/>
                <w:highlight w:val="none"/>
              </w:rPr>
              <w:t>总汞（μ</w:t>
            </w:r>
            <w:r>
              <w:rPr>
                <w:spacing w:val="-3"/>
                <w:sz w:val="21"/>
                <w:szCs w:val="21"/>
                <w:highlight w:val="none"/>
              </w:rPr>
              <w:t>g</w:t>
            </w:r>
            <w:r>
              <w:rPr>
                <w:sz w:val="21"/>
                <w:szCs w:val="21"/>
                <w:highlight w:val="none"/>
              </w:rPr>
              <w:t>/L）</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359D35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9</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644175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9</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942C789">
            <w:pPr>
              <w:kinsoku w:val="0"/>
              <w:overflowPunct w:val="0"/>
              <w:autoSpaceDE w:val="0"/>
              <w:autoSpaceDN w:val="0"/>
              <w:adjustRightInd w:val="0"/>
              <w:jc w:val="center"/>
              <w:rPr>
                <w:sz w:val="21"/>
                <w:szCs w:val="21"/>
                <w:highlight w:val="none"/>
              </w:rPr>
            </w:pPr>
            <w:r>
              <w:rPr>
                <w:sz w:val="21"/>
                <w:szCs w:val="21"/>
                <w:highlight w:val="none"/>
              </w:rPr>
              <w:t>0.09</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B1A764E">
            <w:pPr>
              <w:kinsoku w:val="0"/>
              <w:overflowPunct w:val="0"/>
              <w:autoSpaceDE w:val="0"/>
              <w:autoSpaceDN w:val="0"/>
              <w:adjustRightInd w:val="0"/>
              <w:jc w:val="center"/>
              <w:rPr>
                <w:sz w:val="21"/>
                <w:szCs w:val="21"/>
                <w:highlight w:val="none"/>
              </w:rPr>
            </w:pPr>
            <w:r>
              <w:rPr>
                <w:sz w:val="21"/>
                <w:szCs w:val="21"/>
                <w:highlight w:val="none"/>
              </w:rPr>
              <w:t>0.10</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E94F590">
            <w:pPr>
              <w:kinsoku w:val="0"/>
              <w:overflowPunct w:val="0"/>
              <w:autoSpaceDE w:val="0"/>
              <w:autoSpaceDN w:val="0"/>
              <w:adjustRightInd w:val="0"/>
              <w:jc w:val="center"/>
              <w:rPr>
                <w:sz w:val="21"/>
                <w:szCs w:val="21"/>
                <w:highlight w:val="none"/>
              </w:rPr>
            </w:pPr>
            <w:r>
              <w:rPr>
                <w:sz w:val="21"/>
                <w:szCs w:val="21"/>
                <w:highlight w:val="none"/>
              </w:rPr>
              <w:t>0.</w:t>
            </w:r>
            <w:r>
              <w:rPr>
                <w:spacing w:val="-5"/>
                <w:sz w:val="21"/>
                <w:szCs w:val="21"/>
                <w:highlight w:val="none"/>
              </w:rPr>
              <w:t>1</w:t>
            </w:r>
            <w:r>
              <w:rPr>
                <w:sz w:val="21"/>
                <w:szCs w:val="21"/>
                <w:highlight w:val="none"/>
              </w:rPr>
              <w:t>1</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271DCC4">
            <w:pPr>
              <w:kinsoku w:val="0"/>
              <w:overflowPunct w:val="0"/>
              <w:autoSpaceDE w:val="0"/>
              <w:autoSpaceDN w:val="0"/>
              <w:adjustRightInd w:val="0"/>
              <w:jc w:val="center"/>
              <w:rPr>
                <w:sz w:val="21"/>
                <w:szCs w:val="21"/>
                <w:highlight w:val="none"/>
              </w:rPr>
            </w:pPr>
            <w:r>
              <w:rPr>
                <w:sz w:val="21"/>
                <w:szCs w:val="21"/>
                <w:highlight w:val="none"/>
              </w:rPr>
              <w:t>0.</w:t>
            </w:r>
            <w:r>
              <w:rPr>
                <w:spacing w:val="-5"/>
                <w:sz w:val="21"/>
                <w:szCs w:val="21"/>
                <w:highlight w:val="none"/>
              </w:rPr>
              <w:t>1</w:t>
            </w:r>
            <w:r>
              <w:rPr>
                <w:sz w:val="21"/>
                <w:szCs w:val="21"/>
                <w:highlight w:val="none"/>
              </w:rPr>
              <w:t>1</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FD52517">
            <w:pPr>
              <w:kinsoku w:val="0"/>
              <w:overflowPunct w:val="0"/>
              <w:autoSpaceDE w:val="0"/>
              <w:autoSpaceDN w:val="0"/>
              <w:adjustRightInd w:val="0"/>
              <w:jc w:val="center"/>
              <w:rPr>
                <w:sz w:val="21"/>
                <w:szCs w:val="21"/>
                <w:highlight w:val="none"/>
              </w:rPr>
            </w:pPr>
            <w:r>
              <w:rPr>
                <w:sz w:val="21"/>
                <w:szCs w:val="21"/>
                <w:highlight w:val="none"/>
              </w:rPr>
              <w:t>0.12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1420AC13">
            <w:pPr>
              <w:kinsoku w:val="0"/>
              <w:overflowPunct w:val="0"/>
              <w:autoSpaceDE w:val="0"/>
              <w:autoSpaceDN w:val="0"/>
              <w:adjustRightInd w:val="0"/>
              <w:jc w:val="center"/>
              <w:rPr>
                <w:sz w:val="21"/>
                <w:szCs w:val="21"/>
                <w:highlight w:val="none"/>
              </w:rPr>
            </w:pPr>
            <w:r>
              <w:rPr>
                <w:sz w:val="21"/>
                <w:szCs w:val="21"/>
                <w:highlight w:val="none"/>
              </w:rPr>
              <w:t>0.12</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34B83684">
            <w:pPr>
              <w:kinsoku w:val="0"/>
              <w:overflowPunct w:val="0"/>
              <w:autoSpaceDE w:val="0"/>
              <w:autoSpaceDN w:val="0"/>
              <w:adjustRightInd w:val="0"/>
              <w:jc w:val="center"/>
              <w:rPr>
                <w:sz w:val="21"/>
                <w:szCs w:val="21"/>
                <w:highlight w:val="none"/>
              </w:rPr>
            </w:pPr>
            <w:r>
              <w:rPr>
                <w:sz w:val="21"/>
                <w:szCs w:val="21"/>
                <w:highlight w:val="none"/>
              </w:rPr>
              <w:t>0.05mg/L</w:t>
            </w:r>
          </w:p>
        </w:tc>
      </w:tr>
      <w:tr w14:paraId="5A416E8B">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6966EB0C">
            <w:pPr>
              <w:kinsoku w:val="0"/>
              <w:overflowPunct w:val="0"/>
              <w:autoSpaceDE w:val="0"/>
              <w:autoSpaceDN w:val="0"/>
              <w:adjustRightInd w:val="0"/>
              <w:jc w:val="center"/>
              <w:rPr>
                <w:sz w:val="21"/>
                <w:szCs w:val="21"/>
                <w:highlight w:val="none"/>
              </w:rPr>
            </w:pPr>
            <w:r>
              <w:rPr>
                <w:sz w:val="21"/>
                <w:szCs w:val="21"/>
                <w:highlight w:val="none"/>
              </w:rPr>
              <w:t>挥发酚</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8B68C4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z w:val="21"/>
                <w:szCs w:val="21"/>
                <w:highlight w:val="none"/>
              </w:rPr>
              <w:t>2</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157AE52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8"/>
                <w:sz w:val="21"/>
                <w:szCs w:val="21"/>
                <w:highlight w:val="none"/>
              </w:rPr>
              <w:t>1</w:t>
            </w:r>
            <w:r>
              <w:rPr>
                <w:sz w:val="21"/>
                <w:szCs w:val="21"/>
                <w:highlight w:val="none"/>
              </w:rPr>
              <w:t>1</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997018E">
            <w:pPr>
              <w:kinsoku w:val="0"/>
              <w:overflowPunct w:val="0"/>
              <w:autoSpaceDE w:val="0"/>
              <w:autoSpaceDN w:val="0"/>
              <w:adjustRightInd w:val="0"/>
              <w:jc w:val="center"/>
              <w:rPr>
                <w:sz w:val="21"/>
                <w:szCs w:val="21"/>
                <w:highlight w:val="none"/>
              </w:rPr>
            </w:pPr>
            <w:r>
              <w:rPr>
                <w:sz w:val="21"/>
                <w:szCs w:val="21"/>
                <w:highlight w:val="none"/>
              </w:rPr>
              <w:t>0.006</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007E9CE">
            <w:pPr>
              <w:kinsoku w:val="0"/>
              <w:overflowPunct w:val="0"/>
              <w:autoSpaceDE w:val="0"/>
              <w:autoSpaceDN w:val="0"/>
              <w:adjustRightInd w:val="0"/>
              <w:jc w:val="center"/>
              <w:rPr>
                <w:sz w:val="21"/>
                <w:szCs w:val="21"/>
                <w:highlight w:val="none"/>
              </w:rPr>
            </w:pPr>
            <w:r>
              <w:rPr>
                <w:sz w:val="21"/>
                <w:szCs w:val="21"/>
                <w:highlight w:val="none"/>
              </w:rPr>
              <w:t>0.004</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425C2B69">
            <w:pPr>
              <w:kinsoku w:val="0"/>
              <w:overflowPunct w:val="0"/>
              <w:autoSpaceDE w:val="0"/>
              <w:autoSpaceDN w:val="0"/>
              <w:adjustRightInd w:val="0"/>
              <w:jc w:val="center"/>
              <w:rPr>
                <w:sz w:val="21"/>
                <w:szCs w:val="21"/>
                <w:highlight w:val="none"/>
              </w:rPr>
            </w:pPr>
            <w:r>
              <w:rPr>
                <w:sz w:val="21"/>
                <w:szCs w:val="21"/>
                <w:highlight w:val="none"/>
              </w:rPr>
              <w:t>0.005</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9EBCDBD">
            <w:pPr>
              <w:kinsoku w:val="0"/>
              <w:overflowPunct w:val="0"/>
              <w:autoSpaceDE w:val="0"/>
              <w:autoSpaceDN w:val="0"/>
              <w:adjustRightInd w:val="0"/>
              <w:jc w:val="center"/>
              <w:rPr>
                <w:sz w:val="21"/>
                <w:szCs w:val="21"/>
                <w:highlight w:val="none"/>
              </w:rPr>
            </w:pPr>
            <w:r>
              <w:rPr>
                <w:sz w:val="21"/>
                <w:szCs w:val="21"/>
                <w:highlight w:val="none"/>
              </w:rPr>
              <w:t>0.004</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0EC2A65A">
            <w:pPr>
              <w:kinsoku w:val="0"/>
              <w:overflowPunct w:val="0"/>
              <w:autoSpaceDE w:val="0"/>
              <w:autoSpaceDN w:val="0"/>
              <w:adjustRightInd w:val="0"/>
              <w:jc w:val="center"/>
              <w:rPr>
                <w:sz w:val="21"/>
                <w:szCs w:val="21"/>
                <w:highlight w:val="none"/>
              </w:rPr>
            </w:pPr>
            <w:r>
              <w:rPr>
                <w:sz w:val="21"/>
                <w:szCs w:val="21"/>
                <w:highlight w:val="none"/>
              </w:rPr>
              <w:t>0.002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1F483420">
            <w:pPr>
              <w:kinsoku w:val="0"/>
              <w:overflowPunct w:val="0"/>
              <w:autoSpaceDE w:val="0"/>
              <w:autoSpaceDN w:val="0"/>
              <w:adjustRightInd w:val="0"/>
              <w:jc w:val="center"/>
              <w:rPr>
                <w:sz w:val="21"/>
                <w:szCs w:val="21"/>
                <w:highlight w:val="none"/>
              </w:rPr>
            </w:pPr>
            <w:r>
              <w:rPr>
                <w:sz w:val="21"/>
                <w:szCs w:val="21"/>
                <w:highlight w:val="none"/>
              </w:rPr>
              <w:t>0.002</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7113C620">
            <w:pPr>
              <w:kinsoku w:val="0"/>
              <w:overflowPunct w:val="0"/>
              <w:autoSpaceDE w:val="0"/>
              <w:autoSpaceDN w:val="0"/>
              <w:adjustRightInd w:val="0"/>
              <w:jc w:val="center"/>
              <w:rPr>
                <w:sz w:val="21"/>
                <w:szCs w:val="21"/>
                <w:highlight w:val="none"/>
              </w:rPr>
            </w:pPr>
            <w:r>
              <w:rPr>
                <w:sz w:val="21"/>
                <w:szCs w:val="21"/>
                <w:highlight w:val="none"/>
              </w:rPr>
              <w:t>0.5</w:t>
            </w:r>
          </w:p>
        </w:tc>
      </w:tr>
      <w:tr w14:paraId="7C2DA500">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9AFEE01">
            <w:pPr>
              <w:kinsoku w:val="0"/>
              <w:overflowPunct w:val="0"/>
              <w:autoSpaceDE w:val="0"/>
              <w:autoSpaceDN w:val="0"/>
              <w:adjustRightInd w:val="0"/>
              <w:jc w:val="center"/>
              <w:rPr>
                <w:sz w:val="21"/>
                <w:szCs w:val="21"/>
                <w:highlight w:val="none"/>
              </w:rPr>
            </w:pPr>
            <w:r>
              <w:rPr>
                <w:sz w:val="21"/>
                <w:szCs w:val="21"/>
                <w:highlight w:val="none"/>
              </w:rPr>
              <w:t>总钒</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223F8089">
            <w:pPr>
              <w:kinsoku w:val="0"/>
              <w:overflowPunct w:val="0"/>
              <w:autoSpaceDE w:val="0"/>
              <w:autoSpaceDN w:val="0"/>
              <w:adjustRightInd w:val="0"/>
              <w:jc w:val="center"/>
              <w:rPr>
                <w:sz w:val="21"/>
                <w:szCs w:val="21"/>
                <w:highlight w:val="none"/>
              </w:rPr>
            </w:pPr>
            <w:r>
              <w:rPr>
                <w:sz w:val="21"/>
                <w:szCs w:val="21"/>
                <w:highlight w:val="none"/>
              </w:rPr>
              <w:t>0.01L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51A4DC3">
            <w:pPr>
              <w:kinsoku w:val="0"/>
              <w:overflowPunct w:val="0"/>
              <w:autoSpaceDE w:val="0"/>
              <w:autoSpaceDN w:val="0"/>
              <w:adjustRightInd w:val="0"/>
              <w:jc w:val="center"/>
              <w:rPr>
                <w:sz w:val="21"/>
                <w:szCs w:val="21"/>
                <w:highlight w:val="none"/>
              </w:rPr>
            </w:pPr>
            <w:r>
              <w:rPr>
                <w:sz w:val="21"/>
                <w:szCs w:val="21"/>
                <w:highlight w:val="none"/>
              </w:rPr>
              <w:t>0.01L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5E9F275">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B2EEB2F">
            <w:pPr>
              <w:kinsoku w:val="0"/>
              <w:overflowPunct w:val="0"/>
              <w:autoSpaceDE w:val="0"/>
              <w:autoSpaceDN w:val="0"/>
              <w:adjustRightInd w:val="0"/>
              <w:jc w:val="center"/>
              <w:rPr>
                <w:sz w:val="21"/>
                <w:szCs w:val="21"/>
                <w:highlight w:val="none"/>
              </w:rPr>
            </w:pPr>
            <w:r>
              <w:rPr>
                <w:sz w:val="21"/>
                <w:szCs w:val="21"/>
                <w:highlight w:val="none"/>
              </w:rPr>
              <w:t>0.01L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1627639C">
            <w:pPr>
              <w:kinsoku w:val="0"/>
              <w:overflowPunct w:val="0"/>
              <w:autoSpaceDE w:val="0"/>
              <w:autoSpaceDN w:val="0"/>
              <w:adjustRightInd w:val="0"/>
              <w:jc w:val="center"/>
              <w:rPr>
                <w:sz w:val="21"/>
                <w:szCs w:val="21"/>
                <w:highlight w:val="none"/>
              </w:rPr>
            </w:pPr>
            <w:r>
              <w:rPr>
                <w:sz w:val="21"/>
                <w:szCs w:val="21"/>
                <w:highlight w:val="none"/>
              </w:rPr>
              <w:t>0.01L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99A621D">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A028BC5">
            <w:pPr>
              <w:kinsoku w:val="0"/>
              <w:overflowPunct w:val="0"/>
              <w:autoSpaceDE w:val="0"/>
              <w:autoSpaceDN w:val="0"/>
              <w:adjustRightInd w:val="0"/>
              <w:jc w:val="center"/>
              <w:rPr>
                <w:sz w:val="21"/>
                <w:szCs w:val="21"/>
                <w:highlight w:val="none"/>
              </w:rPr>
            </w:pPr>
            <w:r>
              <w:rPr>
                <w:sz w:val="21"/>
                <w:szCs w:val="21"/>
                <w:highlight w:val="none"/>
              </w:rPr>
              <w:t>0.01L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1AB31A7">
            <w:pPr>
              <w:kinsoku w:val="0"/>
              <w:overflowPunct w:val="0"/>
              <w:autoSpaceDE w:val="0"/>
              <w:autoSpaceDN w:val="0"/>
              <w:adjustRightInd w:val="0"/>
              <w:jc w:val="center"/>
              <w:rPr>
                <w:sz w:val="21"/>
                <w:szCs w:val="21"/>
                <w:highlight w:val="none"/>
              </w:rPr>
            </w:pPr>
            <w:r>
              <w:rPr>
                <w:sz w:val="21"/>
                <w:szCs w:val="21"/>
                <w:highlight w:val="none"/>
              </w:rPr>
              <w:t>0.01L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642E8C5">
            <w:pPr>
              <w:kinsoku w:val="0"/>
              <w:overflowPunct w:val="0"/>
              <w:autoSpaceDE w:val="0"/>
              <w:autoSpaceDN w:val="0"/>
              <w:adjustRightInd w:val="0"/>
              <w:jc w:val="center"/>
              <w:rPr>
                <w:sz w:val="21"/>
                <w:szCs w:val="21"/>
                <w:highlight w:val="none"/>
              </w:rPr>
            </w:pPr>
            <w:r>
              <w:rPr>
                <w:sz w:val="21"/>
                <w:szCs w:val="21"/>
                <w:highlight w:val="none"/>
              </w:rPr>
              <w:t>/</w:t>
            </w:r>
          </w:p>
        </w:tc>
      </w:tr>
      <w:tr w14:paraId="085348AA">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32105041">
            <w:pPr>
              <w:kinsoku w:val="0"/>
              <w:overflowPunct w:val="0"/>
              <w:autoSpaceDE w:val="0"/>
              <w:autoSpaceDN w:val="0"/>
              <w:adjustRightInd w:val="0"/>
              <w:jc w:val="center"/>
              <w:rPr>
                <w:sz w:val="21"/>
                <w:szCs w:val="21"/>
                <w:highlight w:val="none"/>
              </w:rPr>
            </w:pPr>
            <w:r>
              <w:rPr>
                <w:sz w:val="21"/>
                <w:szCs w:val="21"/>
                <w:highlight w:val="none"/>
              </w:rPr>
              <w:t>总铜</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08421986">
            <w:pPr>
              <w:kinsoku w:val="0"/>
              <w:overflowPunct w:val="0"/>
              <w:autoSpaceDE w:val="0"/>
              <w:autoSpaceDN w:val="0"/>
              <w:adjustRightInd w:val="0"/>
              <w:jc w:val="center"/>
              <w:rPr>
                <w:sz w:val="21"/>
                <w:szCs w:val="21"/>
                <w:highlight w:val="none"/>
              </w:rPr>
            </w:pPr>
            <w:r>
              <w:rPr>
                <w:sz w:val="21"/>
                <w:szCs w:val="21"/>
                <w:highlight w:val="none"/>
              </w:rPr>
              <w:t>0.04L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C02893B">
            <w:pPr>
              <w:kinsoku w:val="0"/>
              <w:overflowPunct w:val="0"/>
              <w:autoSpaceDE w:val="0"/>
              <w:autoSpaceDN w:val="0"/>
              <w:adjustRightInd w:val="0"/>
              <w:jc w:val="center"/>
              <w:rPr>
                <w:sz w:val="21"/>
                <w:szCs w:val="21"/>
                <w:highlight w:val="none"/>
              </w:rPr>
            </w:pPr>
            <w:r>
              <w:rPr>
                <w:sz w:val="21"/>
                <w:szCs w:val="21"/>
                <w:highlight w:val="none"/>
              </w:rPr>
              <w:t>0.04L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41020180">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C26B7D0">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E4DE092">
            <w:pPr>
              <w:kinsoku w:val="0"/>
              <w:overflowPunct w:val="0"/>
              <w:autoSpaceDE w:val="0"/>
              <w:autoSpaceDN w:val="0"/>
              <w:adjustRightInd w:val="0"/>
              <w:jc w:val="center"/>
              <w:rPr>
                <w:sz w:val="21"/>
                <w:szCs w:val="21"/>
                <w:highlight w:val="none"/>
              </w:rPr>
            </w:pPr>
            <w:r>
              <w:rPr>
                <w:sz w:val="21"/>
                <w:szCs w:val="21"/>
                <w:highlight w:val="none"/>
              </w:rPr>
              <w:t>0.04L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2E72890">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F318A6D">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4C3EE844">
            <w:pPr>
              <w:kinsoku w:val="0"/>
              <w:overflowPunct w:val="0"/>
              <w:autoSpaceDE w:val="0"/>
              <w:autoSpaceDN w:val="0"/>
              <w:adjustRightInd w:val="0"/>
              <w:jc w:val="center"/>
              <w:rPr>
                <w:sz w:val="21"/>
                <w:szCs w:val="21"/>
                <w:highlight w:val="none"/>
              </w:rPr>
            </w:pPr>
            <w:r>
              <w:rPr>
                <w:sz w:val="21"/>
                <w:szCs w:val="21"/>
                <w:highlight w:val="none"/>
              </w:rPr>
              <w:t>0.04L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970A17E">
            <w:pPr>
              <w:kinsoku w:val="0"/>
              <w:overflowPunct w:val="0"/>
              <w:autoSpaceDE w:val="0"/>
              <w:autoSpaceDN w:val="0"/>
              <w:adjustRightInd w:val="0"/>
              <w:jc w:val="center"/>
              <w:rPr>
                <w:sz w:val="21"/>
                <w:szCs w:val="21"/>
                <w:highlight w:val="none"/>
              </w:rPr>
            </w:pPr>
            <w:r>
              <w:rPr>
                <w:sz w:val="21"/>
                <w:szCs w:val="21"/>
                <w:highlight w:val="none"/>
              </w:rPr>
              <w:t>0.5</w:t>
            </w:r>
          </w:p>
        </w:tc>
      </w:tr>
      <w:tr w14:paraId="2204B310">
        <w:tblPrEx>
          <w:tblCellMar>
            <w:top w:w="0" w:type="dxa"/>
            <w:left w:w="0" w:type="dxa"/>
            <w:bottom w:w="0" w:type="dxa"/>
            <w:right w:w="0" w:type="dxa"/>
          </w:tblCellMar>
        </w:tblPrEx>
        <w:trPr>
          <w:trHeight w:val="405"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45E561A0">
            <w:pPr>
              <w:kinsoku w:val="0"/>
              <w:overflowPunct w:val="0"/>
              <w:autoSpaceDE w:val="0"/>
              <w:autoSpaceDN w:val="0"/>
              <w:adjustRightInd w:val="0"/>
              <w:jc w:val="center"/>
              <w:rPr>
                <w:sz w:val="21"/>
                <w:szCs w:val="21"/>
                <w:highlight w:val="none"/>
              </w:rPr>
            </w:pPr>
            <w:r>
              <w:rPr>
                <w:sz w:val="21"/>
                <w:szCs w:val="21"/>
                <w:highlight w:val="none"/>
              </w:rPr>
              <w:t>总锌</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2D00A248">
            <w:pPr>
              <w:kinsoku w:val="0"/>
              <w:overflowPunct w:val="0"/>
              <w:autoSpaceDE w:val="0"/>
              <w:autoSpaceDN w:val="0"/>
              <w:adjustRightInd w:val="0"/>
              <w:jc w:val="center"/>
              <w:rPr>
                <w:sz w:val="21"/>
                <w:szCs w:val="21"/>
                <w:highlight w:val="none"/>
              </w:rPr>
            </w:pPr>
            <w:r>
              <w:rPr>
                <w:sz w:val="21"/>
                <w:szCs w:val="21"/>
                <w:highlight w:val="none"/>
              </w:rPr>
              <w:t>0.009L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35A7305B">
            <w:pPr>
              <w:kinsoku w:val="0"/>
              <w:overflowPunct w:val="0"/>
              <w:autoSpaceDE w:val="0"/>
              <w:autoSpaceDN w:val="0"/>
              <w:adjustRightInd w:val="0"/>
              <w:jc w:val="center"/>
              <w:rPr>
                <w:sz w:val="21"/>
                <w:szCs w:val="21"/>
                <w:highlight w:val="none"/>
              </w:rPr>
            </w:pPr>
            <w:r>
              <w:rPr>
                <w:sz w:val="21"/>
                <w:szCs w:val="21"/>
                <w:highlight w:val="none"/>
              </w:rPr>
              <w:t>0.009L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46495E2D">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569B860">
            <w:pPr>
              <w:kinsoku w:val="0"/>
              <w:overflowPunct w:val="0"/>
              <w:autoSpaceDE w:val="0"/>
              <w:autoSpaceDN w:val="0"/>
              <w:adjustRightInd w:val="0"/>
              <w:jc w:val="center"/>
              <w:rPr>
                <w:sz w:val="21"/>
                <w:szCs w:val="21"/>
                <w:highlight w:val="none"/>
              </w:rPr>
            </w:pPr>
            <w:r>
              <w:rPr>
                <w:sz w:val="21"/>
                <w:szCs w:val="21"/>
                <w:highlight w:val="none"/>
              </w:rPr>
              <w:t>0.009L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640E338">
            <w:pPr>
              <w:kinsoku w:val="0"/>
              <w:overflowPunct w:val="0"/>
              <w:autoSpaceDE w:val="0"/>
              <w:autoSpaceDN w:val="0"/>
              <w:adjustRightInd w:val="0"/>
              <w:jc w:val="center"/>
              <w:rPr>
                <w:sz w:val="21"/>
                <w:szCs w:val="21"/>
                <w:highlight w:val="none"/>
              </w:rPr>
            </w:pPr>
            <w:r>
              <w:rPr>
                <w:sz w:val="21"/>
                <w:szCs w:val="21"/>
                <w:highlight w:val="none"/>
              </w:rPr>
              <w:t>0.009L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F34F6D5">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BF10C52">
            <w:pPr>
              <w:kinsoku w:val="0"/>
              <w:overflowPunct w:val="0"/>
              <w:autoSpaceDE w:val="0"/>
              <w:autoSpaceDN w:val="0"/>
              <w:adjustRightInd w:val="0"/>
              <w:jc w:val="center"/>
              <w:rPr>
                <w:sz w:val="21"/>
                <w:szCs w:val="21"/>
                <w:highlight w:val="none"/>
              </w:rPr>
            </w:pPr>
            <w:r>
              <w:rPr>
                <w:sz w:val="21"/>
                <w:szCs w:val="21"/>
                <w:highlight w:val="none"/>
              </w:rPr>
              <w:t>0.009L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8C51F83">
            <w:pPr>
              <w:kinsoku w:val="0"/>
              <w:overflowPunct w:val="0"/>
              <w:autoSpaceDE w:val="0"/>
              <w:autoSpaceDN w:val="0"/>
              <w:adjustRightInd w:val="0"/>
              <w:jc w:val="center"/>
              <w:rPr>
                <w:sz w:val="21"/>
                <w:szCs w:val="21"/>
                <w:highlight w:val="none"/>
              </w:rPr>
            </w:pPr>
            <w:r>
              <w:rPr>
                <w:sz w:val="21"/>
                <w:szCs w:val="21"/>
                <w:highlight w:val="none"/>
              </w:rPr>
              <w:t>0.009L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6E0C223F">
            <w:pPr>
              <w:kinsoku w:val="0"/>
              <w:overflowPunct w:val="0"/>
              <w:autoSpaceDE w:val="0"/>
              <w:autoSpaceDN w:val="0"/>
              <w:adjustRightInd w:val="0"/>
              <w:jc w:val="center"/>
              <w:rPr>
                <w:sz w:val="21"/>
                <w:szCs w:val="21"/>
                <w:highlight w:val="none"/>
              </w:rPr>
            </w:pPr>
            <w:r>
              <w:rPr>
                <w:sz w:val="21"/>
                <w:szCs w:val="21"/>
                <w:highlight w:val="none"/>
              </w:rPr>
              <w:t>2.0</w:t>
            </w:r>
          </w:p>
        </w:tc>
      </w:tr>
      <w:tr w14:paraId="4E5CF28F">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7F858E8C">
            <w:pPr>
              <w:kinsoku w:val="0"/>
              <w:overflowPunct w:val="0"/>
              <w:autoSpaceDE w:val="0"/>
              <w:autoSpaceDN w:val="0"/>
              <w:adjustRightInd w:val="0"/>
              <w:jc w:val="center"/>
              <w:rPr>
                <w:sz w:val="21"/>
                <w:szCs w:val="21"/>
                <w:highlight w:val="none"/>
              </w:rPr>
            </w:pPr>
            <w:r>
              <w:rPr>
                <w:sz w:val="21"/>
                <w:szCs w:val="21"/>
                <w:highlight w:val="none"/>
              </w:rPr>
              <w:t>总氰化物</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7A55051">
            <w:pPr>
              <w:kinsoku w:val="0"/>
              <w:overflowPunct w:val="0"/>
              <w:autoSpaceDE w:val="0"/>
              <w:autoSpaceDN w:val="0"/>
              <w:adjustRightInd w:val="0"/>
              <w:jc w:val="center"/>
              <w:rPr>
                <w:sz w:val="21"/>
                <w:szCs w:val="21"/>
                <w:highlight w:val="none"/>
              </w:rPr>
            </w:pPr>
            <w:r>
              <w:rPr>
                <w:sz w:val="21"/>
                <w:szCs w:val="21"/>
                <w:highlight w:val="none"/>
              </w:rPr>
              <w:t>0.007</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4D708750">
            <w:pPr>
              <w:kinsoku w:val="0"/>
              <w:overflowPunct w:val="0"/>
              <w:autoSpaceDE w:val="0"/>
              <w:autoSpaceDN w:val="0"/>
              <w:adjustRightInd w:val="0"/>
              <w:jc w:val="center"/>
              <w:rPr>
                <w:sz w:val="21"/>
                <w:szCs w:val="21"/>
                <w:highlight w:val="none"/>
              </w:rPr>
            </w:pPr>
            <w:r>
              <w:rPr>
                <w:sz w:val="21"/>
                <w:szCs w:val="21"/>
                <w:highlight w:val="none"/>
              </w:rPr>
              <w:t>0.006</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DDAB0DE">
            <w:pPr>
              <w:kinsoku w:val="0"/>
              <w:overflowPunct w:val="0"/>
              <w:autoSpaceDE w:val="0"/>
              <w:autoSpaceDN w:val="0"/>
              <w:adjustRightInd w:val="0"/>
              <w:jc w:val="center"/>
              <w:rPr>
                <w:sz w:val="21"/>
                <w:szCs w:val="21"/>
                <w:highlight w:val="none"/>
              </w:rPr>
            </w:pPr>
            <w:r>
              <w:rPr>
                <w:sz w:val="21"/>
                <w:szCs w:val="21"/>
                <w:highlight w:val="none"/>
              </w:rPr>
              <w:t>0.006</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5B18F17F">
            <w:pPr>
              <w:kinsoku w:val="0"/>
              <w:overflowPunct w:val="0"/>
              <w:autoSpaceDE w:val="0"/>
              <w:autoSpaceDN w:val="0"/>
              <w:adjustRightInd w:val="0"/>
              <w:jc w:val="center"/>
              <w:rPr>
                <w:sz w:val="21"/>
                <w:szCs w:val="21"/>
                <w:highlight w:val="none"/>
              </w:rPr>
            </w:pPr>
            <w:r>
              <w:rPr>
                <w:sz w:val="21"/>
                <w:szCs w:val="21"/>
                <w:highlight w:val="none"/>
              </w:rPr>
              <w:t>0.006</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BADADAB">
            <w:pPr>
              <w:kinsoku w:val="0"/>
              <w:overflowPunct w:val="0"/>
              <w:autoSpaceDE w:val="0"/>
              <w:autoSpaceDN w:val="0"/>
              <w:adjustRightInd w:val="0"/>
              <w:jc w:val="center"/>
              <w:rPr>
                <w:sz w:val="21"/>
                <w:szCs w:val="21"/>
                <w:highlight w:val="none"/>
              </w:rPr>
            </w:pPr>
            <w:r>
              <w:rPr>
                <w:sz w:val="21"/>
                <w:szCs w:val="21"/>
                <w:highlight w:val="none"/>
              </w:rPr>
              <w:t>0.006</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003C211">
            <w:pPr>
              <w:kinsoku w:val="0"/>
              <w:overflowPunct w:val="0"/>
              <w:autoSpaceDE w:val="0"/>
              <w:autoSpaceDN w:val="0"/>
              <w:adjustRightInd w:val="0"/>
              <w:jc w:val="center"/>
              <w:rPr>
                <w:sz w:val="21"/>
                <w:szCs w:val="21"/>
                <w:highlight w:val="none"/>
              </w:rPr>
            </w:pPr>
            <w:r>
              <w:rPr>
                <w:sz w:val="21"/>
                <w:szCs w:val="21"/>
                <w:highlight w:val="none"/>
              </w:rPr>
              <w:t>0.006</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ED1F680">
            <w:pPr>
              <w:kinsoku w:val="0"/>
              <w:overflowPunct w:val="0"/>
              <w:autoSpaceDE w:val="0"/>
              <w:autoSpaceDN w:val="0"/>
              <w:adjustRightInd w:val="0"/>
              <w:jc w:val="center"/>
              <w:rPr>
                <w:sz w:val="21"/>
                <w:szCs w:val="21"/>
                <w:highlight w:val="none"/>
              </w:rPr>
            </w:pPr>
            <w:r>
              <w:rPr>
                <w:sz w:val="21"/>
                <w:szCs w:val="21"/>
                <w:highlight w:val="none"/>
              </w:rPr>
              <w:t>0.006</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F393607">
            <w:pPr>
              <w:kinsoku w:val="0"/>
              <w:overflowPunct w:val="0"/>
              <w:autoSpaceDE w:val="0"/>
              <w:autoSpaceDN w:val="0"/>
              <w:adjustRightInd w:val="0"/>
              <w:jc w:val="center"/>
              <w:rPr>
                <w:sz w:val="21"/>
                <w:szCs w:val="21"/>
                <w:highlight w:val="none"/>
              </w:rPr>
            </w:pPr>
            <w:r>
              <w:rPr>
                <w:sz w:val="21"/>
                <w:szCs w:val="21"/>
                <w:highlight w:val="none"/>
              </w:rPr>
              <w:t>0.006</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A6571F3">
            <w:pPr>
              <w:kinsoku w:val="0"/>
              <w:overflowPunct w:val="0"/>
              <w:autoSpaceDE w:val="0"/>
              <w:autoSpaceDN w:val="0"/>
              <w:adjustRightInd w:val="0"/>
              <w:jc w:val="center"/>
              <w:rPr>
                <w:sz w:val="21"/>
                <w:szCs w:val="21"/>
                <w:highlight w:val="none"/>
              </w:rPr>
            </w:pPr>
            <w:r>
              <w:rPr>
                <w:sz w:val="21"/>
                <w:szCs w:val="21"/>
                <w:highlight w:val="none"/>
              </w:rPr>
              <w:t>0.5</w:t>
            </w:r>
          </w:p>
        </w:tc>
      </w:tr>
      <w:tr w14:paraId="7E17B246">
        <w:tblPrEx>
          <w:tblCellMar>
            <w:top w:w="0" w:type="dxa"/>
            <w:left w:w="0" w:type="dxa"/>
            <w:bottom w:w="0" w:type="dxa"/>
            <w:right w:w="0" w:type="dxa"/>
          </w:tblCellMar>
        </w:tblPrEx>
        <w:trPr>
          <w:trHeight w:val="37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2AC0073D">
            <w:pPr>
              <w:kinsoku w:val="0"/>
              <w:overflowPunct w:val="0"/>
              <w:autoSpaceDE w:val="0"/>
              <w:autoSpaceDN w:val="0"/>
              <w:adjustRightInd w:val="0"/>
              <w:jc w:val="center"/>
              <w:rPr>
                <w:sz w:val="21"/>
                <w:szCs w:val="21"/>
                <w:highlight w:val="none"/>
              </w:rPr>
            </w:pPr>
            <w:r>
              <w:rPr>
                <w:sz w:val="21"/>
                <w:szCs w:val="21"/>
                <w:highlight w:val="none"/>
              </w:rPr>
              <w:t>阴离子表面活性剂</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47EA0C9E">
            <w:pPr>
              <w:kinsoku w:val="0"/>
              <w:overflowPunct w:val="0"/>
              <w:autoSpaceDE w:val="0"/>
              <w:autoSpaceDN w:val="0"/>
              <w:adjustRightInd w:val="0"/>
              <w:jc w:val="center"/>
              <w:rPr>
                <w:sz w:val="21"/>
                <w:szCs w:val="21"/>
                <w:highlight w:val="none"/>
              </w:rPr>
            </w:pPr>
            <w:r>
              <w:rPr>
                <w:sz w:val="21"/>
                <w:szCs w:val="21"/>
                <w:highlight w:val="none"/>
              </w:rPr>
              <w:t>0.05</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ADE6015">
            <w:pPr>
              <w:kinsoku w:val="0"/>
              <w:overflowPunct w:val="0"/>
              <w:autoSpaceDE w:val="0"/>
              <w:autoSpaceDN w:val="0"/>
              <w:adjustRightInd w:val="0"/>
              <w:jc w:val="center"/>
              <w:rPr>
                <w:sz w:val="21"/>
                <w:szCs w:val="21"/>
                <w:highlight w:val="none"/>
              </w:rPr>
            </w:pPr>
            <w:r>
              <w:rPr>
                <w:sz w:val="21"/>
                <w:szCs w:val="21"/>
                <w:highlight w:val="none"/>
              </w:rPr>
              <w:t>0.04L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FF683CA">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B48D53F">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50EB9FD2">
            <w:pPr>
              <w:kinsoku w:val="0"/>
              <w:overflowPunct w:val="0"/>
              <w:autoSpaceDE w:val="0"/>
              <w:autoSpaceDN w:val="0"/>
              <w:adjustRightInd w:val="0"/>
              <w:jc w:val="center"/>
              <w:rPr>
                <w:sz w:val="21"/>
                <w:szCs w:val="21"/>
                <w:highlight w:val="none"/>
              </w:rPr>
            </w:pPr>
            <w:r>
              <w:rPr>
                <w:sz w:val="21"/>
                <w:szCs w:val="21"/>
                <w:highlight w:val="none"/>
              </w:rPr>
              <w:t>0.07</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43B857F">
            <w:pPr>
              <w:kinsoku w:val="0"/>
              <w:overflowPunct w:val="0"/>
              <w:autoSpaceDE w:val="0"/>
              <w:autoSpaceDN w:val="0"/>
              <w:adjustRightInd w:val="0"/>
              <w:jc w:val="center"/>
              <w:rPr>
                <w:sz w:val="21"/>
                <w:szCs w:val="21"/>
                <w:highlight w:val="none"/>
              </w:rPr>
            </w:pPr>
            <w:r>
              <w:rPr>
                <w:sz w:val="21"/>
                <w:szCs w:val="21"/>
                <w:highlight w:val="none"/>
              </w:rPr>
              <w:t>0.05</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5D77FF0">
            <w:pPr>
              <w:kinsoku w:val="0"/>
              <w:overflowPunct w:val="0"/>
              <w:autoSpaceDE w:val="0"/>
              <w:autoSpaceDN w:val="0"/>
              <w:adjustRightInd w:val="0"/>
              <w:jc w:val="center"/>
              <w:rPr>
                <w:sz w:val="21"/>
                <w:szCs w:val="21"/>
                <w:highlight w:val="none"/>
              </w:rPr>
            </w:pPr>
            <w:r>
              <w:rPr>
                <w:sz w:val="21"/>
                <w:szCs w:val="21"/>
                <w:highlight w:val="none"/>
              </w:rPr>
              <w:t>0.48</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7B41FED5">
            <w:pPr>
              <w:kinsoku w:val="0"/>
              <w:overflowPunct w:val="0"/>
              <w:autoSpaceDE w:val="0"/>
              <w:autoSpaceDN w:val="0"/>
              <w:adjustRightInd w:val="0"/>
              <w:jc w:val="center"/>
              <w:rPr>
                <w:sz w:val="21"/>
                <w:szCs w:val="21"/>
                <w:highlight w:val="none"/>
              </w:rPr>
            </w:pPr>
            <w:r>
              <w:rPr>
                <w:sz w:val="21"/>
                <w:szCs w:val="21"/>
                <w:highlight w:val="none"/>
              </w:rPr>
              <w:t>0.06</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7CE420B8">
            <w:pPr>
              <w:kinsoku w:val="0"/>
              <w:overflowPunct w:val="0"/>
              <w:autoSpaceDE w:val="0"/>
              <w:autoSpaceDN w:val="0"/>
              <w:adjustRightInd w:val="0"/>
              <w:jc w:val="center"/>
              <w:rPr>
                <w:sz w:val="21"/>
                <w:szCs w:val="21"/>
                <w:highlight w:val="none"/>
              </w:rPr>
            </w:pPr>
            <w:r>
              <w:rPr>
                <w:sz w:val="21"/>
                <w:szCs w:val="21"/>
                <w:highlight w:val="none"/>
              </w:rPr>
              <w:t>5.0</w:t>
            </w:r>
          </w:p>
        </w:tc>
      </w:tr>
      <w:tr w14:paraId="71190DEC">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7FBAF85D">
            <w:pPr>
              <w:kinsoku w:val="0"/>
              <w:overflowPunct w:val="0"/>
              <w:autoSpaceDE w:val="0"/>
              <w:autoSpaceDN w:val="0"/>
              <w:adjustRightInd w:val="0"/>
              <w:jc w:val="center"/>
              <w:rPr>
                <w:sz w:val="21"/>
                <w:szCs w:val="21"/>
                <w:highlight w:val="none"/>
              </w:rPr>
            </w:pPr>
            <w:r>
              <w:rPr>
                <w:sz w:val="21"/>
                <w:szCs w:val="21"/>
                <w:highlight w:val="none"/>
              </w:rPr>
              <w:t>石油类</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68EC53E">
            <w:pPr>
              <w:kinsoku w:val="0"/>
              <w:overflowPunct w:val="0"/>
              <w:autoSpaceDE w:val="0"/>
              <w:autoSpaceDN w:val="0"/>
              <w:adjustRightInd w:val="0"/>
              <w:jc w:val="center"/>
              <w:rPr>
                <w:sz w:val="21"/>
                <w:szCs w:val="21"/>
                <w:highlight w:val="none"/>
              </w:rPr>
            </w:pPr>
            <w:r>
              <w:rPr>
                <w:sz w:val="21"/>
                <w:szCs w:val="21"/>
                <w:highlight w:val="none"/>
              </w:rPr>
              <w:t>0.06L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6383B862">
            <w:pPr>
              <w:kinsoku w:val="0"/>
              <w:overflowPunct w:val="0"/>
              <w:autoSpaceDE w:val="0"/>
              <w:autoSpaceDN w:val="0"/>
              <w:adjustRightInd w:val="0"/>
              <w:jc w:val="center"/>
              <w:rPr>
                <w:sz w:val="21"/>
                <w:szCs w:val="21"/>
                <w:highlight w:val="none"/>
              </w:rPr>
            </w:pPr>
            <w:r>
              <w:rPr>
                <w:sz w:val="21"/>
                <w:szCs w:val="21"/>
                <w:highlight w:val="none"/>
              </w:rPr>
              <w:t>0.06L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C97D4D2">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638D5A0">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CC3CE10">
            <w:pPr>
              <w:kinsoku w:val="0"/>
              <w:overflowPunct w:val="0"/>
              <w:autoSpaceDE w:val="0"/>
              <w:autoSpaceDN w:val="0"/>
              <w:adjustRightInd w:val="0"/>
              <w:jc w:val="center"/>
              <w:rPr>
                <w:sz w:val="21"/>
                <w:szCs w:val="21"/>
                <w:highlight w:val="none"/>
              </w:rPr>
            </w:pPr>
            <w:r>
              <w:rPr>
                <w:sz w:val="21"/>
                <w:szCs w:val="21"/>
                <w:highlight w:val="none"/>
              </w:rPr>
              <w:t>0.06L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236640B0">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6618598">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2DF5F786">
            <w:pPr>
              <w:kinsoku w:val="0"/>
              <w:overflowPunct w:val="0"/>
              <w:autoSpaceDE w:val="0"/>
              <w:autoSpaceDN w:val="0"/>
              <w:adjustRightInd w:val="0"/>
              <w:jc w:val="center"/>
              <w:rPr>
                <w:sz w:val="21"/>
                <w:szCs w:val="21"/>
                <w:highlight w:val="none"/>
              </w:rPr>
            </w:pPr>
            <w:r>
              <w:rPr>
                <w:sz w:val="21"/>
                <w:szCs w:val="21"/>
                <w:highlight w:val="none"/>
              </w:rPr>
              <w:t>0.06L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3DA65374">
            <w:pPr>
              <w:kinsoku w:val="0"/>
              <w:overflowPunct w:val="0"/>
              <w:autoSpaceDE w:val="0"/>
              <w:autoSpaceDN w:val="0"/>
              <w:adjustRightInd w:val="0"/>
              <w:jc w:val="center"/>
              <w:rPr>
                <w:sz w:val="21"/>
                <w:szCs w:val="21"/>
                <w:highlight w:val="none"/>
              </w:rPr>
            </w:pPr>
            <w:r>
              <w:rPr>
                <w:sz w:val="21"/>
                <w:szCs w:val="21"/>
                <w:highlight w:val="none"/>
              </w:rPr>
              <w:t>10</w:t>
            </w:r>
          </w:p>
        </w:tc>
      </w:tr>
      <w:tr w14:paraId="0FC68B19">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1AA3F622">
            <w:pPr>
              <w:kinsoku w:val="0"/>
              <w:overflowPunct w:val="0"/>
              <w:autoSpaceDE w:val="0"/>
              <w:autoSpaceDN w:val="0"/>
              <w:adjustRightInd w:val="0"/>
              <w:jc w:val="center"/>
              <w:rPr>
                <w:sz w:val="21"/>
                <w:szCs w:val="21"/>
                <w:highlight w:val="none"/>
              </w:rPr>
            </w:pPr>
            <w:r>
              <w:rPr>
                <w:sz w:val="21"/>
                <w:szCs w:val="21"/>
                <w:highlight w:val="none"/>
              </w:rPr>
              <w:t>动植物油</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55EB0C3">
            <w:pPr>
              <w:kinsoku w:val="0"/>
              <w:overflowPunct w:val="0"/>
              <w:autoSpaceDE w:val="0"/>
              <w:autoSpaceDN w:val="0"/>
              <w:adjustRightInd w:val="0"/>
              <w:jc w:val="center"/>
              <w:rPr>
                <w:sz w:val="21"/>
                <w:szCs w:val="21"/>
                <w:highlight w:val="none"/>
              </w:rPr>
            </w:pPr>
            <w:r>
              <w:rPr>
                <w:sz w:val="21"/>
                <w:szCs w:val="21"/>
                <w:highlight w:val="none"/>
              </w:rPr>
              <w:t>0.06L</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26C6484F">
            <w:pPr>
              <w:kinsoku w:val="0"/>
              <w:overflowPunct w:val="0"/>
              <w:autoSpaceDE w:val="0"/>
              <w:autoSpaceDN w:val="0"/>
              <w:adjustRightInd w:val="0"/>
              <w:jc w:val="center"/>
              <w:rPr>
                <w:sz w:val="21"/>
                <w:szCs w:val="21"/>
                <w:highlight w:val="none"/>
              </w:rPr>
            </w:pPr>
            <w:r>
              <w:rPr>
                <w:sz w:val="21"/>
                <w:szCs w:val="21"/>
                <w:highlight w:val="none"/>
              </w:rPr>
              <w:t>0.06L</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2E9B9AB6">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248390A">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1B246C3">
            <w:pPr>
              <w:kinsoku w:val="0"/>
              <w:overflowPunct w:val="0"/>
              <w:autoSpaceDE w:val="0"/>
              <w:autoSpaceDN w:val="0"/>
              <w:adjustRightInd w:val="0"/>
              <w:jc w:val="center"/>
              <w:rPr>
                <w:sz w:val="21"/>
                <w:szCs w:val="21"/>
                <w:highlight w:val="none"/>
              </w:rPr>
            </w:pPr>
            <w:r>
              <w:rPr>
                <w:sz w:val="21"/>
                <w:szCs w:val="21"/>
                <w:highlight w:val="none"/>
              </w:rPr>
              <w:t>0.06L</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4B6E600E">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1273DAC">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CBCFBEC">
            <w:pPr>
              <w:kinsoku w:val="0"/>
              <w:overflowPunct w:val="0"/>
              <w:autoSpaceDE w:val="0"/>
              <w:autoSpaceDN w:val="0"/>
              <w:adjustRightInd w:val="0"/>
              <w:jc w:val="center"/>
              <w:rPr>
                <w:sz w:val="21"/>
                <w:szCs w:val="21"/>
                <w:highlight w:val="none"/>
              </w:rPr>
            </w:pPr>
            <w:r>
              <w:rPr>
                <w:sz w:val="21"/>
                <w:szCs w:val="21"/>
                <w:highlight w:val="none"/>
              </w:rPr>
              <w:t>0.06L</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0CDB3748">
            <w:pPr>
              <w:kinsoku w:val="0"/>
              <w:overflowPunct w:val="0"/>
              <w:autoSpaceDE w:val="0"/>
              <w:autoSpaceDN w:val="0"/>
              <w:adjustRightInd w:val="0"/>
              <w:jc w:val="center"/>
              <w:rPr>
                <w:sz w:val="21"/>
                <w:szCs w:val="21"/>
                <w:highlight w:val="none"/>
              </w:rPr>
            </w:pPr>
            <w:r>
              <w:rPr>
                <w:sz w:val="21"/>
                <w:szCs w:val="21"/>
                <w:highlight w:val="none"/>
              </w:rPr>
              <w:t>20</w:t>
            </w:r>
          </w:p>
        </w:tc>
      </w:tr>
      <w:tr w14:paraId="362F8240">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5925A3C5">
            <w:pPr>
              <w:kinsoku w:val="0"/>
              <w:overflowPunct w:val="0"/>
              <w:autoSpaceDE w:val="0"/>
              <w:autoSpaceDN w:val="0"/>
              <w:adjustRightInd w:val="0"/>
              <w:jc w:val="center"/>
              <w:rPr>
                <w:sz w:val="21"/>
                <w:szCs w:val="21"/>
                <w:highlight w:val="none"/>
              </w:rPr>
            </w:pPr>
            <w:r>
              <w:rPr>
                <w:sz w:val="21"/>
                <w:szCs w:val="21"/>
                <w:highlight w:val="none"/>
              </w:rPr>
              <w:t>磷酸盐</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815DB8C">
            <w:pPr>
              <w:kinsoku w:val="0"/>
              <w:overflowPunct w:val="0"/>
              <w:autoSpaceDE w:val="0"/>
              <w:autoSpaceDN w:val="0"/>
              <w:adjustRightInd w:val="0"/>
              <w:jc w:val="center"/>
              <w:rPr>
                <w:sz w:val="21"/>
                <w:szCs w:val="21"/>
                <w:highlight w:val="none"/>
              </w:rPr>
            </w:pPr>
            <w:r>
              <w:rPr>
                <w:sz w:val="21"/>
                <w:szCs w:val="21"/>
                <w:highlight w:val="none"/>
              </w:rPr>
              <w:t>0.01</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5A8B1FE6">
            <w:pPr>
              <w:kinsoku w:val="0"/>
              <w:overflowPunct w:val="0"/>
              <w:autoSpaceDE w:val="0"/>
              <w:autoSpaceDN w:val="0"/>
              <w:adjustRightInd w:val="0"/>
              <w:jc w:val="center"/>
              <w:rPr>
                <w:sz w:val="21"/>
                <w:szCs w:val="21"/>
                <w:highlight w:val="none"/>
              </w:rPr>
            </w:pPr>
            <w:r>
              <w:rPr>
                <w:sz w:val="21"/>
                <w:szCs w:val="21"/>
                <w:highlight w:val="none"/>
              </w:rPr>
              <w:t>0.01</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0F985199">
            <w:pPr>
              <w:kinsoku w:val="0"/>
              <w:overflowPunct w:val="0"/>
              <w:autoSpaceDE w:val="0"/>
              <w:autoSpaceDN w:val="0"/>
              <w:adjustRightInd w:val="0"/>
              <w:jc w:val="center"/>
              <w:rPr>
                <w:sz w:val="21"/>
                <w:szCs w:val="21"/>
                <w:highlight w:val="none"/>
              </w:rPr>
            </w:pPr>
            <w:r>
              <w:rPr>
                <w:sz w:val="21"/>
                <w:szCs w:val="21"/>
                <w:highlight w:val="none"/>
              </w:rPr>
              <w:t>0.01</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238D964">
            <w:pPr>
              <w:kinsoku w:val="0"/>
              <w:overflowPunct w:val="0"/>
              <w:autoSpaceDE w:val="0"/>
              <w:autoSpaceDN w:val="0"/>
              <w:adjustRightInd w:val="0"/>
              <w:jc w:val="center"/>
              <w:rPr>
                <w:sz w:val="21"/>
                <w:szCs w:val="21"/>
                <w:highlight w:val="none"/>
              </w:rPr>
            </w:pPr>
            <w:r>
              <w:rPr>
                <w:sz w:val="21"/>
                <w:szCs w:val="21"/>
                <w:highlight w:val="none"/>
              </w:rPr>
              <w:t>0.01</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0CB57383">
            <w:pPr>
              <w:kinsoku w:val="0"/>
              <w:overflowPunct w:val="0"/>
              <w:autoSpaceDE w:val="0"/>
              <w:autoSpaceDN w:val="0"/>
              <w:adjustRightInd w:val="0"/>
              <w:jc w:val="center"/>
              <w:rPr>
                <w:sz w:val="21"/>
                <w:szCs w:val="21"/>
                <w:highlight w:val="none"/>
              </w:rPr>
            </w:pPr>
            <w:r>
              <w:rPr>
                <w:sz w:val="21"/>
                <w:szCs w:val="21"/>
                <w:highlight w:val="none"/>
              </w:rPr>
              <w:t>0.02</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659C3BA3">
            <w:pPr>
              <w:kinsoku w:val="0"/>
              <w:overflowPunct w:val="0"/>
              <w:autoSpaceDE w:val="0"/>
              <w:autoSpaceDN w:val="0"/>
              <w:adjustRightInd w:val="0"/>
              <w:jc w:val="center"/>
              <w:rPr>
                <w:sz w:val="21"/>
                <w:szCs w:val="21"/>
                <w:highlight w:val="none"/>
              </w:rPr>
            </w:pPr>
            <w:r>
              <w:rPr>
                <w:sz w:val="21"/>
                <w:szCs w:val="21"/>
                <w:highlight w:val="none"/>
              </w:rPr>
              <w:t>0.12</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6E61A9BE">
            <w:pPr>
              <w:kinsoku w:val="0"/>
              <w:overflowPunct w:val="0"/>
              <w:autoSpaceDE w:val="0"/>
              <w:autoSpaceDN w:val="0"/>
              <w:adjustRightInd w:val="0"/>
              <w:jc w:val="center"/>
              <w:rPr>
                <w:sz w:val="21"/>
                <w:szCs w:val="21"/>
                <w:highlight w:val="none"/>
              </w:rPr>
            </w:pPr>
            <w:r>
              <w:rPr>
                <w:sz w:val="21"/>
                <w:szCs w:val="21"/>
                <w:highlight w:val="none"/>
              </w:rPr>
              <w:t>0.02</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3AF6AE24">
            <w:pPr>
              <w:kinsoku w:val="0"/>
              <w:overflowPunct w:val="0"/>
              <w:autoSpaceDE w:val="0"/>
              <w:autoSpaceDN w:val="0"/>
              <w:adjustRightInd w:val="0"/>
              <w:jc w:val="center"/>
              <w:rPr>
                <w:sz w:val="21"/>
                <w:szCs w:val="21"/>
                <w:highlight w:val="none"/>
              </w:rPr>
            </w:pPr>
            <w:r>
              <w:rPr>
                <w:sz w:val="21"/>
                <w:szCs w:val="21"/>
                <w:highlight w:val="none"/>
              </w:rPr>
              <w:t>0.02</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4FEDEC4C">
            <w:pPr>
              <w:kinsoku w:val="0"/>
              <w:overflowPunct w:val="0"/>
              <w:autoSpaceDE w:val="0"/>
              <w:autoSpaceDN w:val="0"/>
              <w:adjustRightInd w:val="0"/>
              <w:jc w:val="center"/>
              <w:rPr>
                <w:sz w:val="21"/>
                <w:szCs w:val="21"/>
                <w:highlight w:val="none"/>
              </w:rPr>
            </w:pPr>
            <w:r>
              <w:rPr>
                <w:sz w:val="21"/>
                <w:szCs w:val="21"/>
                <w:highlight w:val="none"/>
              </w:rPr>
              <w:t>0.5</w:t>
            </w:r>
          </w:p>
        </w:tc>
      </w:tr>
      <w:tr w14:paraId="4B895D61">
        <w:tblPrEx>
          <w:tblCellMar>
            <w:top w:w="0" w:type="dxa"/>
            <w:left w:w="0" w:type="dxa"/>
            <w:bottom w:w="0" w:type="dxa"/>
            <w:right w:w="0" w:type="dxa"/>
          </w:tblCellMar>
        </w:tblPrEx>
        <w:trPr>
          <w:trHeight w:val="309"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54714253">
            <w:pPr>
              <w:kinsoku w:val="0"/>
              <w:overflowPunct w:val="0"/>
              <w:autoSpaceDE w:val="0"/>
              <w:autoSpaceDN w:val="0"/>
              <w:adjustRightInd w:val="0"/>
              <w:jc w:val="center"/>
              <w:rPr>
                <w:sz w:val="21"/>
                <w:szCs w:val="21"/>
                <w:highlight w:val="none"/>
              </w:rPr>
            </w:pPr>
            <w:r>
              <w:rPr>
                <w:sz w:val="21"/>
                <w:szCs w:val="21"/>
                <w:highlight w:val="none"/>
              </w:rPr>
              <w:t>粪大肠菌群（MP</w:t>
            </w:r>
            <w:r>
              <w:rPr>
                <w:spacing w:val="-1"/>
                <w:sz w:val="21"/>
                <w:szCs w:val="21"/>
                <w:highlight w:val="none"/>
              </w:rPr>
              <w:t>N</w:t>
            </w:r>
            <w:r>
              <w:rPr>
                <w:sz w:val="21"/>
                <w:szCs w:val="21"/>
                <w:highlight w:val="none"/>
              </w:rPr>
              <w:t>/</w:t>
            </w:r>
            <w:r>
              <w:rPr>
                <w:spacing w:val="-3"/>
                <w:sz w:val="21"/>
                <w:szCs w:val="21"/>
                <w:highlight w:val="none"/>
              </w:rPr>
              <w:t>L</w:t>
            </w:r>
            <w:r>
              <w:rPr>
                <w:sz w:val="21"/>
                <w:szCs w:val="21"/>
                <w:highlight w:val="none"/>
              </w:rPr>
              <w:t>）</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3FE86841">
            <w:pPr>
              <w:kinsoku w:val="0"/>
              <w:overflowPunct w:val="0"/>
              <w:autoSpaceDE w:val="0"/>
              <w:autoSpaceDN w:val="0"/>
              <w:adjustRightInd w:val="0"/>
              <w:jc w:val="center"/>
              <w:rPr>
                <w:sz w:val="21"/>
                <w:szCs w:val="21"/>
                <w:highlight w:val="none"/>
              </w:rPr>
            </w:pPr>
            <w:r>
              <w:rPr>
                <w:sz w:val="21"/>
                <w:szCs w:val="21"/>
                <w:highlight w:val="none"/>
              </w:rPr>
              <w:t>＜20</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A29C2E8">
            <w:pPr>
              <w:kinsoku w:val="0"/>
              <w:overflowPunct w:val="0"/>
              <w:autoSpaceDE w:val="0"/>
              <w:autoSpaceDN w:val="0"/>
              <w:adjustRightInd w:val="0"/>
              <w:jc w:val="center"/>
              <w:rPr>
                <w:sz w:val="21"/>
                <w:szCs w:val="21"/>
                <w:highlight w:val="none"/>
              </w:rPr>
            </w:pPr>
            <w:r>
              <w:rPr>
                <w:sz w:val="21"/>
                <w:szCs w:val="21"/>
                <w:highlight w:val="none"/>
              </w:rPr>
              <w:t>＜20</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67C87CD">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2FC4C49">
            <w:pPr>
              <w:kinsoku w:val="0"/>
              <w:overflowPunct w:val="0"/>
              <w:autoSpaceDE w:val="0"/>
              <w:autoSpaceDN w:val="0"/>
              <w:adjustRightInd w:val="0"/>
              <w:jc w:val="center"/>
              <w:rPr>
                <w:sz w:val="21"/>
                <w:szCs w:val="21"/>
                <w:highlight w:val="none"/>
              </w:rPr>
            </w:pPr>
            <w:r>
              <w:rPr>
                <w:sz w:val="21"/>
                <w:szCs w:val="21"/>
                <w:highlight w:val="none"/>
              </w:rPr>
              <w:t>＜20</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2C181655">
            <w:pPr>
              <w:kinsoku w:val="0"/>
              <w:overflowPunct w:val="0"/>
              <w:autoSpaceDE w:val="0"/>
              <w:autoSpaceDN w:val="0"/>
              <w:adjustRightInd w:val="0"/>
              <w:jc w:val="center"/>
              <w:rPr>
                <w:sz w:val="21"/>
                <w:szCs w:val="21"/>
                <w:highlight w:val="none"/>
              </w:rPr>
            </w:pPr>
            <w:r>
              <w:rPr>
                <w:sz w:val="21"/>
                <w:szCs w:val="21"/>
                <w:highlight w:val="none"/>
              </w:rPr>
              <w:t>＜20</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0AD242F">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344F7480">
            <w:pPr>
              <w:kinsoku w:val="0"/>
              <w:overflowPunct w:val="0"/>
              <w:autoSpaceDE w:val="0"/>
              <w:autoSpaceDN w:val="0"/>
              <w:adjustRightInd w:val="0"/>
              <w:jc w:val="center"/>
              <w:rPr>
                <w:sz w:val="21"/>
                <w:szCs w:val="21"/>
                <w:highlight w:val="none"/>
              </w:rPr>
            </w:pPr>
            <w:r>
              <w:rPr>
                <w:sz w:val="21"/>
                <w:szCs w:val="21"/>
                <w:highlight w:val="none"/>
              </w:rPr>
              <w:t>＜20</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520C822E">
            <w:pPr>
              <w:kinsoku w:val="0"/>
              <w:overflowPunct w:val="0"/>
              <w:autoSpaceDE w:val="0"/>
              <w:autoSpaceDN w:val="0"/>
              <w:adjustRightInd w:val="0"/>
              <w:jc w:val="center"/>
              <w:rPr>
                <w:sz w:val="21"/>
                <w:szCs w:val="21"/>
                <w:highlight w:val="none"/>
              </w:rPr>
            </w:pPr>
            <w:r>
              <w:rPr>
                <w:sz w:val="21"/>
                <w:szCs w:val="21"/>
                <w:highlight w:val="none"/>
              </w:rPr>
              <w:t>＜20</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0E16249">
            <w:pPr>
              <w:kinsoku w:val="0"/>
              <w:overflowPunct w:val="0"/>
              <w:autoSpaceDE w:val="0"/>
              <w:autoSpaceDN w:val="0"/>
              <w:adjustRightInd w:val="0"/>
              <w:jc w:val="center"/>
              <w:rPr>
                <w:sz w:val="21"/>
                <w:szCs w:val="21"/>
                <w:highlight w:val="none"/>
              </w:rPr>
            </w:pPr>
            <w:r>
              <w:rPr>
                <w:sz w:val="21"/>
                <w:szCs w:val="21"/>
                <w:highlight w:val="none"/>
              </w:rPr>
              <w:t>100</w:t>
            </w:r>
          </w:p>
        </w:tc>
      </w:tr>
      <w:tr w14:paraId="1E797F30">
        <w:tblPrEx>
          <w:tblCellMar>
            <w:top w:w="0" w:type="dxa"/>
            <w:left w:w="0" w:type="dxa"/>
            <w:bottom w:w="0" w:type="dxa"/>
            <w:right w:w="0" w:type="dxa"/>
          </w:tblCellMar>
        </w:tblPrEx>
        <w:trPr>
          <w:trHeight w:val="271"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20D0A14B">
            <w:pPr>
              <w:kinsoku w:val="0"/>
              <w:overflowPunct w:val="0"/>
              <w:autoSpaceDE w:val="0"/>
              <w:autoSpaceDN w:val="0"/>
              <w:adjustRightInd w:val="0"/>
              <w:jc w:val="center"/>
              <w:rPr>
                <w:sz w:val="21"/>
                <w:szCs w:val="21"/>
                <w:highlight w:val="none"/>
              </w:rPr>
            </w:pPr>
            <w:r>
              <w:rPr>
                <w:sz w:val="21"/>
                <w:szCs w:val="21"/>
                <w:highlight w:val="none"/>
              </w:rPr>
              <w:t>电导率（</w:t>
            </w:r>
            <w:r>
              <w:rPr>
                <w:spacing w:val="-2"/>
                <w:sz w:val="21"/>
                <w:szCs w:val="21"/>
                <w:highlight w:val="none"/>
              </w:rPr>
              <w:t>μ</w:t>
            </w:r>
            <w:r>
              <w:rPr>
                <w:sz w:val="21"/>
                <w:szCs w:val="21"/>
                <w:highlight w:val="none"/>
              </w:rPr>
              <w:t>s/</w:t>
            </w:r>
            <w:r>
              <w:rPr>
                <w:spacing w:val="-1"/>
                <w:sz w:val="21"/>
                <w:szCs w:val="21"/>
                <w:highlight w:val="none"/>
              </w:rPr>
              <w:t>c</w:t>
            </w:r>
            <w:r>
              <w:rPr>
                <w:sz w:val="21"/>
                <w:szCs w:val="21"/>
                <w:highlight w:val="none"/>
              </w:rPr>
              <w:t>m）</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50261BBC">
            <w:pPr>
              <w:kinsoku w:val="0"/>
              <w:overflowPunct w:val="0"/>
              <w:autoSpaceDE w:val="0"/>
              <w:autoSpaceDN w:val="0"/>
              <w:adjustRightInd w:val="0"/>
              <w:jc w:val="center"/>
              <w:rPr>
                <w:sz w:val="21"/>
                <w:szCs w:val="21"/>
                <w:highlight w:val="none"/>
              </w:rPr>
            </w:pPr>
            <w:r>
              <w:rPr>
                <w:sz w:val="21"/>
                <w:szCs w:val="21"/>
                <w:highlight w:val="none"/>
              </w:rPr>
              <w:t>467</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71A94D44">
            <w:pPr>
              <w:kinsoku w:val="0"/>
              <w:overflowPunct w:val="0"/>
              <w:autoSpaceDE w:val="0"/>
              <w:autoSpaceDN w:val="0"/>
              <w:adjustRightInd w:val="0"/>
              <w:jc w:val="center"/>
              <w:rPr>
                <w:sz w:val="21"/>
                <w:szCs w:val="21"/>
                <w:highlight w:val="none"/>
              </w:rPr>
            </w:pPr>
            <w:r>
              <w:rPr>
                <w:sz w:val="21"/>
                <w:szCs w:val="21"/>
                <w:highlight w:val="none"/>
              </w:rPr>
              <w:t>468</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366FE58B">
            <w:pPr>
              <w:kinsoku w:val="0"/>
              <w:overflowPunct w:val="0"/>
              <w:autoSpaceDE w:val="0"/>
              <w:autoSpaceDN w:val="0"/>
              <w:adjustRightInd w:val="0"/>
              <w:jc w:val="center"/>
              <w:rPr>
                <w:sz w:val="21"/>
                <w:szCs w:val="21"/>
                <w:highlight w:val="none"/>
              </w:rPr>
            </w:pPr>
            <w:r>
              <w:rPr>
                <w:sz w:val="21"/>
                <w:szCs w:val="21"/>
                <w:highlight w:val="none"/>
              </w:rPr>
              <w:t>465</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493AAC40">
            <w:pPr>
              <w:kinsoku w:val="0"/>
              <w:overflowPunct w:val="0"/>
              <w:autoSpaceDE w:val="0"/>
              <w:autoSpaceDN w:val="0"/>
              <w:adjustRightInd w:val="0"/>
              <w:jc w:val="center"/>
              <w:rPr>
                <w:sz w:val="21"/>
                <w:szCs w:val="21"/>
                <w:highlight w:val="none"/>
              </w:rPr>
            </w:pPr>
            <w:r>
              <w:rPr>
                <w:sz w:val="21"/>
                <w:szCs w:val="21"/>
                <w:highlight w:val="none"/>
              </w:rPr>
              <w:t>467</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6260F134">
            <w:pPr>
              <w:kinsoku w:val="0"/>
              <w:overflowPunct w:val="0"/>
              <w:autoSpaceDE w:val="0"/>
              <w:autoSpaceDN w:val="0"/>
              <w:adjustRightInd w:val="0"/>
              <w:jc w:val="center"/>
              <w:rPr>
                <w:sz w:val="21"/>
                <w:szCs w:val="21"/>
                <w:highlight w:val="none"/>
              </w:rPr>
            </w:pPr>
            <w:r>
              <w:rPr>
                <w:sz w:val="21"/>
                <w:szCs w:val="21"/>
                <w:highlight w:val="none"/>
              </w:rPr>
              <w:t>413</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5D777461">
            <w:pPr>
              <w:kinsoku w:val="0"/>
              <w:overflowPunct w:val="0"/>
              <w:autoSpaceDE w:val="0"/>
              <w:autoSpaceDN w:val="0"/>
              <w:adjustRightInd w:val="0"/>
              <w:jc w:val="center"/>
              <w:rPr>
                <w:sz w:val="21"/>
                <w:szCs w:val="21"/>
                <w:highlight w:val="none"/>
              </w:rPr>
            </w:pPr>
            <w:r>
              <w:rPr>
                <w:sz w:val="21"/>
                <w:szCs w:val="21"/>
                <w:highlight w:val="none"/>
              </w:rPr>
              <w:t>413</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15BBD113">
            <w:pPr>
              <w:kinsoku w:val="0"/>
              <w:overflowPunct w:val="0"/>
              <w:autoSpaceDE w:val="0"/>
              <w:autoSpaceDN w:val="0"/>
              <w:adjustRightInd w:val="0"/>
              <w:jc w:val="center"/>
              <w:rPr>
                <w:sz w:val="21"/>
                <w:szCs w:val="21"/>
                <w:highlight w:val="none"/>
              </w:rPr>
            </w:pPr>
            <w:r>
              <w:rPr>
                <w:sz w:val="21"/>
                <w:szCs w:val="21"/>
                <w:highlight w:val="none"/>
              </w:rPr>
              <w:t>415</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6462C214">
            <w:pPr>
              <w:kinsoku w:val="0"/>
              <w:overflowPunct w:val="0"/>
              <w:autoSpaceDE w:val="0"/>
              <w:autoSpaceDN w:val="0"/>
              <w:adjustRightInd w:val="0"/>
              <w:jc w:val="center"/>
              <w:rPr>
                <w:sz w:val="21"/>
                <w:szCs w:val="21"/>
                <w:highlight w:val="none"/>
              </w:rPr>
            </w:pPr>
            <w:r>
              <w:rPr>
                <w:sz w:val="21"/>
                <w:szCs w:val="21"/>
                <w:highlight w:val="none"/>
              </w:rPr>
              <w:t>414</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11C4336B">
            <w:pPr>
              <w:kinsoku w:val="0"/>
              <w:overflowPunct w:val="0"/>
              <w:autoSpaceDE w:val="0"/>
              <w:autoSpaceDN w:val="0"/>
              <w:adjustRightInd w:val="0"/>
              <w:jc w:val="center"/>
              <w:rPr>
                <w:sz w:val="21"/>
                <w:szCs w:val="21"/>
                <w:highlight w:val="none"/>
              </w:rPr>
            </w:pPr>
            <w:r>
              <w:rPr>
                <w:sz w:val="21"/>
                <w:szCs w:val="21"/>
                <w:highlight w:val="none"/>
              </w:rPr>
              <w:t>/</w:t>
            </w:r>
          </w:p>
        </w:tc>
      </w:tr>
      <w:tr w14:paraId="7A13BA84">
        <w:tblPrEx>
          <w:tblCellMar>
            <w:top w:w="0" w:type="dxa"/>
            <w:left w:w="0" w:type="dxa"/>
            <w:bottom w:w="0" w:type="dxa"/>
            <w:right w:w="0" w:type="dxa"/>
          </w:tblCellMar>
        </w:tblPrEx>
        <w:trPr>
          <w:trHeight w:val="350" w:hRule="exact"/>
          <w:jc w:val="center"/>
        </w:trPr>
        <w:tc>
          <w:tcPr>
            <w:tcW w:w="816" w:type="pct"/>
            <w:tcBorders>
              <w:top w:val="single" w:color="000000" w:sz="4" w:space="0"/>
              <w:left w:val="single" w:color="000000" w:sz="4" w:space="0"/>
              <w:bottom w:val="single" w:color="000000" w:sz="4" w:space="0"/>
              <w:right w:val="single" w:color="000000" w:sz="4" w:space="0"/>
            </w:tcBorders>
            <w:noWrap w:val="0"/>
            <w:vAlign w:val="center"/>
          </w:tcPr>
          <w:p w14:paraId="0F9770C9">
            <w:pPr>
              <w:kinsoku w:val="0"/>
              <w:overflowPunct w:val="0"/>
              <w:autoSpaceDE w:val="0"/>
              <w:autoSpaceDN w:val="0"/>
              <w:adjustRightInd w:val="0"/>
              <w:jc w:val="center"/>
              <w:rPr>
                <w:sz w:val="21"/>
                <w:szCs w:val="21"/>
                <w:highlight w:val="none"/>
              </w:rPr>
            </w:pPr>
            <w:r>
              <w:rPr>
                <w:sz w:val="21"/>
                <w:szCs w:val="21"/>
                <w:highlight w:val="none"/>
              </w:rPr>
              <w:t>全盐量</w:t>
            </w:r>
          </w:p>
        </w:tc>
        <w:tc>
          <w:tcPr>
            <w:tcW w:w="520" w:type="pct"/>
            <w:tcBorders>
              <w:top w:val="single" w:color="000000" w:sz="4" w:space="0"/>
              <w:left w:val="single" w:color="000000" w:sz="4" w:space="0"/>
              <w:bottom w:val="single" w:color="000000" w:sz="4" w:space="0"/>
              <w:right w:val="single" w:color="000000" w:sz="4" w:space="0"/>
            </w:tcBorders>
            <w:noWrap w:val="0"/>
            <w:vAlign w:val="center"/>
          </w:tcPr>
          <w:p w14:paraId="1F9E386B">
            <w:pPr>
              <w:kinsoku w:val="0"/>
              <w:overflowPunct w:val="0"/>
              <w:autoSpaceDE w:val="0"/>
              <w:autoSpaceDN w:val="0"/>
              <w:adjustRightInd w:val="0"/>
              <w:jc w:val="center"/>
              <w:rPr>
                <w:sz w:val="21"/>
                <w:szCs w:val="21"/>
                <w:highlight w:val="none"/>
              </w:rPr>
            </w:pPr>
            <w:r>
              <w:rPr>
                <w:sz w:val="21"/>
                <w:szCs w:val="21"/>
                <w:highlight w:val="none"/>
              </w:rPr>
              <w:t>335</w:t>
            </w:r>
          </w:p>
        </w:tc>
        <w:tc>
          <w:tcPr>
            <w:tcW w:w="499" w:type="pct"/>
            <w:tcBorders>
              <w:top w:val="single" w:color="000000" w:sz="4" w:space="0"/>
              <w:left w:val="single" w:color="000000" w:sz="4" w:space="0"/>
              <w:bottom w:val="single" w:color="000000" w:sz="4" w:space="0"/>
              <w:right w:val="single" w:color="000000" w:sz="4" w:space="0"/>
            </w:tcBorders>
            <w:noWrap w:val="0"/>
            <w:vAlign w:val="center"/>
          </w:tcPr>
          <w:p w14:paraId="06C0B764">
            <w:pPr>
              <w:kinsoku w:val="0"/>
              <w:overflowPunct w:val="0"/>
              <w:autoSpaceDE w:val="0"/>
              <w:autoSpaceDN w:val="0"/>
              <w:adjustRightInd w:val="0"/>
              <w:jc w:val="center"/>
              <w:rPr>
                <w:sz w:val="21"/>
                <w:szCs w:val="21"/>
                <w:highlight w:val="none"/>
              </w:rPr>
            </w:pPr>
            <w:r>
              <w:rPr>
                <w:sz w:val="21"/>
                <w:szCs w:val="21"/>
                <w:highlight w:val="none"/>
              </w:rPr>
              <w:t>350</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5B9CCEA9">
            <w:pPr>
              <w:kinsoku w:val="0"/>
              <w:overflowPunct w:val="0"/>
              <w:autoSpaceDE w:val="0"/>
              <w:autoSpaceDN w:val="0"/>
              <w:adjustRightInd w:val="0"/>
              <w:jc w:val="center"/>
              <w:rPr>
                <w:sz w:val="21"/>
                <w:szCs w:val="21"/>
                <w:highlight w:val="none"/>
              </w:rPr>
            </w:pPr>
            <w:r>
              <w:rPr>
                <w:sz w:val="21"/>
                <w:szCs w:val="21"/>
                <w:highlight w:val="none"/>
              </w:rPr>
              <w:t>348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2C598B7F">
            <w:pPr>
              <w:kinsoku w:val="0"/>
              <w:overflowPunct w:val="0"/>
              <w:autoSpaceDE w:val="0"/>
              <w:autoSpaceDN w:val="0"/>
              <w:adjustRightInd w:val="0"/>
              <w:jc w:val="center"/>
              <w:rPr>
                <w:sz w:val="21"/>
                <w:szCs w:val="21"/>
                <w:highlight w:val="none"/>
              </w:rPr>
            </w:pPr>
            <w:r>
              <w:rPr>
                <w:sz w:val="21"/>
                <w:szCs w:val="21"/>
                <w:highlight w:val="none"/>
              </w:rPr>
              <w:t>393</w:t>
            </w:r>
          </w:p>
        </w:tc>
        <w:tc>
          <w:tcPr>
            <w:tcW w:w="428" w:type="pct"/>
            <w:tcBorders>
              <w:top w:val="single" w:color="000000" w:sz="4" w:space="0"/>
              <w:left w:val="single" w:color="000000" w:sz="4" w:space="0"/>
              <w:bottom w:val="single" w:color="000000" w:sz="4" w:space="0"/>
              <w:right w:val="single" w:color="000000" w:sz="4" w:space="0"/>
            </w:tcBorders>
            <w:noWrap w:val="0"/>
            <w:vAlign w:val="center"/>
          </w:tcPr>
          <w:p w14:paraId="330B781C">
            <w:pPr>
              <w:kinsoku w:val="0"/>
              <w:overflowPunct w:val="0"/>
              <w:autoSpaceDE w:val="0"/>
              <w:autoSpaceDN w:val="0"/>
              <w:adjustRightInd w:val="0"/>
              <w:jc w:val="center"/>
              <w:rPr>
                <w:sz w:val="21"/>
                <w:szCs w:val="21"/>
                <w:highlight w:val="none"/>
              </w:rPr>
            </w:pPr>
            <w:r>
              <w:rPr>
                <w:sz w:val="21"/>
                <w:szCs w:val="21"/>
                <w:highlight w:val="none"/>
              </w:rPr>
              <w:t>3</w:t>
            </w:r>
            <w:r>
              <w:rPr>
                <w:spacing w:val="-5"/>
                <w:sz w:val="21"/>
                <w:szCs w:val="21"/>
                <w:highlight w:val="none"/>
              </w:rPr>
              <w:t>1</w:t>
            </w:r>
            <w:r>
              <w:rPr>
                <w:sz w:val="21"/>
                <w:szCs w:val="21"/>
                <w:highlight w:val="none"/>
              </w:rPr>
              <w:t>1</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14:paraId="3082793A">
            <w:pPr>
              <w:kinsoku w:val="0"/>
              <w:overflowPunct w:val="0"/>
              <w:autoSpaceDE w:val="0"/>
              <w:autoSpaceDN w:val="0"/>
              <w:adjustRightInd w:val="0"/>
              <w:jc w:val="center"/>
              <w:rPr>
                <w:sz w:val="21"/>
                <w:szCs w:val="21"/>
                <w:highlight w:val="none"/>
              </w:rPr>
            </w:pPr>
            <w:r>
              <w:rPr>
                <w:sz w:val="21"/>
                <w:szCs w:val="21"/>
                <w:highlight w:val="none"/>
              </w:rPr>
              <w:t>328</w:t>
            </w:r>
          </w:p>
        </w:tc>
        <w:tc>
          <w:tcPr>
            <w:tcW w:w="481" w:type="pct"/>
            <w:tcBorders>
              <w:top w:val="single" w:color="000000" w:sz="4" w:space="0"/>
              <w:left w:val="single" w:color="000000" w:sz="4" w:space="0"/>
              <w:bottom w:val="single" w:color="000000" w:sz="4" w:space="0"/>
              <w:right w:val="single" w:color="000000" w:sz="4" w:space="0"/>
            </w:tcBorders>
            <w:noWrap w:val="0"/>
            <w:vAlign w:val="center"/>
          </w:tcPr>
          <w:p w14:paraId="75EB2D43">
            <w:pPr>
              <w:kinsoku w:val="0"/>
              <w:overflowPunct w:val="0"/>
              <w:autoSpaceDE w:val="0"/>
              <w:autoSpaceDN w:val="0"/>
              <w:adjustRightInd w:val="0"/>
              <w:jc w:val="center"/>
              <w:rPr>
                <w:sz w:val="21"/>
                <w:szCs w:val="21"/>
                <w:highlight w:val="none"/>
              </w:rPr>
            </w:pPr>
            <w:r>
              <w:rPr>
                <w:sz w:val="21"/>
                <w:szCs w:val="21"/>
                <w:highlight w:val="none"/>
              </w:rPr>
              <w:t>399</w:t>
            </w:r>
          </w:p>
        </w:tc>
        <w:tc>
          <w:tcPr>
            <w:tcW w:w="428" w:type="pct"/>
            <w:tcBorders>
              <w:top w:val="single" w:color="000000" w:sz="4" w:space="0"/>
              <w:left w:val="single" w:color="000000" w:sz="4" w:space="0"/>
              <w:bottom w:val="single" w:color="000000" w:sz="4" w:space="0"/>
              <w:right w:val="single" w:color="auto" w:sz="4" w:space="0"/>
            </w:tcBorders>
            <w:noWrap w:val="0"/>
            <w:vAlign w:val="center"/>
          </w:tcPr>
          <w:p w14:paraId="3DC722C0">
            <w:pPr>
              <w:kinsoku w:val="0"/>
              <w:overflowPunct w:val="0"/>
              <w:autoSpaceDE w:val="0"/>
              <w:autoSpaceDN w:val="0"/>
              <w:adjustRightInd w:val="0"/>
              <w:jc w:val="center"/>
              <w:rPr>
                <w:sz w:val="21"/>
                <w:szCs w:val="21"/>
                <w:highlight w:val="none"/>
              </w:rPr>
            </w:pPr>
            <w:r>
              <w:rPr>
                <w:sz w:val="21"/>
                <w:szCs w:val="21"/>
                <w:highlight w:val="none"/>
              </w:rPr>
              <w:t>336</w:t>
            </w:r>
          </w:p>
        </w:tc>
        <w:tc>
          <w:tcPr>
            <w:tcW w:w="564" w:type="pct"/>
            <w:tcBorders>
              <w:top w:val="single" w:color="000000" w:sz="4" w:space="0"/>
              <w:left w:val="single" w:color="auto" w:sz="4" w:space="0"/>
              <w:bottom w:val="single" w:color="000000" w:sz="4" w:space="0"/>
              <w:right w:val="single" w:color="000000" w:sz="4" w:space="0"/>
            </w:tcBorders>
            <w:noWrap w:val="0"/>
            <w:vAlign w:val="center"/>
          </w:tcPr>
          <w:p w14:paraId="2A1CB74D">
            <w:pPr>
              <w:kinsoku w:val="0"/>
              <w:overflowPunct w:val="0"/>
              <w:autoSpaceDE w:val="0"/>
              <w:autoSpaceDN w:val="0"/>
              <w:adjustRightInd w:val="0"/>
              <w:jc w:val="center"/>
              <w:rPr>
                <w:sz w:val="21"/>
                <w:szCs w:val="21"/>
                <w:highlight w:val="none"/>
              </w:rPr>
            </w:pPr>
            <w:r>
              <w:rPr>
                <w:sz w:val="21"/>
                <w:szCs w:val="21"/>
                <w:highlight w:val="none"/>
              </w:rPr>
              <w:t>/</w:t>
            </w:r>
          </w:p>
        </w:tc>
      </w:tr>
    </w:tbl>
    <w:p w14:paraId="17331C5D">
      <w:pPr>
        <w:widowControl/>
        <w:snapToGrid w:val="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6：</w:t>
      </w:r>
      <w:r>
        <w:rPr>
          <w:b/>
          <w:bCs/>
          <w:szCs w:val="21"/>
          <w:highlight w:val="none"/>
        </w:rPr>
        <w:t>回用单元回用（清净废水处理）出口回用水水质监测结果（</w:t>
      </w:r>
      <w:r>
        <w:rPr>
          <w:b/>
          <w:bCs/>
          <w:spacing w:val="-2"/>
          <w:szCs w:val="21"/>
          <w:highlight w:val="none"/>
        </w:rPr>
        <w:t>mg</w:t>
      </w:r>
      <w:r>
        <w:rPr>
          <w:b/>
          <w:bCs/>
          <w:spacing w:val="2"/>
          <w:szCs w:val="21"/>
          <w:highlight w:val="none"/>
        </w:rPr>
        <w:t>/L</w:t>
      </w:r>
      <w:r>
        <w:rPr>
          <w:b/>
          <w:bCs/>
          <w:spacing w:val="-1"/>
          <w:szCs w:val="21"/>
          <w:highlight w:val="none"/>
        </w:rPr>
        <w:t>，</w:t>
      </w:r>
      <w:r>
        <w:rPr>
          <w:b/>
          <w:bCs/>
          <w:spacing w:val="2"/>
          <w:szCs w:val="21"/>
          <w:highlight w:val="none"/>
        </w:rPr>
        <w:t>特</w:t>
      </w:r>
      <w:r>
        <w:rPr>
          <w:b/>
          <w:bCs/>
          <w:spacing w:val="-1"/>
          <w:szCs w:val="21"/>
          <w:highlight w:val="none"/>
        </w:rPr>
        <w:t>殊</w:t>
      </w:r>
      <w:r>
        <w:rPr>
          <w:b/>
          <w:bCs/>
          <w:spacing w:val="2"/>
          <w:szCs w:val="21"/>
          <w:highlight w:val="none"/>
        </w:rPr>
        <w:t>项</w:t>
      </w:r>
      <w:r>
        <w:rPr>
          <w:b/>
          <w:bCs/>
          <w:spacing w:val="-1"/>
          <w:szCs w:val="21"/>
          <w:highlight w:val="none"/>
        </w:rPr>
        <w:t>目</w:t>
      </w:r>
      <w:r>
        <w:rPr>
          <w:b/>
          <w:bCs/>
          <w:spacing w:val="2"/>
          <w:szCs w:val="21"/>
          <w:highlight w:val="none"/>
        </w:rPr>
        <w:t>除</w:t>
      </w:r>
      <w:r>
        <w:rPr>
          <w:b/>
          <w:bCs/>
          <w:spacing w:val="-1"/>
          <w:szCs w:val="21"/>
          <w:highlight w:val="none"/>
        </w:rPr>
        <w:t>外</w:t>
      </w:r>
      <w:r>
        <w:rPr>
          <w:b/>
          <w:bCs/>
          <w:szCs w:val="21"/>
          <w:highlight w:val="none"/>
        </w:rPr>
        <w:t>）</w:t>
      </w:r>
    </w:p>
    <w:tbl>
      <w:tblPr>
        <w:tblStyle w:val="41"/>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58"/>
        <w:gridCol w:w="1169"/>
        <w:gridCol w:w="1223"/>
        <w:gridCol w:w="1223"/>
        <w:gridCol w:w="1375"/>
        <w:gridCol w:w="1220"/>
        <w:gridCol w:w="1378"/>
        <w:gridCol w:w="1220"/>
        <w:gridCol w:w="1529"/>
        <w:gridCol w:w="1295"/>
      </w:tblGrid>
      <w:tr w14:paraId="4A41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exact"/>
        </w:trPr>
        <w:tc>
          <w:tcPr>
            <w:tcW w:w="930" w:type="pct"/>
            <w:vMerge w:val="restart"/>
            <w:noWrap w:val="0"/>
            <w:vAlign w:val="center"/>
          </w:tcPr>
          <w:p w14:paraId="03F861A9">
            <w:pPr>
              <w:kinsoku w:val="0"/>
              <w:overflowPunct w:val="0"/>
              <w:autoSpaceDE w:val="0"/>
              <w:autoSpaceDN w:val="0"/>
              <w:adjustRightInd w:val="0"/>
              <w:jc w:val="center"/>
              <w:rPr>
                <w:sz w:val="21"/>
                <w:szCs w:val="21"/>
                <w:highlight w:val="none"/>
              </w:rPr>
            </w:pPr>
            <w:r>
              <w:rPr>
                <w:spacing w:val="-1"/>
                <w:sz w:val="21"/>
                <w:szCs w:val="21"/>
                <w:highlight w:val="none"/>
              </w:rPr>
              <w:t>检</w:t>
            </w:r>
            <w:r>
              <w:rPr>
                <w:spacing w:val="2"/>
                <w:sz w:val="21"/>
                <w:szCs w:val="21"/>
                <w:highlight w:val="none"/>
              </w:rPr>
              <w:t>测</w:t>
            </w:r>
            <w:r>
              <w:rPr>
                <w:spacing w:val="-1"/>
                <w:sz w:val="21"/>
                <w:szCs w:val="21"/>
                <w:highlight w:val="none"/>
              </w:rPr>
              <w:t>因</w:t>
            </w:r>
            <w:r>
              <w:rPr>
                <w:sz w:val="21"/>
                <w:szCs w:val="21"/>
                <w:highlight w:val="none"/>
              </w:rPr>
              <w:t>子</w:t>
            </w:r>
          </w:p>
        </w:tc>
        <w:tc>
          <w:tcPr>
            <w:tcW w:w="4070" w:type="pct"/>
            <w:gridSpan w:val="9"/>
            <w:noWrap w:val="0"/>
            <w:vAlign w:val="center"/>
          </w:tcPr>
          <w:p w14:paraId="3B358F2F">
            <w:pPr>
              <w:kinsoku w:val="0"/>
              <w:overflowPunct w:val="0"/>
              <w:autoSpaceDE w:val="0"/>
              <w:autoSpaceDN w:val="0"/>
              <w:adjustRightInd w:val="0"/>
              <w:jc w:val="center"/>
              <w:rPr>
                <w:sz w:val="21"/>
                <w:szCs w:val="21"/>
                <w:highlight w:val="none"/>
              </w:rPr>
            </w:pPr>
            <w:r>
              <w:rPr>
                <w:rFonts w:hint="eastAsia"/>
                <w:spacing w:val="-1"/>
                <w:sz w:val="21"/>
                <w:szCs w:val="21"/>
                <w:highlight w:val="none"/>
                <w:lang w:eastAsia="zh-CN"/>
              </w:rPr>
              <w:t>监测</w:t>
            </w:r>
            <w:r>
              <w:rPr>
                <w:spacing w:val="-1"/>
                <w:sz w:val="21"/>
                <w:szCs w:val="21"/>
                <w:highlight w:val="none"/>
              </w:rPr>
              <w:t>点</w:t>
            </w:r>
            <w:r>
              <w:rPr>
                <w:sz w:val="21"/>
                <w:szCs w:val="21"/>
                <w:highlight w:val="none"/>
              </w:rPr>
              <w:t>位</w:t>
            </w:r>
          </w:p>
        </w:tc>
      </w:tr>
      <w:tr w14:paraId="22C6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vMerge w:val="continue"/>
            <w:noWrap w:val="0"/>
            <w:vAlign w:val="center"/>
          </w:tcPr>
          <w:p w14:paraId="01748CCE">
            <w:pPr>
              <w:kinsoku w:val="0"/>
              <w:overflowPunct w:val="0"/>
              <w:autoSpaceDE w:val="0"/>
              <w:autoSpaceDN w:val="0"/>
              <w:adjustRightInd w:val="0"/>
              <w:jc w:val="center"/>
              <w:rPr>
                <w:sz w:val="21"/>
                <w:szCs w:val="21"/>
                <w:highlight w:val="none"/>
              </w:rPr>
            </w:pPr>
          </w:p>
        </w:tc>
        <w:tc>
          <w:tcPr>
            <w:tcW w:w="4070" w:type="pct"/>
            <w:gridSpan w:val="9"/>
            <w:noWrap w:val="0"/>
            <w:vAlign w:val="center"/>
          </w:tcPr>
          <w:p w14:paraId="756775D0">
            <w:pPr>
              <w:kinsoku w:val="0"/>
              <w:overflowPunct w:val="0"/>
              <w:autoSpaceDE w:val="0"/>
              <w:autoSpaceDN w:val="0"/>
              <w:adjustRightInd w:val="0"/>
              <w:jc w:val="center"/>
              <w:rPr>
                <w:sz w:val="21"/>
                <w:szCs w:val="21"/>
                <w:highlight w:val="none"/>
              </w:rPr>
            </w:pPr>
            <w:r>
              <w:rPr>
                <w:sz w:val="21"/>
                <w:szCs w:val="21"/>
                <w:highlight w:val="none"/>
              </w:rPr>
              <w:t>废水处理系统及回用单元回用工序2</w:t>
            </w:r>
          </w:p>
        </w:tc>
      </w:tr>
      <w:tr w14:paraId="236D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exact"/>
        </w:trPr>
        <w:tc>
          <w:tcPr>
            <w:tcW w:w="930" w:type="pct"/>
            <w:vMerge w:val="continue"/>
            <w:noWrap w:val="0"/>
            <w:vAlign w:val="center"/>
          </w:tcPr>
          <w:p w14:paraId="2521ECED">
            <w:pPr>
              <w:kinsoku w:val="0"/>
              <w:overflowPunct w:val="0"/>
              <w:autoSpaceDE w:val="0"/>
              <w:autoSpaceDN w:val="0"/>
              <w:adjustRightInd w:val="0"/>
              <w:jc w:val="center"/>
              <w:rPr>
                <w:sz w:val="21"/>
                <w:szCs w:val="21"/>
                <w:highlight w:val="none"/>
              </w:rPr>
            </w:pPr>
          </w:p>
        </w:tc>
        <w:tc>
          <w:tcPr>
            <w:tcW w:w="409" w:type="pct"/>
            <w:noWrap w:val="0"/>
            <w:vAlign w:val="center"/>
          </w:tcPr>
          <w:p w14:paraId="664343DC">
            <w:pPr>
              <w:kinsoku w:val="0"/>
              <w:overflowPunct w:val="0"/>
              <w:autoSpaceDE w:val="0"/>
              <w:autoSpaceDN w:val="0"/>
              <w:adjustRightInd w:val="0"/>
              <w:jc w:val="center"/>
              <w:rPr>
                <w:sz w:val="21"/>
                <w:szCs w:val="21"/>
                <w:highlight w:val="none"/>
              </w:rPr>
            </w:pPr>
            <w:r>
              <w:rPr>
                <w:sz w:val="21"/>
                <w:szCs w:val="21"/>
                <w:highlight w:val="none"/>
              </w:rPr>
              <w:t>第1次</w:t>
            </w:r>
          </w:p>
        </w:tc>
        <w:tc>
          <w:tcPr>
            <w:tcW w:w="428" w:type="pct"/>
            <w:noWrap w:val="0"/>
            <w:vAlign w:val="center"/>
          </w:tcPr>
          <w:p w14:paraId="3FFF6B22">
            <w:pPr>
              <w:kinsoku w:val="0"/>
              <w:overflowPunct w:val="0"/>
              <w:autoSpaceDE w:val="0"/>
              <w:autoSpaceDN w:val="0"/>
              <w:adjustRightInd w:val="0"/>
              <w:jc w:val="center"/>
              <w:rPr>
                <w:sz w:val="21"/>
                <w:szCs w:val="21"/>
                <w:highlight w:val="none"/>
              </w:rPr>
            </w:pPr>
            <w:r>
              <w:rPr>
                <w:sz w:val="21"/>
                <w:szCs w:val="21"/>
                <w:highlight w:val="none"/>
              </w:rPr>
              <w:t>第2次</w:t>
            </w:r>
          </w:p>
        </w:tc>
        <w:tc>
          <w:tcPr>
            <w:tcW w:w="428" w:type="pct"/>
            <w:noWrap w:val="0"/>
            <w:vAlign w:val="center"/>
          </w:tcPr>
          <w:p w14:paraId="69FA4AD8">
            <w:pPr>
              <w:kinsoku w:val="0"/>
              <w:overflowPunct w:val="0"/>
              <w:autoSpaceDE w:val="0"/>
              <w:autoSpaceDN w:val="0"/>
              <w:adjustRightInd w:val="0"/>
              <w:jc w:val="center"/>
              <w:rPr>
                <w:sz w:val="21"/>
                <w:szCs w:val="21"/>
                <w:highlight w:val="none"/>
              </w:rPr>
            </w:pPr>
            <w:r>
              <w:rPr>
                <w:sz w:val="21"/>
                <w:szCs w:val="21"/>
                <w:highlight w:val="none"/>
              </w:rPr>
              <w:t>第3次</w:t>
            </w:r>
          </w:p>
        </w:tc>
        <w:tc>
          <w:tcPr>
            <w:tcW w:w="481" w:type="pct"/>
            <w:noWrap w:val="0"/>
            <w:vAlign w:val="center"/>
          </w:tcPr>
          <w:p w14:paraId="16ED1E00">
            <w:pPr>
              <w:kinsoku w:val="0"/>
              <w:overflowPunct w:val="0"/>
              <w:autoSpaceDE w:val="0"/>
              <w:autoSpaceDN w:val="0"/>
              <w:adjustRightInd w:val="0"/>
              <w:jc w:val="center"/>
              <w:rPr>
                <w:sz w:val="21"/>
                <w:szCs w:val="21"/>
                <w:highlight w:val="none"/>
              </w:rPr>
            </w:pPr>
            <w:r>
              <w:rPr>
                <w:sz w:val="21"/>
                <w:szCs w:val="21"/>
                <w:highlight w:val="none"/>
              </w:rPr>
              <w:t>第4次</w:t>
            </w:r>
          </w:p>
        </w:tc>
        <w:tc>
          <w:tcPr>
            <w:tcW w:w="427" w:type="pct"/>
            <w:noWrap w:val="0"/>
            <w:vAlign w:val="center"/>
          </w:tcPr>
          <w:p w14:paraId="3EB637C5">
            <w:pPr>
              <w:kinsoku w:val="0"/>
              <w:overflowPunct w:val="0"/>
              <w:autoSpaceDE w:val="0"/>
              <w:autoSpaceDN w:val="0"/>
              <w:adjustRightInd w:val="0"/>
              <w:jc w:val="center"/>
              <w:rPr>
                <w:sz w:val="21"/>
                <w:szCs w:val="21"/>
                <w:highlight w:val="none"/>
              </w:rPr>
            </w:pPr>
            <w:r>
              <w:rPr>
                <w:sz w:val="21"/>
                <w:szCs w:val="21"/>
                <w:highlight w:val="none"/>
              </w:rPr>
              <w:t>第1次</w:t>
            </w:r>
          </w:p>
        </w:tc>
        <w:tc>
          <w:tcPr>
            <w:tcW w:w="482" w:type="pct"/>
            <w:noWrap w:val="0"/>
            <w:vAlign w:val="center"/>
          </w:tcPr>
          <w:p w14:paraId="421AD9C4">
            <w:pPr>
              <w:kinsoku w:val="0"/>
              <w:overflowPunct w:val="0"/>
              <w:autoSpaceDE w:val="0"/>
              <w:autoSpaceDN w:val="0"/>
              <w:adjustRightInd w:val="0"/>
              <w:jc w:val="center"/>
              <w:rPr>
                <w:sz w:val="21"/>
                <w:szCs w:val="21"/>
                <w:highlight w:val="none"/>
              </w:rPr>
            </w:pPr>
            <w:r>
              <w:rPr>
                <w:sz w:val="21"/>
                <w:szCs w:val="21"/>
                <w:highlight w:val="none"/>
              </w:rPr>
              <w:t>第2次</w:t>
            </w:r>
          </w:p>
        </w:tc>
        <w:tc>
          <w:tcPr>
            <w:tcW w:w="427" w:type="pct"/>
            <w:noWrap w:val="0"/>
            <w:vAlign w:val="center"/>
          </w:tcPr>
          <w:p w14:paraId="3D0A136F">
            <w:pPr>
              <w:kinsoku w:val="0"/>
              <w:overflowPunct w:val="0"/>
              <w:autoSpaceDE w:val="0"/>
              <w:autoSpaceDN w:val="0"/>
              <w:adjustRightInd w:val="0"/>
              <w:jc w:val="center"/>
              <w:rPr>
                <w:sz w:val="21"/>
                <w:szCs w:val="21"/>
                <w:highlight w:val="none"/>
              </w:rPr>
            </w:pPr>
            <w:r>
              <w:rPr>
                <w:sz w:val="21"/>
                <w:szCs w:val="21"/>
                <w:highlight w:val="none"/>
              </w:rPr>
              <w:t>第3次</w:t>
            </w:r>
          </w:p>
        </w:tc>
        <w:tc>
          <w:tcPr>
            <w:tcW w:w="535" w:type="pct"/>
            <w:noWrap w:val="0"/>
            <w:vAlign w:val="center"/>
          </w:tcPr>
          <w:p w14:paraId="301CB160">
            <w:pPr>
              <w:kinsoku w:val="0"/>
              <w:overflowPunct w:val="0"/>
              <w:autoSpaceDE w:val="0"/>
              <w:autoSpaceDN w:val="0"/>
              <w:adjustRightInd w:val="0"/>
              <w:jc w:val="center"/>
              <w:rPr>
                <w:sz w:val="21"/>
                <w:szCs w:val="21"/>
                <w:highlight w:val="none"/>
              </w:rPr>
            </w:pPr>
            <w:r>
              <w:rPr>
                <w:sz w:val="21"/>
                <w:szCs w:val="21"/>
                <w:highlight w:val="none"/>
              </w:rPr>
              <w:t>第4次</w:t>
            </w:r>
          </w:p>
        </w:tc>
        <w:tc>
          <w:tcPr>
            <w:tcW w:w="453" w:type="pct"/>
            <w:noWrap w:val="0"/>
            <w:vAlign w:val="center"/>
          </w:tcPr>
          <w:p w14:paraId="7BD7DFAE">
            <w:pPr>
              <w:kinsoku w:val="0"/>
              <w:overflowPunct w:val="0"/>
              <w:autoSpaceDE w:val="0"/>
              <w:autoSpaceDN w:val="0"/>
              <w:adjustRightInd w:val="0"/>
              <w:jc w:val="center"/>
              <w:rPr>
                <w:sz w:val="21"/>
                <w:szCs w:val="21"/>
                <w:highlight w:val="none"/>
              </w:rPr>
            </w:pPr>
            <w:r>
              <w:rPr>
                <w:sz w:val="21"/>
                <w:szCs w:val="21"/>
                <w:highlight w:val="none"/>
              </w:rPr>
              <w:t>标准值</w:t>
            </w:r>
          </w:p>
        </w:tc>
      </w:tr>
      <w:tr w14:paraId="101F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7F2E155D">
            <w:pPr>
              <w:kinsoku w:val="0"/>
              <w:overflowPunct w:val="0"/>
              <w:autoSpaceDE w:val="0"/>
              <w:autoSpaceDN w:val="0"/>
              <w:adjustRightInd w:val="0"/>
              <w:jc w:val="center"/>
              <w:rPr>
                <w:sz w:val="21"/>
                <w:szCs w:val="21"/>
                <w:highlight w:val="none"/>
              </w:rPr>
            </w:pPr>
            <w:r>
              <w:rPr>
                <w:sz w:val="21"/>
                <w:szCs w:val="21"/>
                <w:highlight w:val="none"/>
              </w:rPr>
              <w:t>p</w:t>
            </w:r>
            <w:r>
              <w:rPr>
                <w:spacing w:val="-1"/>
                <w:sz w:val="21"/>
                <w:szCs w:val="21"/>
                <w:highlight w:val="none"/>
              </w:rPr>
              <w:t>H</w:t>
            </w:r>
            <w:r>
              <w:rPr>
                <w:rFonts w:hint="eastAsia"/>
                <w:spacing w:val="1"/>
                <w:sz w:val="21"/>
                <w:szCs w:val="21"/>
                <w:highlight w:val="none"/>
                <w:lang w:eastAsia="zh-CN"/>
              </w:rPr>
              <w:t>（</w:t>
            </w:r>
            <w:r>
              <w:rPr>
                <w:sz w:val="21"/>
                <w:szCs w:val="21"/>
                <w:highlight w:val="none"/>
              </w:rPr>
              <w:t>无量纲</w:t>
            </w:r>
            <w:r>
              <w:rPr>
                <w:rFonts w:hint="eastAsia"/>
                <w:spacing w:val="1"/>
                <w:sz w:val="21"/>
                <w:szCs w:val="21"/>
                <w:highlight w:val="none"/>
                <w:lang w:eastAsia="zh-CN"/>
              </w:rPr>
              <w:t>）</w:t>
            </w:r>
          </w:p>
        </w:tc>
        <w:tc>
          <w:tcPr>
            <w:tcW w:w="409" w:type="pct"/>
            <w:noWrap w:val="0"/>
            <w:vAlign w:val="center"/>
          </w:tcPr>
          <w:p w14:paraId="122F179E">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5</w:t>
            </w:r>
            <w:r>
              <w:rPr>
                <w:sz w:val="21"/>
                <w:szCs w:val="21"/>
                <w:highlight w:val="none"/>
              </w:rPr>
              <w:t>3</w:t>
            </w:r>
          </w:p>
        </w:tc>
        <w:tc>
          <w:tcPr>
            <w:tcW w:w="428" w:type="pct"/>
            <w:noWrap w:val="0"/>
            <w:vAlign w:val="center"/>
          </w:tcPr>
          <w:p w14:paraId="58DB1ED1">
            <w:pPr>
              <w:kinsoku w:val="0"/>
              <w:overflowPunct w:val="0"/>
              <w:autoSpaceDE w:val="0"/>
              <w:autoSpaceDN w:val="0"/>
              <w:adjustRightInd w:val="0"/>
              <w:jc w:val="center"/>
              <w:rPr>
                <w:sz w:val="21"/>
                <w:szCs w:val="21"/>
                <w:highlight w:val="none"/>
              </w:rPr>
            </w:pPr>
            <w:r>
              <w:rPr>
                <w:spacing w:val="1"/>
                <w:sz w:val="21"/>
                <w:szCs w:val="21"/>
                <w:highlight w:val="none"/>
              </w:rPr>
              <w:t>6</w:t>
            </w:r>
            <w:r>
              <w:rPr>
                <w:sz w:val="21"/>
                <w:szCs w:val="21"/>
                <w:highlight w:val="none"/>
              </w:rPr>
              <w:t>.</w:t>
            </w:r>
            <w:r>
              <w:rPr>
                <w:spacing w:val="1"/>
                <w:sz w:val="21"/>
                <w:szCs w:val="21"/>
                <w:highlight w:val="none"/>
              </w:rPr>
              <w:t>6</w:t>
            </w:r>
            <w:r>
              <w:rPr>
                <w:sz w:val="21"/>
                <w:szCs w:val="21"/>
                <w:highlight w:val="none"/>
              </w:rPr>
              <w:t>4</w:t>
            </w:r>
          </w:p>
        </w:tc>
        <w:tc>
          <w:tcPr>
            <w:tcW w:w="428" w:type="pct"/>
            <w:noWrap w:val="0"/>
            <w:vAlign w:val="center"/>
          </w:tcPr>
          <w:p w14:paraId="29EC2A92">
            <w:pPr>
              <w:kinsoku w:val="0"/>
              <w:overflowPunct w:val="0"/>
              <w:autoSpaceDE w:val="0"/>
              <w:autoSpaceDN w:val="0"/>
              <w:adjustRightInd w:val="0"/>
              <w:jc w:val="center"/>
              <w:rPr>
                <w:sz w:val="21"/>
                <w:szCs w:val="21"/>
                <w:highlight w:val="none"/>
              </w:rPr>
            </w:pPr>
            <w:r>
              <w:rPr>
                <w:sz w:val="21"/>
                <w:szCs w:val="21"/>
                <w:highlight w:val="none"/>
              </w:rPr>
              <w:t>7.31</w:t>
            </w:r>
          </w:p>
        </w:tc>
        <w:tc>
          <w:tcPr>
            <w:tcW w:w="481" w:type="pct"/>
            <w:noWrap w:val="0"/>
            <w:vAlign w:val="center"/>
          </w:tcPr>
          <w:p w14:paraId="27D9CD75">
            <w:pPr>
              <w:kinsoku w:val="0"/>
              <w:overflowPunct w:val="0"/>
              <w:autoSpaceDE w:val="0"/>
              <w:autoSpaceDN w:val="0"/>
              <w:adjustRightInd w:val="0"/>
              <w:jc w:val="center"/>
              <w:rPr>
                <w:sz w:val="21"/>
                <w:szCs w:val="21"/>
                <w:highlight w:val="none"/>
              </w:rPr>
            </w:pPr>
            <w:r>
              <w:rPr>
                <w:sz w:val="21"/>
                <w:szCs w:val="21"/>
                <w:highlight w:val="none"/>
              </w:rPr>
              <w:t>7.18</w:t>
            </w:r>
          </w:p>
        </w:tc>
        <w:tc>
          <w:tcPr>
            <w:tcW w:w="427" w:type="pct"/>
            <w:noWrap w:val="0"/>
            <w:vAlign w:val="center"/>
          </w:tcPr>
          <w:p w14:paraId="61AE7976">
            <w:pPr>
              <w:kinsoku w:val="0"/>
              <w:overflowPunct w:val="0"/>
              <w:autoSpaceDE w:val="0"/>
              <w:autoSpaceDN w:val="0"/>
              <w:adjustRightInd w:val="0"/>
              <w:jc w:val="center"/>
              <w:rPr>
                <w:sz w:val="21"/>
                <w:szCs w:val="21"/>
                <w:highlight w:val="none"/>
              </w:rPr>
            </w:pPr>
            <w:r>
              <w:rPr>
                <w:sz w:val="21"/>
                <w:szCs w:val="21"/>
                <w:highlight w:val="none"/>
              </w:rPr>
              <w:t>6.40</w:t>
            </w:r>
          </w:p>
        </w:tc>
        <w:tc>
          <w:tcPr>
            <w:tcW w:w="482" w:type="pct"/>
            <w:noWrap w:val="0"/>
            <w:vAlign w:val="center"/>
          </w:tcPr>
          <w:p w14:paraId="3DB60853">
            <w:pPr>
              <w:kinsoku w:val="0"/>
              <w:overflowPunct w:val="0"/>
              <w:autoSpaceDE w:val="0"/>
              <w:autoSpaceDN w:val="0"/>
              <w:adjustRightInd w:val="0"/>
              <w:jc w:val="center"/>
              <w:rPr>
                <w:sz w:val="21"/>
                <w:szCs w:val="21"/>
                <w:highlight w:val="none"/>
              </w:rPr>
            </w:pPr>
            <w:r>
              <w:rPr>
                <w:sz w:val="21"/>
                <w:szCs w:val="21"/>
                <w:highlight w:val="none"/>
              </w:rPr>
              <w:t>6.42</w:t>
            </w:r>
          </w:p>
        </w:tc>
        <w:tc>
          <w:tcPr>
            <w:tcW w:w="427" w:type="pct"/>
            <w:noWrap w:val="0"/>
            <w:vAlign w:val="center"/>
          </w:tcPr>
          <w:p w14:paraId="0DD7845F">
            <w:pPr>
              <w:kinsoku w:val="0"/>
              <w:overflowPunct w:val="0"/>
              <w:autoSpaceDE w:val="0"/>
              <w:autoSpaceDN w:val="0"/>
              <w:adjustRightInd w:val="0"/>
              <w:jc w:val="center"/>
              <w:rPr>
                <w:sz w:val="21"/>
                <w:szCs w:val="21"/>
                <w:highlight w:val="none"/>
              </w:rPr>
            </w:pPr>
            <w:r>
              <w:rPr>
                <w:sz w:val="21"/>
                <w:szCs w:val="21"/>
                <w:highlight w:val="none"/>
              </w:rPr>
              <w:t>6.65</w:t>
            </w:r>
          </w:p>
        </w:tc>
        <w:tc>
          <w:tcPr>
            <w:tcW w:w="535" w:type="pct"/>
            <w:noWrap w:val="0"/>
            <w:vAlign w:val="center"/>
          </w:tcPr>
          <w:p w14:paraId="28C024DD">
            <w:pPr>
              <w:kinsoku w:val="0"/>
              <w:overflowPunct w:val="0"/>
              <w:autoSpaceDE w:val="0"/>
              <w:autoSpaceDN w:val="0"/>
              <w:adjustRightInd w:val="0"/>
              <w:jc w:val="center"/>
              <w:rPr>
                <w:sz w:val="21"/>
                <w:szCs w:val="21"/>
                <w:highlight w:val="none"/>
              </w:rPr>
            </w:pPr>
            <w:r>
              <w:rPr>
                <w:sz w:val="21"/>
                <w:szCs w:val="21"/>
                <w:highlight w:val="none"/>
              </w:rPr>
              <w:t>6.68</w:t>
            </w:r>
          </w:p>
        </w:tc>
        <w:tc>
          <w:tcPr>
            <w:tcW w:w="453" w:type="pct"/>
            <w:noWrap w:val="0"/>
            <w:vAlign w:val="bottom"/>
          </w:tcPr>
          <w:p w14:paraId="35411C58">
            <w:pPr>
              <w:kinsoku w:val="0"/>
              <w:overflowPunct w:val="0"/>
              <w:autoSpaceDE w:val="0"/>
              <w:autoSpaceDN w:val="0"/>
              <w:adjustRightInd w:val="0"/>
              <w:jc w:val="center"/>
              <w:rPr>
                <w:sz w:val="21"/>
                <w:szCs w:val="21"/>
                <w:highlight w:val="none"/>
              </w:rPr>
            </w:pPr>
            <w:r>
              <w:rPr>
                <w:sz w:val="21"/>
                <w:szCs w:val="21"/>
                <w:highlight w:val="none"/>
              </w:rPr>
              <w:t>6~9</w:t>
            </w:r>
          </w:p>
        </w:tc>
      </w:tr>
      <w:tr w14:paraId="6D4E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6087925A">
            <w:pPr>
              <w:kinsoku w:val="0"/>
              <w:overflowPunct w:val="0"/>
              <w:autoSpaceDE w:val="0"/>
              <w:autoSpaceDN w:val="0"/>
              <w:adjustRightInd w:val="0"/>
              <w:jc w:val="center"/>
              <w:rPr>
                <w:sz w:val="21"/>
                <w:szCs w:val="21"/>
                <w:highlight w:val="none"/>
              </w:rPr>
            </w:pPr>
            <w:r>
              <w:rPr>
                <w:spacing w:val="-1"/>
                <w:sz w:val="21"/>
                <w:szCs w:val="21"/>
                <w:highlight w:val="none"/>
              </w:rPr>
              <w:t>水</w:t>
            </w:r>
            <w:r>
              <w:rPr>
                <w:spacing w:val="2"/>
                <w:sz w:val="21"/>
                <w:szCs w:val="21"/>
                <w:highlight w:val="none"/>
              </w:rPr>
              <w:t>温（</w:t>
            </w:r>
            <w:r>
              <w:rPr>
                <w:spacing w:val="-1"/>
                <w:sz w:val="21"/>
                <w:szCs w:val="21"/>
                <w:highlight w:val="none"/>
              </w:rPr>
              <w:t>℃</w:t>
            </w:r>
            <w:r>
              <w:rPr>
                <w:sz w:val="21"/>
                <w:szCs w:val="21"/>
                <w:highlight w:val="none"/>
              </w:rPr>
              <w:t>）</w:t>
            </w:r>
          </w:p>
        </w:tc>
        <w:tc>
          <w:tcPr>
            <w:tcW w:w="409" w:type="pct"/>
            <w:noWrap w:val="0"/>
            <w:vAlign w:val="center"/>
          </w:tcPr>
          <w:p w14:paraId="75008408">
            <w:pPr>
              <w:kinsoku w:val="0"/>
              <w:overflowPunct w:val="0"/>
              <w:autoSpaceDE w:val="0"/>
              <w:autoSpaceDN w:val="0"/>
              <w:adjustRightInd w:val="0"/>
              <w:jc w:val="center"/>
              <w:rPr>
                <w:sz w:val="21"/>
                <w:szCs w:val="21"/>
                <w:highlight w:val="none"/>
              </w:rPr>
            </w:pPr>
            <w:r>
              <w:rPr>
                <w:spacing w:val="1"/>
                <w:sz w:val="21"/>
                <w:szCs w:val="21"/>
                <w:highlight w:val="none"/>
              </w:rPr>
              <w:t>27</w:t>
            </w:r>
            <w:r>
              <w:rPr>
                <w:sz w:val="21"/>
                <w:szCs w:val="21"/>
                <w:highlight w:val="none"/>
              </w:rPr>
              <w:t>.4</w:t>
            </w:r>
          </w:p>
        </w:tc>
        <w:tc>
          <w:tcPr>
            <w:tcW w:w="428" w:type="pct"/>
            <w:noWrap w:val="0"/>
            <w:vAlign w:val="center"/>
          </w:tcPr>
          <w:p w14:paraId="66A3D880">
            <w:pPr>
              <w:kinsoku w:val="0"/>
              <w:overflowPunct w:val="0"/>
              <w:autoSpaceDE w:val="0"/>
              <w:autoSpaceDN w:val="0"/>
              <w:adjustRightInd w:val="0"/>
              <w:jc w:val="center"/>
              <w:rPr>
                <w:sz w:val="21"/>
                <w:szCs w:val="21"/>
                <w:highlight w:val="none"/>
              </w:rPr>
            </w:pPr>
            <w:r>
              <w:rPr>
                <w:spacing w:val="1"/>
                <w:sz w:val="21"/>
                <w:szCs w:val="21"/>
                <w:highlight w:val="none"/>
              </w:rPr>
              <w:t>27</w:t>
            </w:r>
            <w:r>
              <w:rPr>
                <w:sz w:val="21"/>
                <w:szCs w:val="21"/>
                <w:highlight w:val="none"/>
              </w:rPr>
              <w:t>.8</w:t>
            </w:r>
          </w:p>
        </w:tc>
        <w:tc>
          <w:tcPr>
            <w:tcW w:w="428" w:type="pct"/>
            <w:noWrap w:val="0"/>
            <w:vAlign w:val="center"/>
          </w:tcPr>
          <w:p w14:paraId="7758BA42">
            <w:pPr>
              <w:kinsoku w:val="0"/>
              <w:overflowPunct w:val="0"/>
              <w:autoSpaceDE w:val="0"/>
              <w:autoSpaceDN w:val="0"/>
              <w:adjustRightInd w:val="0"/>
              <w:jc w:val="center"/>
              <w:rPr>
                <w:sz w:val="21"/>
                <w:szCs w:val="21"/>
                <w:highlight w:val="none"/>
              </w:rPr>
            </w:pPr>
            <w:r>
              <w:rPr>
                <w:sz w:val="21"/>
                <w:szCs w:val="21"/>
                <w:highlight w:val="none"/>
              </w:rPr>
              <w:t>28.9</w:t>
            </w:r>
          </w:p>
        </w:tc>
        <w:tc>
          <w:tcPr>
            <w:tcW w:w="481" w:type="pct"/>
            <w:noWrap w:val="0"/>
            <w:vAlign w:val="center"/>
          </w:tcPr>
          <w:p w14:paraId="0BADF656">
            <w:pPr>
              <w:kinsoku w:val="0"/>
              <w:overflowPunct w:val="0"/>
              <w:autoSpaceDE w:val="0"/>
              <w:autoSpaceDN w:val="0"/>
              <w:adjustRightInd w:val="0"/>
              <w:jc w:val="center"/>
              <w:rPr>
                <w:sz w:val="21"/>
                <w:szCs w:val="21"/>
                <w:highlight w:val="none"/>
              </w:rPr>
            </w:pPr>
            <w:r>
              <w:rPr>
                <w:sz w:val="21"/>
                <w:szCs w:val="21"/>
                <w:highlight w:val="none"/>
              </w:rPr>
              <w:t>28.9</w:t>
            </w:r>
          </w:p>
        </w:tc>
        <w:tc>
          <w:tcPr>
            <w:tcW w:w="427" w:type="pct"/>
            <w:noWrap w:val="0"/>
            <w:vAlign w:val="center"/>
          </w:tcPr>
          <w:p w14:paraId="666DE3A7">
            <w:pPr>
              <w:kinsoku w:val="0"/>
              <w:overflowPunct w:val="0"/>
              <w:autoSpaceDE w:val="0"/>
              <w:autoSpaceDN w:val="0"/>
              <w:adjustRightInd w:val="0"/>
              <w:jc w:val="center"/>
              <w:rPr>
                <w:sz w:val="21"/>
                <w:szCs w:val="21"/>
                <w:highlight w:val="none"/>
              </w:rPr>
            </w:pPr>
            <w:r>
              <w:rPr>
                <w:sz w:val="21"/>
                <w:szCs w:val="21"/>
                <w:highlight w:val="none"/>
              </w:rPr>
              <w:t>26.2</w:t>
            </w:r>
          </w:p>
        </w:tc>
        <w:tc>
          <w:tcPr>
            <w:tcW w:w="482" w:type="pct"/>
            <w:noWrap w:val="0"/>
            <w:vAlign w:val="center"/>
          </w:tcPr>
          <w:p w14:paraId="0BB340BF">
            <w:pPr>
              <w:kinsoku w:val="0"/>
              <w:overflowPunct w:val="0"/>
              <w:autoSpaceDE w:val="0"/>
              <w:autoSpaceDN w:val="0"/>
              <w:adjustRightInd w:val="0"/>
              <w:jc w:val="center"/>
              <w:rPr>
                <w:sz w:val="21"/>
                <w:szCs w:val="21"/>
                <w:highlight w:val="none"/>
              </w:rPr>
            </w:pPr>
            <w:r>
              <w:rPr>
                <w:sz w:val="21"/>
                <w:szCs w:val="21"/>
                <w:highlight w:val="none"/>
              </w:rPr>
              <w:t>26.1</w:t>
            </w:r>
          </w:p>
        </w:tc>
        <w:tc>
          <w:tcPr>
            <w:tcW w:w="427" w:type="pct"/>
            <w:noWrap w:val="0"/>
            <w:vAlign w:val="center"/>
          </w:tcPr>
          <w:p w14:paraId="3189C4D1">
            <w:pPr>
              <w:kinsoku w:val="0"/>
              <w:overflowPunct w:val="0"/>
              <w:autoSpaceDE w:val="0"/>
              <w:autoSpaceDN w:val="0"/>
              <w:adjustRightInd w:val="0"/>
              <w:jc w:val="center"/>
              <w:rPr>
                <w:sz w:val="21"/>
                <w:szCs w:val="21"/>
                <w:highlight w:val="none"/>
              </w:rPr>
            </w:pPr>
            <w:r>
              <w:rPr>
                <w:sz w:val="21"/>
                <w:szCs w:val="21"/>
                <w:highlight w:val="none"/>
              </w:rPr>
              <w:t>26.8</w:t>
            </w:r>
          </w:p>
        </w:tc>
        <w:tc>
          <w:tcPr>
            <w:tcW w:w="535" w:type="pct"/>
            <w:noWrap w:val="0"/>
            <w:vAlign w:val="center"/>
          </w:tcPr>
          <w:p w14:paraId="123387EE">
            <w:pPr>
              <w:kinsoku w:val="0"/>
              <w:overflowPunct w:val="0"/>
              <w:autoSpaceDE w:val="0"/>
              <w:autoSpaceDN w:val="0"/>
              <w:adjustRightInd w:val="0"/>
              <w:jc w:val="center"/>
              <w:rPr>
                <w:sz w:val="21"/>
                <w:szCs w:val="21"/>
                <w:highlight w:val="none"/>
              </w:rPr>
            </w:pPr>
            <w:r>
              <w:rPr>
                <w:sz w:val="21"/>
                <w:szCs w:val="21"/>
                <w:highlight w:val="none"/>
              </w:rPr>
              <w:t>27.0</w:t>
            </w:r>
          </w:p>
        </w:tc>
        <w:tc>
          <w:tcPr>
            <w:tcW w:w="453" w:type="pct"/>
            <w:noWrap w:val="0"/>
            <w:vAlign w:val="bottom"/>
          </w:tcPr>
          <w:p w14:paraId="51B5BF44">
            <w:pPr>
              <w:kinsoku w:val="0"/>
              <w:overflowPunct w:val="0"/>
              <w:autoSpaceDE w:val="0"/>
              <w:autoSpaceDN w:val="0"/>
              <w:adjustRightInd w:val="0"/>
              <w:jc w:val="center"/>
              <w:rPr>
                <w:sz w:val="21"/>
                <w:szCs w:val="21"/>
                <w:highlight w:val="none"/>
              </w:rPr>
            </w:pPr>
            <w:r>
              <w:rPr>
                <w:sz w:val="21"/>
                <w:szCs w:val="21"/>
                <w:highlight w:val="none"/>
              </w:rPr>
              <w:t>/</w:t>
            </w:r>
          </w:p>
        </w:tc>
      </w:tr>
      <w:tr w14:paraId="263F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3957677B">
            <w:pPr>
              <w:kinsoku w:val="0"/>
              <w:overflowPunct w:val="0"/>
              <w:autoSpaceDE w:val="0"/>
              <w:autoSpaceDN w:val="0"/>
              <w:adjustRightInd w:val="0"/>
              <w:jc w:val="center"/>
              <w:rPr>
                <w:sz w:val="21"/>
                <w:szCs w:val="21"/>
                <w:highlight w:val="none"/>
              </w:rPr>
            </w:pPr>
            <w:r>
              <w:rPr>
                <w:sz w:val="21"/>
                <w:szCs w:val="21"/>
                <w:highlight w:val="none"/>
              </w:rPr>
              <w:t>色度（倍）</w:t>
            </w:r>
          </w:p>
        </w:tc>
        <w:tc>
          <w:tcPr>
            <w:tcW w:w="409" w:type="pct"/>
            <w:noWrap w:val="0"/>
            <w:vAlign w:val="center"/>
          </w:tcPr>
          <w:p w14:paraId="7511E012">
            <w:pPr>
              <w:kinsoku w:val="0"/>
              <w:overflowPunct w:val="0"/>
              <w:autoSpaceDE w:val="0"/>
              <w:autoSpaceDN w:val="0"/>
              <w:adjustRightInd w:val="0"/>
              <w:jc w:val="center"/>
              <w:rPr>
                <w:sz w:val="21"/>
                <w:szCs w:val="21"/>
                <w:highlight w:val="none"/>
              </w:rPr>
            </w:pPr>
            <w:r>
              <w:rPr>
                <w:sz w:val="21"/>
                <w:szCs w:val="21"/>
                <w:highlight w:val="none"/>
              </w:rPr>
              <w:t>1</w:t>
            </w:r>
          </w:p>
        </w:tc>
        <w:tc>
          <w:tcPr>
            <w:tcW w:w="428" w:type="pct"/>
            <w:noWrap w:val="0"/>
            <w:vAlign w:val="center"/>
          </w:tcPr>
          <w:p w14:paraId="3F591118">
            <w:pPr>
              <w:kinsoku w:val="0"/>
              <w:overflowPunct w:val="0"/>
              <w:autoSpaceDE w:val="0"/>
              <w:autoSpaceDN w:val="0"/>
              <w:adjustRightInd w:val="0"/>
              <w:jc w:val="center"/>
              <w:rPr>
                <w:sz w:val="21"/>
                <w:szCs w:val="21"/>
                <w:highlight w:val="none"/>
              </w:rPr>
            </w:pPr>
            <w:r>
              <w:rPr>
                <w:sz w:val="21"/>
                <w:szCs w:val="21"/>
                <w:highlight w:val="none"/>
              </w:rPr>
              <w:t>1</w:t>
            </w:r>
          </w:p>
        </w:tc>
        <w:tc>
          <w:tcPr>
            <w:tcW w:w="428" w:type="pct"/>
            <w:noWrap w:val="0"/>
            <w:vAlign w:val="center"/>
          </w:tcPr>
          <w:p w14:paraId="73DA0852">
            <w:pPr>
              <w:kinsoku w:val="0"/>
              <w:overflowPunct w:val="0"/>
              <w:autoSpaceDE w:val="0"/>
              <w:autoSpaceDN w:val="0"/>
              <w:adjustRightInd w:val="0"/>
              <w:jc w:val="center"/>
              <w:rPr>
                <w:sz w:val="21"/>
                <w:szCs w:val="21"/>
                <w:highlight w:val="none"/>
              </w:rPr>
            </w:pPr>
            <w:r>
              <w:rPr>
                <w:sz w:val="21"/>
                <w:szCs w:val="21"/>
                <w:highlight w:val="none"/>
              </w:rPr>
              <w:t>1</w:t>
            </w:r>
          </w:p>
        </w:tc>
        <w:tc>
          <w:tcPr>
            <w:tcW w:w="481" w:type="pct"/>
            <w:noWrap w:val="0"/>
            <w:vAlign w:val="center"/>
          </w:tcPr>
          <w:p w14:paraId="57C549EB">
            <w:pPr>
              <w:kinsoku w:val="0"/>
              <w:overflowPunct w:val="0"/>
              <w:autoSpaceDE w:val="0"/>
              <w:autoSpaceDN w:val="0"/>
              <w:adjustRightInd w:val="0"/>
              <w:jc w:val="center"/>
              <w:rPr>
                <w:sz w:val="21"/>
                <w:szCs w:val="21"/>
                <w:highlight w:val="none"/>
              </w:rPr>
            </w:pPr>
            <w:r>
              <w:rPr>
                <w:sz w:val="21"/>
                <w:szCs w:val="21"/>
                <w:highlight w:val="none"/>
              </w:rPr>
              <w:t>1</w:t>
            </w:r>
          </w:p>
        </w:tc>
        <w:tc>
          <w:tcPr>
            <w:tcW w:w="427" w:type="pct"/>
            <w:noWrap w:val="0"/>
            <w:vAlign w:val="center"/>
          </w:tcPr>
          <w:p w14:paraId="1F8F8874">
            <w:pPr>
              <w:kinsoku w:val="0"/>
              <w:overflowPunct w:val="0"/>
              <w:autoSpaceDE w:val="0"/>
              <w:autoSpaceDN w:val="0"/>
              <w:adjustRightInd w:val="0"/>
              <w:jc w:val="center"/>
              <w:rPr>
                <w:sz w:val="21"/>
                <w:szCs w:val="21"/>
                <w:highlight w:val="none"/>
              </w:rPr>
            </w:pPr>
            <w:r>
              <w:rPr>
                <w:sz w:val="21"/>
                <w:szCs w:val="21"/>
                <w:highlight w:val="none"/>
              </w:rPr>
              <w:t>1</w:t>
            </w:r>
          </w:p>
        </w:tc>
        <w:tc>
          <w:tcPr>
            <w:tcW w:w="482" w:type="pct"/>
            <w:noWrap w:val="0"/>
            <w:vAlign w:val="center"/>
          </w:tcPr>
          <w:p w14:paraId="65E62225">
            <w:pPr>
              <w:kinsoku w:val="0"/>
              <w:overflowPunct w:val="0"/>
              <w:autoSpaceDE w:val="0"/>
              <w:autoSpaceDN w:val="0"/>
              <w:adjustRightInd w:val="0"/>
              <w:jc w:val="center"/>
              <w:rPr>
                <w:sz w:val="21"/>
                <w:szCs w:val="21"/>
                <w:highlight w:val="none"/>
              </w:rPr>
            </w:pPr>
            <w:r>
              <w:rPr>
                <w:sz w:val="21"/>
                <w:szCs w:val="21"/>
                <w:highlight w:val="none"/>
              </w:rPr>
              <w:t>1</w:t>
            </w:r>
          </w:p>
        </w:tc>
        <w:tc>
          <w:tcPr>
            <w:tcW w:w="427" w:type="pct"/>
            <w:noWrap w:val="0"/>
            <w:vAlign w:val="center"/>
          </w:tcPr>
          <w:p w14:paraId="15823914">
            <w:pPr>
              <w:kinsoku w:val="0"/>
              <w:overflowPunct w:val="0"/>
              <w:autoSpaceDE w:val="0"/>
              <w:autoSpaceDN w:val="0"/>
              <w:adjustRightInd w:val="0"/>
              <w:jc w:val="center"/>
              <w:rPr>
                <w:sz w:val="21"/>
                <w:szCs w:val="21"/>
                <w:highlight w:val="none"/>
              </w:rPr>
            </w:pPr>
            <w:r>
              <w:rPr>
                <w:sz w:val="21"/>
                <w:szCs w:val="21"/>
                <w:highlight w:val="none"/>
              </w:rPr>
              <w:t>1</w:t>
            </w:r>
          </w:p>
        </w:tc>
        <w:tc>
          <w:tcPr>
            <w:tcW w:w="535" w:type="pct"/>
            <w:noWrap w:val="0"/>
            <w:vAlign w:val="center"/>
          </w:tcPr>
          <w:p w14:paraId="493A2D7A">
            <w:pPr>
              <w:kinsoku w:val="0"/>
              <w:overflowPunct w:val="0"/>
              <w:autoSpaceDE w:val="0"/>
              <w:autoSpaceDN w:val="0"/>
              <w:adjustRightInd w:val="0"/>
              <w:jc w:val="center"/>
              <w:rPr>
                <w:sz w:val="21"/>
                <w:szCs w:val="21"/>
                <w:highlight w:val="none"/>
              </w:rPr>
            </w:pPr>
            <w:r>
              <w:rPr>
                <w:sz w:val="21"/>
                <w:szCs w:val="21"/>
                <w:highlight w:val="none"/>
              </w:rPr>
              <w:t>1</w:t>
            </w:r>
          </w:p>
        </w:tc>
        <w:tc>
          <w:tcPr>
            <w:tcW w:w="453" w:type="pct"/>
            <w:noWrap w:val="0"/>
            <w:vAlign w:val="bottom"/>
          </w:tcPr>
          <w:p w14:paraId="347069B2">
            <w:pPr>
              <w:kinsoku w:val="0"/>
              <w:overflowPunct w:val="0"/>
              <w:autoSpaceDE w:val="0"/>
              <w:autoSpaceDN w:val="0"/>
              <w:adjustRightInd w:val="0"/>
              <w:jc w:val="center"/>
              <w:rPr>
                <w:sz w:val="21"/>
                <w:szCs w:val="21"/>
                <w:highlight w:val="none"/>
              </w:rPr>
            </w:pPr>
            <w:r>
              <w:rPr>
                <w:sz w:val="21"/>
                <w:szCs w:val="21"/>
                <w:highlight w:val="none"/>
              </w:rPr>
              <w:t>80</w:t>
            </w:r>
          </w:p>
        </w:tc>
      </w:tr>
      <w:tr w14:paraId="0025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52639F94">
            <w:pPr>
              <w:kinsoku w:val="0"/>
              <w:overflowPunct w:val="0"/>
              <w:autoSpaceDE w:val="0"/>
              <w:autoSpaceDN w:val="0"/>
              <w:adjustRightInd w:val="0"/>
              <w:jc w:val="center"/>
              <w:rPr>
                <w:sz w:val="21"/>
                <w:szCs w:val="21"/>
                <w:highlight w:val="none"/>
              </w:rPr>
            </w:pPr>
            <w:r>
              <w:rPr>
                <w:sz w:val="21"/>
                <w:szCs w:val="21"/>
                <w:highlight w:val="none"/>
              </w:rPr>
              <w:t>悬浮物</w:t>
            </w:r>
          </w:p>
        </w:tc>
        <w:tc>
          <w:tcPr>
            <w:tcW w:w="409" w:type="pct"/>
            <w:noWrap w:val="0"/>
            <w:vAlign w:val="center"/>
          </w:tcPr>
          <w:p w14:paraId="67FC023A">
            <w:pPr>
              <w:kinsoku w:val="0"/>
              <w:overflowPunct w:val="0"/>
              <w:autoSpaceDE w:val="0"/>
              <w:autoSpaceDN w:val="0"/>
              <w:adjustRightInd w:val="0"/>
              <w:jc w:val="center"/>
              <w:rPr>
                <w:sz w:val="21"/>
                <w:szCs w:val="21"/>
                <w:highlight w:val="none"/>
              </w:rPr>
            </w:pPr>
            <w:r>
              <w:rPr>
                <w:sz w:val="21"/>
                <w:szCs w:val="21"/>
                <w:highlight w:val="none"/>
              </w:rPr>
              <w:t>7</w:t>
            </w:r>
          </w:p>
        </w:tc>
        <w:tc>
          <w:tcPr>
            <w:tcW w:w="428" w:type="pct"/>
            <w:noWrap w:val="0"/>
            <w:vAlign w:val="center"/>
          </w:tcPr>
          <w:p w14:paraId="2B727586">
            <w:pPr>
              <w:kinsoku w:val="0"/>
              <w:overflowPunct w:val="0"/>
              <w:autoSpaceDE w:val="0"/>
              <w:autoSpaceDN w:val="0"/>
              <w:adjustRightInd w:val="0"/>
              <w:jc w:val="center"/>
              <w:rPr>
                <w:sz w:val="21"/>
                <w:szCs w:val="21"/>
                <w:highlight w:val="none"/>
              </w:rPr>
            </w:pPr>
            <w:r>
              <w:rPr>
                <w:spacing w:val="1"/>
                <w:sz w:val="21"/>
                <w:szCs w:val="21"/>
                <w:highlight w:val="none"/>
              </w:rPr>
              <w:t>1</w:t>
            </w:r>
            <w:r>
              <w:rPr>
                <w:sz w:val="21"/>
                <w:szCs w:val="21"/>
                <w:highlight w:val="none"/>
              </w:rPr>
              <w:t>0</w:t>
            </w:r>
          </w:p>
        </w:tc>
        <w:tc>
          <w:tcPr>
            <w:tcW w:w="428" w:type="pct"/>
            <w:noWrap w:val="0"/>
            <w:vAlign w:val="center"/>
          </w:tcPr>
          <w:p w14:paraId="1FF42123">
            <w:pPr>
              <w:kinsoku w:val="0"/>
              <w:overflowPunct w:val="0"/>
              <w:autoSpaceDE w:val="0"/>
              <w:autoSpaceDN w:val="0"/>
              <w:adjustRightInd w:val="0"/>
              <w:jc w:val="center"/>
              <w:rPr>
                <w:sz w:val="21"/>
                <w:szCs w:val="21"/>
                <w:highlight w:val="none"/>
              </w:rPr>
            </w:pPr>
            <w:r>
              <w:rPr>
                <w:sz w:val="21"/>
                <w:szCs w:val="21"/>
                <w:highlight w:val="none"/>
              </w:rPr>
              <w:t>13</w:t>
            </w:r>
          </w:p>
        </w:tc>
        <w:tc>
          <w:tcPr>
            <w:tcW w:w="481" w:type="pct"/>
            <w:noWrap w:val="0"/>
            <w:vAlign w:val="center"/>
          </w:tcPr>
          <w:p w14:paraId="6D4421C2">
            <w:pPr>
              <w:kinsoku w:val="0"/>
              <w:overflowPunct w:val="0"/>
              <w:autoSpaceDE w:val="0"/>
              <w:autoSpaceDN w:val="0"/>
              <w:adjustRightInd w:val="0"/>
              <w:jc w:val="center"/>
              <w:rPr>
                <w:sz w:val="21"/>
                <w:szCs w:val="21"/>
                <w:highlight w:val="none"/>
              </w:rPr>
            </w:pPr>
            <w:r>
              <w:rPr>
                <w:sz w:val="21"/>
                <w:szCs w:val="21"/>
                <w:highlight w:val="none"/>
              </w:rPr>
              <w:t>8</w:t>
            </w:r>
          </w:p>
        </w:tc>
        <w:tc>
          <w:tcPr>
            <w:tcW w:w="427" w:type="pct"/>
            <w:noWrap w:val="0"/>
            <w:vAlign w:val="center"/>
          </w:tcPr>
          <w:p w14:paraId="09893564">
            <w:pPr>
              <w:kinsoku w:val="0"/>
              <w:overflowPunct w:val="0"/>
              <w:autoSpaceDE w:val="0"/>
              <w:autoSpaceDN w:val="0"/>
              <w:adjustRightInd w:val="0"/>
              <w:jc w:val="center"/>
              <w:rPr>
                <w:sz w:val="21"/>
                <w:szCs w:val="21"/>
                <w:highlight w:val="none"/>
              </w:rPr>
            </w:pPr>
            <w:r>
              <w:rPr>
                <w:sz w:val="21"/>
                <w:szCs w:val="21"/>
                <w:highlight w:val="none"/>
              </w:rPr>
              <w:t>9</w:t>
            </w:r>
          </w:p>
        </w:tc>
        <w:tc>
          <w:tcPr>
            <w:tcW w:w="482" w:type="pct"/>
            <w:noWrap w:val="0"/>
            <w:vAlign w:val="center"/>
          </w:tcPr>
          <w:p w14:paraId="299AFC27">
            <w:pPr>
              <w:kinsoku w:val="0"/>
              <w:overflowPunct w:val="0"/>
              <w:autoSpaceDE w:val="0"/>
              <w:autoSpaceDN w:val="0"/>
              <w:adjustRightInd w:val="0"/>
              <w:jc w:val="center"/>
              <w:rPr>
                <w:sz w:val="21"/>
                <w:szCs w:val="21"/>
                <w:highlight w:val="none"/>
              </w:rPr>
            </w:pPr>
            <w:r>
              <w:rPr>
                <w:sz w:val="21"/>
                <w:szCs w:val="21"/>
                <w:highlight w:val="none"/>
              </w:rPr>
              <w:t>6</w:t>
            </w:r>
          </w:p>
        </w:tc>
        <w:tc>
          <w:tcPr>
            <w:tcW w:w="427" w:type="pct"/>
            <w:noWrap w:val="0"/>
            <w:vAlign w:val="center"/>
          </w:tcPr>
          <w:p w14:paraId="1724B69C">
            <w:pPr>
              <w:kinsoku w:val="0"/>
              <w:overflowPunct w:val="0"/>
              <w:autoSpaceDE w:val="0"/>
              <w:autoSpaceDN w:val="0"/>
              <w:adjustRightInd w:val="0"/>
              <w:jc w:val="center"/>
              <w:rPr>
                <w:sz w:val="21"/>
                <w:szCs w:val="21"/>
                <w:highlight w:val="none"/>
              </w:rPr>
            </w:pPr>
            <w:r>
              <w:rPr>
                <w:sz w:val="21"/>
                <w:szCs w:val="21"/>
                <w:highlight w:val="none"/>
              </w:rPr>
              <w:t>13</w:t>
            </w:r>
          </w:p>
        </w:tc>
        <w:tc>
          <w:tcPr>
            <w:tcW w:w="535" w:type="pct"/>
            <w:noWrap w:val="0"/>
            <w:vAlign w:val="center"/>
          </w:tcPr>
          <w:p w14:paraId="4B7621AE">
            <w:pPr>
              <w:kinsoku w:val="0"/>
              <w:overflowPunct w:val="0"/>
              <w:autoSpaceDE w:val="0"/>
              <w:autoSpaceDN w:val="0"/>
              <w:adjustRightInd w:val="0"/>
              <w:jc w:val="center"/>
              <w:rPr>
                <w:sz w:val="21"/>
                <w:szCs w:val="21"/>
                <w:highlight w:val="none"/>
              </w:rPr>
            </w:pPr>
            <w:r>
              <w:rPr>
                <w:sz w:val="21"/>
                <w:szCs w:val="21"/>
                <w:highlight w:val="none"/>
              </w:rPr>
              <w:t>7</w:t>
            </w:r>
          </w:p>
        </w:tc>
        <w:tc>
          <w:tcPr>
            <w:tcW w:w="453" w:type="pct"/>
            <w:noWrap w:val="0"/>
            <w:vAlign w:val="center"/>
          </w:tcPr>
          <w:p w14:paraId="71B19ACA">
            <w:pPr>
              <w:kinsoku w:val="0"/>
              <w:overflowPunct w:val="0"/>
              <w:autoSpaceDE w:val="0"/>
              <w:autoSpaceDN w:val="0"/>
              <w:adjustRightInd w:val="0"/>
              <w:jc w:val="center"/>
              <w:rPr>
                <w:sz w:val="21"/>
                <w:szCs w:val="21"/>
                <w:highlight w:val="none"/>
              </w:rPr>
            </w:pPr>
            <w:r>
              <w:rPr>
                <w:sz w:val="21"/>
                <w:szCs w:val="21"/>
                <w:highlight w:val="none"/>
              </w:rPr>
              <w:t>70</w:t>
            </w:r>
          </w:p>
        </w:tc>
      </w:tr>
      <w:tr w14:paraId="414B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35883419">
            <w:pPr>
              <w:kinsoku w:val="0"/>
              <w:overflowPunct w:val="0"/>
              <w:autoSpaceDE w:val="0"/>
              <w:autoSpaceDN w:val="0"/>
              <w:adjustRightInd w:val="0"/>
              <w:jc w:val="center"/>
              <w:rPr>
                <w:sz w:val="21"/>
                <w:szCs w:val="21"/>
                <w:highlight w:val="none"/>
              </w:rPr>
            </w:pPr>
            <w:r>
              <w:rPr>
                <w:sz w:val="21"/>
                <w:szCs w:val="21"/>
                <w:highlight w:val="none"/>
              </w:rPr>
              <w:t>化学需氧量</w:t>
            </w:r>
          </w:p>
        </w:tc>
        <w:tc>
          <w:tcPr>
            <w:tcW w:w="409" w:type="pct"/>
            <w:noWrap w:val="0"/>
            <w:vAlign w:val="center"/>
          </w:tcPr>
          <w:p w14:paraId="2324715E">
            <w:pPr>
              <w:kinsoku w:val="0"/>
              <w:overflowPunct w:val="0"/>
              <w:autoSpaceDE w:val="0"/>
              <w:autoSpaceDN w:val="0"/>
              <w:adjustRightInd w:val="0"/>
              <w:jc w:val="center"/>
              <w:rPr>
                <w:sz w:val="21"/>
                <w:szCs w:val="21"/>
                <w:highlight w:val="none"/>
              </w:rPr>
            </w:pPr>
            <w:r>
              <w:rPr>
                <w:sz w:val="21"/>
                <w:szCs w:val="21"/>
                <w:highlight w:val="none"/>
              </w:rPr>
              <w:t>9</w:t>
            </w:r>
          </w:p>
        </w:tc>
        <w:tc>
          <w:tcPr>
            <w:tcW w:w="428" w:type="pct"/>
            <w:noWrap w:val="0"/>
            <w:vAlign w:val="center"/>
          </w:tcPr>
          <w:p w14:paraId="0718153B">
            <w:pPr>
              <w:kinsoku w:val="0"/>
              <w:overflowPunct w:val="0"/>
              <w:autoSpaceDE w:val="0"/>
              <w:autoSpaceDN w:val="0"/>
              <w:adjustRightInd w:val="0"/>
              <w:jc w:val="center"/>
              <w:rPr>
                <w:sz w:val="21"/>
                <w:szCs w:val="21"/>
                <w:highlight w:val="none"/>
              </w:rPr>
            </w:pPr>
            <w:r>
              <w:rPr>
                <w:sz w:val="21"/>
                <w:szCs w:val="21"/>
                <w:highlight w:val="none"/>
              </w:rPr>
              <w:t>8</w:t>
            </w:r>
          </w:p>
        </w:tc>
        <w:tc>
          <w:tcPr>
            <w:tcW w:w="428" w:type="pct"/>
            <w:noWrap w:val="0"/>
            <w:vAlign w:val="center"/>
          </w:tcPr>
          <w:p w14:paraId="0D01E01C">
            <w:pPr>
              <w:kinsoku w:val="0"/>
              <w:overflowPunct w:val="0"/>
              <w:autoSpaceDE w:val="0"/>
              <w:autoSpaceDN w:val="0"/>
              <w:adjustRightInd w:val="0"/>
              <w:jc w:val="center"/>
              <w:rPr>
                <w:sz w:val="21"/>
                <w:szCs w:val="21"/>
                <w:highlight w:val="none"/>
              </w:rPr>
            </w:pPr>
            <w:r>
              <w:rPr>
                <w:sz w:val="21"/>
                <w:szCs w:val="21"/>
                <w:highlight w:val="none"/>
              </w:rPr>
              <w:t>9</w:t>
            </w:r>
          </w:p>
        </w:tc>
        <w:tc>
          <w:tcPr>
            <w:tcW w:w="481" w:type="pct"/>
            <w:noWrap w:val="0"/>
            <w:vAlign w:val="center"/>
          </w:tcPr>
          <w:p w14:paraId="4982465F">
            <w:pPr>
              <w:kinsoku w:val="0"/>
              <w:overflowPunct w:val="0"/>
              <w:autoSpaceDE w:val="0"/>
              <w:autoSpaceDN w:val="0"/>
              <w:adjustRightInd w:val="0"/>
              <w:jc w:val="center"/>
              <w:rPr>
                <w:sz w:val="21"/>
                <w:szCs w:val="21"/>
                <w:highlight w:val="none"/>
              </w:rPr>
            </w:pPr>
            <w:r>
              <w:rPr>
                <w:sz w:val="21"/>
                <w:szCs w:val="21"/>
                <w:highlight w:val="none"/>
              </w:rPr>
              <w:t>9</w:t>
            </w:r>
          </w:p>
        </w:tc>
        <w:tc>
          <w:tcPr>
            <w:tcW w:w="427" w:type="pct"/>
            <w:noWrap w:val="0"/>
            <w:vAlign w:val="center"/>
          </w:tcPr>
          <w:p w14:paraId="4F74C5FC">
            <w:pPr>
              <w:kinsoku w:val="0"/>
              <w:overflowPunct w:val="0"/>
              <w:autoSpaceDE w:val="0"/>
              <w:autoSpaceDN w:val="0"/>
              <w:adjustRightInd w:val="0"/>
              <w:jc w:val="center"/>
              <w:rPr>
                <w:sz w:val="21"/>
                <w:szCs w:val="21"/>
                <w:highlight w:val="none"/>
              </w:rPr>
            </w:pPr>
            <w:r>
              <w:rPr>
                <w:sz w:val="21"/>
                <w:szCs w:val="21"/>
                <w:highlight w:val="none"/>
              </w:rPr>
              <w:t>8</w:t>
            </w:r>
          </w:p>
        </w:tc>
        <w:tc>
          <w:tcPr>
            <w:tcW w:w="482" w:type="pct"/>
            <w:noWrap w:val="0"/>
            <w:vAlign w:val="center"/>
          </w:tcPr>
          <w:p w14:paraId="38E5FF93">
            <w:pPr>
              <w:kinsoku w:val="0"/>
              <w:overflowPunct w:val="0"/>
              <w:autoSpaceDE w:val="0"/>
              <w:autoSpaceDN w:val="0"/>
              <w:adjustRightInd w:val="0"/>
              <w:jc w:val="center"/>
              <w:rPr>
                <w:sz w:val="21"/>
                <w:szCs w:val="21"/>
                <w:highlight w:val="none"/>
              </w:rPr>
            </w:pPr>
            <w:r>
              <w:rPr>
                <w:sz w:val="21"/>
                <w:szCs w:val="21"/>
                <w:highlight w:val="none"/>
              </w:rPr>
              <w:t>7</w:t>
            </w:r>
          </w:p>
        </w:tc>
        <w:tc>
          <w:tcPr>
            <w:tcW w:w="427" w:type="pct"/>
            <w:noWrap w:val="0"/>
            <w:vAlign w:val="center"/>
          </w:tcPr>
          <w:p w14:paraId="1AA61D79">
            <w:pPr>
              <w:kinsoku w:val="0"/>
              <w:overflowPunct w:val="0"/>
              <w:autoSpaceDE w:val="0"/>
              <w:autoSpaceDN w:val="0"/>
              <w:adjustRightInd w:val="0"/>
              <w:jc w:val="center"/>
              <w:rPr>
                <w:sz w:val="21"/>
                <w:szCs w:val="21"/>
                <w:highlight w:val="none"/>
              </w:rPr>
            </w:pPr>
            <w:r>
              <w:rPr>
                <w:sz w:val="21"/>
                <w:szCs w:val="21"/>
                <w:highlight w:val="none"/>
              </w:rPr>
              <w:t>8</w:t>
            </w:r>
          </w:p>
        </w:tc>
        <w:tc>
          <w:tcPr>
            <w:tcW w:w="535" w:type="pct"/>
            <w:noWrap w:val="0"/>
            <w:vAlign w:val="center"/>
          </w:tcPr>
          <w:p w14:paraId="1CF77841">
            <w:pPr>
              <w:kinsoku w:val="0"/>
              <w:overflowPunct w:val="0"/>
              <w:autoSpaceDE w:val="0"/>
              <w:autoSpaceDN w:val="0"/>
              <w:adjustRightInd w:val="0"/>
              <w:jc w:val="center"/>
              <w:rPr>
                <w:sz w:val="21"/>
                <w:szCs w:val="21"/>
                <w:highlight w:val="none"/>
              </w:rPr>
            </w:pPr>
            <w:r>
              <w:rPr>
                <w:sz w:val="21"/>
                <w:szCs w:val="21"/>
                <w:highlight w:val="none"/>
              </w:rPr>
              <w:t>5</w:t>
            </w:r>
          </w:p>
        </w:tc>
        <w:tc>
          <w:tcPr>
            <w:tcW w:w="453" w:type="pct"/>
            <w:noWrap w:val="0"/>
            <w:vAlign w:val="bottom"/>
          </w:tcPr>
          <w:p w14:paraId="1518BAAD">
            <w:pPr>
              <w:kinsoku w:val="0"/>
              <w:overflowPunct w:val="0"/>
              <w:autoSpaceDE w:val="0"/>
              <w:autoSpaceDN w:val="0"/>
              <w:adjustRightInd w:val="0"/>
              <w:jc w:val="center"/>
              <w:rPr>
                <w:sz w:val="21"/>
                <w:szCs w:val="21"/>
                <w:highlight w:val="none"/>
              </w:rPr>
            </w:pPr>
            <w:r>
              <w:rPr>
                <w:sz w:val="21"/>
                <w:szCs w:val="21"/>
                <w:highlight w:val="none"/>
              </w:rPr>
              <w:t>100</w:t>
            </w:r>
          </w:p>
        </w:tc>
      </w:tr>
      <w:tr w14:paraId="1DEA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exact"/>
        </w:trPr>
        <w:tc>
          <w:tcPr>
            <w:tcW w:w="930" w:type="pct"/>
            <w:noWrap w:val="0"/>
            <w:vAlign w:val="center"/>
          </w:tcPr>
          <w:p w14:paraId="39B1A893">
            <w:pPr>
              <w:kinsoku w:val="0"/>
              <w:overflowPunct w:val="0"/>
              <w:autoSpaceDE w:val="0"/>
              <w:autoSpaceDN w:val="0"/>
              <w:adjustRightInd w:val="0"/>
              <w:jc w:val="center"/>
              <w:rPr>
                <w:sz w:val="21"/>
                <w:szCs w:val="21"/>
                <w:highlight w:val="none"/>
              </w:rPr>
            </w:pPr>
            <w:r>
              <w:rPr>
                <w:sz w:val="21"/>
                <w:szCs w:val="21"/>
                <w:highlight w:val="none"/>
              </w:rPr>
              <w:t>五日生化需氧量</w:t>
            </w:r>
          </w:p>
        </w:tc>
        <w:tc>
          <w:tcPr>
            <w:tcW w:w="409" w:type="pct"/>
            <w:noWrap w:val="0"/>
            <w:vAlign w:val="center"/>
          </w:tcPr>
          <w:p w14:paraId="0FE57A6E">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.6</w:t>
            </w:r>
          </w:p>
        </w:tc>
        <w:tc>
          <w:tcPr>
            <w:tcW w:w="428" w:type="pct"/>
            <w:noWrap w:val="0"/>
            <w:vAlign w:val="center"/>
          </w:tcPr>
          <w:p w14:paraId="069AED1A">
            <w:pPr>
              <w:kinsoku w:val="0"/>
              <w:overflowPunct w:val="0"/>
              <w:autoSpaceDE w:val="0"/>
              <w:autoSpaceDN w:val="0"/>
              <w:adjustRightInd w:val="0"/>
              <w:jc w:val="center"/>
              <w:rPr>
                <w:sz w:val="21"/>
                <w:szCs w:val="21"/>
                <w:highlight w:val="none"/>
              </w:rPr>
            </w:pPr>
            <w:r>
              <w:rPr>
                <w:spacing w:val="1"/>
                <w:sz w:val="21"/>
                <w:szCs w:val="21"/>
                <w:highlight w:val="none"/>
              </w:rPr>
              <w:t>3</w:t>
            </w:r>
            <w:r>
              <w:rPr>
                <w:sz w:val="21"/>
                <w:szCs w:val="21"/>
                <w:highlight w:val="none"/>
              </w:rPr>
              <w:t>.5</w:t>
            </w:r>
          </w:p>
        </w:tc>
        <w:tc>
          <w:tcPr>
            <w:tcW w:w="428" w:type="pct"/>
            <w:noWrap w:val="0"/>
            <w:vAlign w:val="center"/>
          </w:tcPr>
          <w:p w14:paraId="5B9883F5">
            <w:pPr>
              <w:kinsoku w:val="0"/>
              <w:overflowPunct w:val="0"/>
              <w:autoSpaceDE w:val="0"/>
              <w:autoSpaceDN w:val="0"/>
              <w:adjustRightInd w:val="0"/>
              <w:jc w:val="center"/>
              <w:rPr>
                <w:sz w:val="21"/>
                <w:szCs w:val="21"/>
                <w:highlight w:val="none"/>
              </w:rPr>
            </w:pPr>
            <w:r>
              <w:rPr>
                <w:sz w:val="21"/>
                <w:szCs w:val="21"/>
                <w:highlight w:val="none"/>
              </w:rPr>
              <w:t>3.2</w:t>
            </w:r>
          </w:p>
        </w:tc>
        <w:tc>
          <w:tcPr>
            <w:tcW w:w="481" w:type="pct"/>
            <w:noWrap w:val="0"/>
            <w:vAlign w:val="center"/>
          </w:tcPr>
          <w:p w14:paraId="6A5F1632">
            <w:pPr>
              <w:kinsoku w:val="0"/>
              <w:overflowPunct w:val="0"/>
              <w:autoSpaceDE w:val="0"/>
              <w:autoSpaceDN w:val="0"/>
              <w:adjustRightInd w:val="0"/>
              <w:jc w:val="center"/>
              <w:rPr>
                <w:sz w:val="21"/>
                <w:szCs w:val="21"/>
                <w:highlight w:val="none"/>
              </w:rPr>
            </w:pPr>
            <w:r>
              <w:rPr>
                <w:sz w:val="21"/>
                <w:szCs w:val="21"/>
                <w:highlight w:val="none"/>
              </w:rPr>
              <w:t>3.2</w:t>
            </w:r>
          </w:p>
        </w:tc>
        <w:tc>
          <w:tcPr>
            <w:tcW w:w="427" w:type="pct"/>
            <w:noWrap w:val="0"/>
            <w:vAlign w:val="center"/>
          </w:tcPr>
          <w:p w14:paraId="19CCD2A5">
            <w:pPr>
              <w:kinsoku w:val="0"/>
              <w:overflowPunct w:val="0"/>
              <w:autoSpaceDE w:val="0"/>
              <w:autoSpaceDN w:val="0"/>
              <w:adjustRightInd w:val="0"/>
              <w:jc w:val="center"/>
              <w:rPr>
                <w:sz w:val="21"/>
                <w:szCs w:val="21"/>
                <w:highlight w:val="none"/>
              </w:rPr>
            </w:pPr>
            <w:r>
              <w:rPr>
                <w:sz w:val="21"/>
                <w:szCs w:val="21"/>
                <w:highlight w:val="none"/>
              </w:rPr>
              <w:t>3.3</w:t>
            </w:r>
          </w:p>
        </w:tc>
        <w:tc>
          <w:tcPr>
            <w:tcW w:w="482" w:type="pct"/>
            <w:noWrap w:val="0"/>
            <w:vAlign w:val="center"/>
          </w:tcPr>
          <w:p w14:paraId="2886BA5A">
            <w:pPr>
              <w:kinsoku w:val="0"/>
              <w:overflowPunct w:val="0"/>
              <w:autoSpaceDE w:val="0"/>
              <w:autoSpaceDN w:val="0"/>
              <w:adjustRightInd w:val="0"/>
              <w:jc w:val="center"/>
              <w:rPr>
                <w:sz w:val="21"/>
                <w:szCs w:val="21"/>
                <w:highlight w:val="none"/>
              </w:rPr>
            </w:pPr>
            <w:r>
              <w:rPr>
                <w:sz w:val="21"/>
                <w:szCs w:val="21"/>
                <w:highlight w:val="none"/>
              </w:rPr>
              <w:t>2.8</w:t>
            </w:r>
          </w:p>
        </w:tc>
        <w:tc>
          <w:tcPr>
            <w:tcW w:w="427" w:type="pct"/>
            <w:noWrap w:val="0"/>
            <w:vAlign w:val="center"/>
          </w:tcPr>
          <w:p w14:paraId="15DFF3A3">
            <w:pPr>
              <w:kinsoku w:val="0"/>
              <w:overflowPunct w:val="0"/>
              <w:autoSpaceDE w:val="0"/>
              <w:autoSpaceDN w:val="0"/>
              <w:adjustRightInd w:val="0"/>
              <w:jc w:val="center"/>
              <w:rPr>
                <w:sz w:val="21"/>
                <w:szCs w:val="21"/>
                <w:highlight w:val="none"/>
              </w:rPr>
            </w:pPr>
            <w:r>
              <w:rPr>
                <w:sz w:val="21"/>
                <w:szCs w:val="21"/>
                <w:highlight w:val="none"/>
              </w:rPr>
              <w:t>2.9</w:t>
            </w:r>
          </w:p>
        </w:tc>
        <w:tc>
          <w:tcPr>
            <w:tcW w:w="535" w:type="pct"/>
            <w:noWrap w:val="0"/>
            <w:vAlign w:val="center"/>
          </w:tcPr>
          <w:p w14:paraId="5A5FB210">
            <w:pPr>
              <w:kinsoku w:val="0"/>
              <w:overflowPunct w:val="0"/>
              <w:autoSpaceDE w:val="0"/>
              <w:autoSpaceDN w:val="0"/>
              <w:adjustRightInd w:val="0"/>
              <w:jc w:val="center"/>
              <w:rPr>
                <w:sz w:val="21"/>
                <w:szCs w:val="21"/>
                <w:highlight w:val="none"/>
              </w:rPr>
            </w:pPr>
            <w:r>
              <w:rPr>
                <w:sz w:val="21"/>
                <w:szCs w:val="21"/>
                <w:highlight w:val="none"/>
              </w:rPr>
              <w:t>2.8</w:t>
            </w:r>
          </w:p>
        </w:tc>
        <w:tc>
          <w:tcPr>
            <w:tcW w:w="453" w:type="pct"/>
            <w:noWrap w:val="0"/>
            <w:vAlign w:val="bottom"/>
          </w:tcPr>
          <w:p w14:paraId="2F74939F">
            <w:pPr>
              <w:kinsoku w:val="0"/>
              <w:overflowPunct w:val="0"/>
              <w:autoSpaceDE w:val="0"/>
              <w:autoSpaceDN w:val="0"/>
              <w:adjustRightInd w:val="0"/>
              <w:jc w:val="center"/>
              <w:rPr>
                <w:sz w:val="21"/>
                <w:szCs w:val="21"/>
                <w:highlight w:val="none"/>
              </w:rPr>
            </w:pPr>
            <w:r>
              <w:rPr>
                <w:sz w:val="21"/>
                <w:szCs w:val="21"/>
                <w:highlight w:val="none"/>
              </w:rPr>
              <w:t>30</w:t>
            </w:r>
          </w:p>
        </w:tc>
      </w:tr>
      <w:tr w14:paraId="7C51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exact"/>
        </w:trPr>
        <w:tc>
          <w:tcPr>
            <w:tcW w:w="930" w:type="pct"/>
            <w:noWrap w:val="0"/>
            <w:vAlign w:val="center"/>
          </w:tcPr>
          <w:p w14:paraId="61A12E7A">
            <w:pPr>
              <w:kinsoku w:val="0"/>
              <w:overflowPunct w:val="0"/>
              <w:autoSpaceDE w:val="0"/>
              <w:autoSpaceDN w:val="0"/>
              <w:adjustRightInd w:val="0"/>
              <w:jc w:val="center"/>
              <w:rPr>
                <w:sz w:val="21"/>
                <w:szCs w:val="21"/>
                <w:highlight w:val="none"/>
              </w:rPr>
            </w:pPr>
            <w:r>
              <w:rPr>
                <w:sz w:val="21"/>
                <w:szCs w:val="21"/>
                <w:highlight w:val="none"/>
              </w:rPr>
              <w:t>氨氮</w:t>
            </w:r>
          </w:p>
        </w:tc>
        <w:tc>
          <w:tcPr>
            <w:tcW w:w="409" w:type="pct"/>
            <w:noWrap w:val="0"/>
            <w:vAlign w:val="center"/>
          </w:tcPr>
          <w:p w14:paraId="238C465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8" w:type="pct"/>
            <w:noWrap w:val="0"/>
            <w:vAlign w:val="center"/>
          </w:tcPr>
          <w:p w14:paraId="35CCAE6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8" w:type="pct"/>
            <w:noWrap w:val="0"/>
            <w:vAlign w:val="center"/>
          </w:tcPr>
          <w:p w14:paraId="1E593BC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2ADBA36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7" w:type="pct"/>
            <w:noWrap w:val="0"/>
            <w:vAlign w:val="center"/>
          </w:tcPr>
          <w:p w14:paraId="7046E712">
            <w:pPr>
              <w:kinsoku w:val="0"/>
              <w:overflowPunct w:val="0"/>
              <w:autoSpaceDE w:val="0"/>
              <w:autoSpaceDN w:val="0"/>
              <w:adjustRightInd w:val="0"/>
              <w:jc w:val="center"/>
              <w:rPr>
                <w:sz w:val="21"/>
                <w:szCs w:val="21"/>
                <w:highlight w:val="none"/>
              </w:rPr>
            </w:pPr>
            <w:r>
              <w:rPr>
                <w:sz w:val="21"/>
                <w:szCs w:val="21"/>
                <w:highlight w:val="none"/>
              </w:rPr>
              <w:t>0.292</w:t>
            </w:r>
          </w:p>
        </w:tc>
        <w:tc>
          <w:tcPr>
            <w:tcW w:w="482" w:type="pct"/>
            <w:noWrap w:val="0"/>
            <w:vAlign w:val="center"/>
          </w:tcPr>
          <w:p w14:paraId="6E87DDC9">
            <w:pPr>
              <w:kinsoku w:val="0"/>
              <w:overflowPunct w:val="0"/>
              <w:autoSpaceDE w:val="0"/>
              <w:autoSpaceDN w:val="0"/>
              <w:adjustRightInd w:val="0"/>
              <w:jc w:val="center"/>
              <w:rPr>
                <w:sz w:val="21"/>
                <w:szCs w:val="21"/>
                <w:highlight w:val="none"/>
              </w:rPr>
            </w:pPr>
            <w:r>
              <w:rPr>
                <w:sz w:val="21"/>
                <w:szCs w:val="21"/>
                <w:highlight w:val="none"/>
              </w:rPr>
              <w:t>0.344</w:t>
            </w:r>
          </w:p>
        </w:tc>
        <w:tc>
          <w:tcPr>
            <w:tcW w:w="427" w:type="pct"/>
            <w:noWrap w:val="0"/>
            <w:vAlign w:val="center"/>
          </w:tcPr>
          <w:p w14:paraId="6E5A6AA3">
            <w:pPr>
              <w:kinsoku w:val="0"/>
              <w:overflowPunct w:val="0"/>
              <w:autoSpaceDE w:val="0"/>
              <w:autoSpaceDN w:val="0"/>
              <w:adjustRightInd w:val="0"/>
              <w:jc w:val="center"/>
              <w:rPr>
                <w:sz w:val="21"/>
                <w:szCs w:val="21"/>
                <w:highlight w:val="none"/>
              </w:rPr>
            </w:pPr>
            <w:r>
              <w:rPr>
                <w:sz w:val="21"/>
                <w:szCs w:val="21"/>
                <w:highlight w:val="none"/>
              </w:rPr>
              <w:t>0.025L</w:t>
            </w:r>
          </w:p>
        </w:tc>
        <w:tc>
          <w:tcPr>
            <w:tcW w:w="535" w:type="pct"/>
            <w:noWrap w:val="0"/>
            <w:vAlign w:val="center"/>
          </w:tcPr>
          <w:p w14:paraId="34B837BC">
            <w:pPr>
              <w:kinsoku w:val="0"/>
              <w:overflowPunct w:val="0"/>
              <w:autoSpaceDE w:val="0"/>
              <w:autoSpaceDN w:val="0"/>
              <w:adjustRightInd w:val="0"/>
              <w:jc w:val="center"/>
              <w:rPr>
                <w:sz w:val="21"/>
                <w:szCs w:val="21"/>
                <w:highlight w:val="none"/>
              </w:rPr>
            </w:pPr>
            <w:r>
              <w:rPr>
                <w:sz w:val="21"/>
                <w:szCs w:val="21"/>
                <w:highlight w:val="none"/>
              </w:rPr>
              <w:t>0.025L</w:t>
            </w:r>
          </w:p>
        </w:tc>
        <w:tc>
          <w:tcPr>
            <w:tcW w:w="453" w:type="pct"/>
            <w:noWrap w:val="0"/>
            <w:vAlign w:val="bottom"/>
          </w:tcPr>
          <w:p w14:paraId="48991159">
            <w:pPr>
              <w:kinsoku w:val="0"/>
              <w:overflowPunct w:val="0"/>
              <w:autoSpaceDE w:val="0"/>
              <w:autoSpaceDN w:val="0"/>
              <w:adjustRightInd w:val="0"/>
              <w:jc w:val="center"/>
              <w:rPr>
                <w:sz w:val="21"/>
                <w:szCs w:val="21"/>
                <w:highlight w:val="none"/>
              </w:rPr>
            </w:pPr>
            <w:r>
              <w:rPr>
                <w:sz w:val="21"/>
                <w:szCs w:val="21"/>
                <w:highlight w:val="none"/>
              </w:rPr>
              <w:t>15</w:t>
            </w:r>
          </w:p>
        </w:tc>
      </w:tr>
      <w:tr w14:paraId="2B3B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1A829D5E">
            <w:pPr>
              <w:kinsoku w:val="0"/>
              <w:overflowPunct w:val="0"/>
              <w:autoSpaceDE w:val="0"/>
              <w:autoSpaceDN w:val="0"/>
              <w:adjustRightInd w:val="0"/>
              <w:jc w:val="center"/>
              <w:rPr>
                <w:sz w:val="21"/>
                <w:szCs w:val="21"/>
                <w:highlight w:val="none"/>
              </w:rPr>
            </w:pPr>
            <w:r>
              <w:rPr>
                <w:sz w:val="21"/>
                <w:szCs w:val="21"/>
                <w:highlight w:val="none"/>
              </w:rPr>
              <w:t>总磷</w:t>
            </w:r>
          </w:p>
        </w:tc>
        <w:tc>
          <w:tcPr>
            <w:tcW w:w="409" w:type="pct"/>
            <w:noWrap w:val="0"/>
            <w:vAlign w:val="center"/>
          </w:tcPr>
          <w:p w14:paraId="1E60640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3</w:t>
            </w:r>
          </w:p>
        </w:tc>
        <w:tc>
          <w:tcPr>
            <w:tcW w:w="428" w:type="pct"/>
            <w:noWrap w:val="0"/>
            <w:vAlign w:val="center"/>
          </w:tcPr>
          <w:p w14:paraId="2156738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z w:val="21"/>
                <w:szCs w:val="21"/>
                <w:highlight w:val="none"/>
              </w:rPr>
              <w:t>4</w:t>
            </w:r>
          </w:p>
        </w:tc>
        <w:tc>
          <w:tcPr>
            <w:tcW w:w="428" w:type="pct"/>
            <w:noWrap w:val="0"/>
            <w:vAlign w:val="center"/>
          </w:tcPr>
          <w:p w14:paraId="2A342D7E">
            <w:pPr>
              <w:kinsoku w:val="0"/>
              <w:overflowPunct w:val="0"/>
              <w:autoSpaceDE w:val="0"/>
              <w:autoSpaceDN w:val="0"/>
              <w:adjustRightInd w:val="0"/>
              <w:jc w:val="center"/>
              <w:rPr>
                <w:sz w:val="21"/>
                <w:szCs w:val="21"/>
                <w:highlight w:val="none"/>
              </w:rPr>
            </w:pPr>
            <w:r>
              <w:rPr>
                <w:sz w:val="21"/>
                <w:szCs w:val="21"/>
                <w:highlight w:val="none"/>
              </w:rPr>
              <w:t>0.03</w:t>
            </w:r>
          </w:p>
        </w:tc>
        <w:tc>
          <w:tcPr>
            <w:tcW w:w="481" w:type="pct"/>
            <w:noWrap w:val="0"/>
            <w:vAlign w:val="center"/>
          </w:tcPr>
          <w:p w14:paraId="2A8D1A78">
            <w:pPr>
              <w:kinsoku w:val="0"/>
              <w:overflowPunct w:val="0"/>
              <w:autoSpaceDE w:val="0"/>
              <w:autoSpaceDN w:val="0"/>
              <w:adjustRightInd w:val="0"/>
              <w:jc w:val="center"/>
              <w:rPr>
                <w:sz w:val="21"/>
                <w:szCs w:val="21"/>
                <w:highlight w:val="none"/>
              </w:rPr>
            </w:pPr>
            <w:r>
              <w:rPr>
                <w:sz w:val="21"/>
                <w:szCs w:val="21"/>
                <w:highlight w:val="none"/>
              </w:rPr>
              <w:t>0.03</w:t>
            </w:r>
          </w:p>
        </w:tc>
        <w:tc>
          <w:tcPr>
            <w:tcW w:w="427" w:type="pct"/>
            <w:noWrap w:val="0"/>
            <w:vAlign w:val="center"/>
          </w:tcPr>
          <w:p w14:paraId="7B7A3F4D">
            <w:pPr>
              <w:kinsoku w:val="0"/>
              <w:overflowPunct w:val="0"/>
              <w:autoSpaceDE w:val="0"/>
              <w:autoSpaceDN w:val="0"/>
              <w:adjustRightInd w:val="0"/>
              <w:jc w:val="center"/>
              <w:rPr>
                <w:sz w:val="21"/>
                <w:szCs w:val="21"/>
                <w:highlight w:val="none"/>
              </w:rPr>
            </w:pPr>
            <w:r>
              <w:rPr>
                <w:sz w:val="21"/>
                <w:szCs w:val="21"/>
                <w:highlight w:val="none"/>
              </w:rPr>
              <w:t>0.22</w:t>
            </w:r>
          </w:p>
        </w:tc>
        <w:tc>
          <w:tcPr>
            <w:tcW w:w="482" w:type="pct"/>
            <w:noWrap w:val="0"/>
            <w:vAlign w:val="center"/>
          </w:tcPr>
          <w:p w14:paraId="2BAF1F92">
            <w:pPr>
              <w:kinsoku w:val="0"/>
              <w:overflowPunct w:val="0"/>
              <w:autoSpaceDE w:val="0"/>
              <w:autoSpaceDN w:val="0"/>
              <w:adjustRightInd w:val="0"/>
              <w:jc w:val="center"/>
              <w:rPr>
                <w:sz w:val="21"/>
                <w:szCs w:val="21"/>
                <w:highlight w:val="none"/>
              </w:rPr>
            </w:pPr>
            <w:r>
              <w:rPr>
                <w:sz w:val="21"/>
                <w:szCs w:val="21"/>
                <w:highlight w:val="none"/>
              </w:rPr>
              <w:t>0.13</w:t>
            </w:r>
          </w:p>
        </w:tc>
        <w:tc>
          <w:tcPr>
            <w:tcW w:w="427" w:type="pct"/>
            <w:noWrap w:val="0"/>
            <w:vAlign w:val="center"/>
          </w:tcPr>
          <w:p w14:paraId="6F829024">
            <w:pPr>
              <w:kinsoku w:val="0"/>
              <w:overflowPunct w:val="0"/>
              <w:autoSpaceDE w:val="0"/>
              <w:autoSpaceDN w:val="0"/>
              <w:adjustRightInd w:val="0"/>
              <w:jc w:val="center"/>
              <w:rPr>
                <w:sz w:val="21"/>
                <w:szCs w:val="21"/>
                <w:highlight w:val="none"/>
              </w:rPr>
            </w:pPr>
            <w:r>
              <w:rPr>
                <w:sz w:val="21"/>
                <w:szCs w:val="21"/>
                <w:highlight w:val="none"/>
              </w:rPr>
              <w:t>0.52</w:t>
            </w:r>
          </w:p>
        </w:tc>
        <w:tc>
          <w:tcPr>
            <w:tcW w:w="535" w:type="pct"/>
            <w:noWrap w:val="0"/>
            <w:vAlign w:val="center"/>
          </w:tcPr>
          <w:p w14:paraId="4560B983">
            <w:pPr>
              <w:kinsoku w:val="0"/>
              <w:overflowPunct w:val="0"/>
              <w:autoSpaceDE w:val="0"/>
              <w:autoSpaceDN w:val="0"/>
              <w:adjustRightInd w:val="0"/>
              <w:jc w:val="center"/>
              <w:rPr>
                <w:sz w:val="21"/>
                <w:szCs w:val="21"/>
                <w:highlight w:val="none"/>
              </w:rPr>
            </w:pPr>
            <w:r>
              <w:rPr>
                <w:sz w:val="21"/>
                <w:szCs w:val="21"/>
                <w:highlight w:val="none"/>
              </w:rPr>
              <w:t>0.04</w:t>
            </w:r>
          </w:p>
        </w:tc>
        <w:tc>
          <w:tcPr>
            <w:tcW w:w="453" w:type="pct"/>
            <w:noWrap w:val="0"/>
            <w:vAlign w:val="bottom"/>
          </w:tcPr>
          <w:p w14:paraId="4FFC20FD">
            <w:pPr>
              <w:kinsoku w:val="0"/>
              <w:overflowPunct w:val="0"/>
              <w:autoSpaceDE w:val="0"/>
              <w:autoSpaceDN w:val="0"/>
              <w:adjustRightInd w:val="0"/>
              <w:jc w:val="center"/>
              <w:rPr>
                <w:sz w:val="21"/>
                <w:szCs w:val="21"/>
                <w:highlight w:val="none"/>
              </w:rPr>
            </w:pPr>
            <w:r>
              <w:rPr>
                <w:sz w:val="21"/>
                <w:szCs w:val="21"/>
                <w:highlight w:val="none"/>
              </w:rPr>
              <w:t>/</w:t>
            </w:r>
          </w:p>
        </w:tc>
      </w:tr>
      <w:tr w14:paraId="574D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3CE822F8">
            <w:pPr>
              <w:kinsoku w:val="0"/>
              <w:overflowPunct w:val="0"/>
              <w:autoSpaceDE w:val="0"/>
              <w:autoSpaceDN w:val="0"/>
              <w:adjustRightInd w:val="0"/>
              <w:jc w:val="center"/>
              <w:rPr>
                <w:sz w:val="21"/>
                <w:szCs w:val="21"/>
                <w:highlight w:val="none"/>
              </w:rPr>
            </w:pPr>
            <w:r>
              <w:rPr>
                <w:sz w:val="21"/>
                <w:szCs w:val="21"/>
                <w:highlight w:val="none"/>
              </w:rPr>
              <w:t>总氮</w:t>
            </w:r>
          </w:p>
        </w:tc>
        <w:tc>
          <w:tcPr>
            <w:tcW w:w="409" w:type="pct"/>
            <w:noWrap w:val="0"/>
            <w:vAlign w:val="center"/>
          </w:tcPr>
          <w:p w14:paraId="49E55C4D">
            <w:pPr>
              <w:kinsoku w:val="0"/>
              <w:overflowPunct w:val="0"/>
              <w:autoSpaceDE w:val="0"/>
              <w:autoSpaceDN w:val="0"/>
              <w:adjustRightInd w:val="0"/>
              <w:jc w:val="center"/>
              <w:rPr>
                <w:sz w:val="21"/>
                <w:szCs w:val="21"/>
                <w:highlight w:val="none"/>
              </w:rPr>
            </w:pPr>
            <w:r>
              <w:rPr>
                <w:spacing w:val="1"/>
                <w:sz w:val="21"/>
                <w:szCs w:val="21"/>
                <w:highlight w:val="none"/>
              </w:rPr>
              <w:t>22</w:t>
            </w:r>
            <w:r>
              <w:rPr>
                <w:sz w:val="21"/>
                <w:szCs w:val="21"/>
                <w:highlight w:val="none"/>
              </w:rPr>
              <w:t>.3</w:t>
            </w:r>
          </w:p>
        </w:tc>
        <w:tc>
          <w:tcPr>
            <w:tcW w:w="428" w:type="pct"/>
            <w:noWrap w:val="0"/>
            <w:vAlign w:val="center"/>
          </w:tcPr>
          <w:p w14:paraId="4D3C3722">
            <w:pPr>
              <w:kinsoku w:val="0"/>
              <w:overflowPunct w:val="0"/>
              <w:autoSpaceDE w:val="0"/>
              <w:autoSpaceDN w:val="0"/>
              <w:adjustRightInd w:val="0"/>
              <w:jc w:val="center"/>
              <w:rPr>
                <w:sz w:val="21"/>
                <w:szCs w:val="21"/>
                <w:highlight w:val="none"/>
              </w:rPr>
            </w:pPr>
            <w:r>
              <w:rPr>
                <w:spacing w:val="1"/>
                <w:sz w:val="21"/>
                <w:szCs w:val="21"/>
                <w:highlight w:val="none"/>
              </w:rPr>
              <w:t>7</w:t>
            </w:r>
            <w:r>
              <w:rPr>
                <w:sz w:val="21"/>
                <w:szCs w:val="21"/>
                <w:highlight w:val="none"/>
              </w:rPr>
              <w:t>.</w:t>
            </w:r>
            <w:r>
              <w:rPr>
                <w:spacing w:val="1"/>
                <w:sz w:val="21"/>
                <w:szCs w:val="21"/>
                <w:highlight w:val="none"/>
              </w:rPr>
              <w:t>7</w:t>
            </w:r>
            <w:r>
              <w:rPr>
                <w:sz w:val="21"/>
                <w:szCs w:val="21"/>
                <w:highlight w:val="none"/>
              </w:rPr>
              <w:t>3</w:t>
            </w:r>
          </w:p>
        </w:tc>
        <w:tc>
          <w:tcPr>
            <w:tcW w:w="428" w:type="pct"/>
            <w:noWrap w:val="0"/>
            <w:vAlign w:val="center"/>
          </w:tcPr>
          <w:p w14:paraId="17E5A630">
            <w:pPr>
              <w:kinsoku w:val="0"/>
              <w:overflowPunct w:val="0"/>
              <w:autoSpaceDE w:val="0"/>
              <w:autoSpaceDN w:val="0"/>
              <w:adjustRightInd w:val="0"/>
              <w:jc w:val="center"/>
              <w:rPr>
                <w:sz w:val="21"/>
                <w:szCs w:val="21"/>
                <w:highlight w:val="none"/>
              </w:rPr>
            </w:pPr>
            <w:r>
              <w:rPr>
                <w:sz w:val="21"/>
                <w:szCs w:val="21"/>
                <w:highlight w:val="none"/>
              </w:rPr>
              <w:t>7.61</w:t>
            </w:r>
          </w:p>
        </w:tc>
        <w:tc>
          <w:tcPr>
            <w:tcW w:w="481" w:type="pct"/>
            <w:noWrap w:val="0"/>
            <w:vAlign w:val="center"/>
          </w:tcPr>
          <w:p w14:paraId="2647883C">
            <w:pPr>
              <w:kinsoku w:val="0"/>
              <w:overflowPunct w:val="0"/>
              <w:autoSpaceDE w:val="0"/>
              <w:autoSpaceDN w:val="0"/>
              <w:adjustRightInd w:val="0"/>
              <w:jc w:val="center"/>
              <w:rPr>
                <w:sz w:val="21"/>
                <w:szCs w:val="21"/>
                <w:highlight w:val="none"/>
              </w:rPr>
            </w:pPr>
            <w:r>
              <w:rPr>
                <w:sz w:val="21"/>
                <w:szCs w:val="21"/>
                <w:highlight w:val="none"/>
              </w:rPr>
              <w:t>8.44</w:t>
            </w:r>
          </w:p>
        </w:tc>
        <w:tc>
          <w:tcPr>
            <w:tcW w:w="427" w:type="pct"/>
            <w:noWrap w:val="0"/>
            <w:vAlign w:val="center"/>
          </w:tcPr>
          <w:p w14:paraId="6C0AE3D2">
            <w:pPr>
              <w:kinsoku w:val="0"/>
              <w:overflowPunct w:val="0"/>
              <w:autoSpaceDE w:val="0"/>
              <w:autoSpaceDN w:val="0"/>
              <w:adjustRightInd w:val="0"/>
              <w:jc w:val="center"/>
              <w:rPr>
                <w:sz w:val="21"/>
                <w:szCs w:val="21"/>
                <w:highlight w:val="none"/>
              </w:rPr>
            </w:pPr>
            <w:r>
              <w:rPr>
                <w:sz w:val="21"/>
                <w:szCs w:val="21"/>
                <w:highlight w:val="none"/>
              </w:rPr>
              <w:t>6.91</w:t>
            </w:r>
          </w:p>
        </w:tc>
        <w:tc>
          <w:tcPr>
            <w:tcW w:w="482" w:type="pct"/>
            <w:noWrap w:val="0"/>
            <w:vAlign w:val="center"/>
          </w:tcPr>
          <w:p w14:paraId="53979435">
            <w:pPr>
              <w:kinsoku w:val="0"/>
              <w:overflowPunct w:val="0"/>
              <w:autoSpaceDE w:val="0"/>
              <w:autoSpaceDN w:val="0"/>
              <w:adjustRightInd w:val="0"/>
              <w:jc w:val="center"/>
              <w:rPr>
                <w:sz w:val="21"/>
                <w:szCs w:val="21"/>
                <w:highlight w:val="none"/>
              </w:rPr>
            </w:pPr>
            <w:r>
              <w:rPr>
                <w:sz w:val="21"/>
                <w:szCs w:val="21"/>
                <w:highlight w:val="none"/>
              </w:rPr>
              <w:t>6.79</w:t>
            </w:r>
          </w:p>
        </w:tc>
        <w:tc>
          <w:tcPr>
            <w:tcW w:w="427" w:type="pct"/>
            <w:noWrap w:val="0"/>
            <w:vAlign w:val="center"/>
          </w:tcPr>
          <w:p w14:paraId="1DA3A407">
            <w:pPr>
              <w:kinsoku w:val="0"/>
              <w:overflowPunct w:val="0"/>
              <w:autoSpaceDE w:val="0"/>
              <w:autoSpaceDN w:val="0"/>
              <w:adjustRightInd w:val="0"/>
              <w:jc w:val="center"/>
              <w:rPr>
                <w:sz w:val="21"/>
                <w:szCs w:val="21"/>
                <w:highlight w:val="none"/>
              </w:rPr>
            </w:pPr>
            <w:r>
              <w:rPr>
                <w:sz w:val="21"/>
                <w:szCs w:val="21"/>
                <w:highlight w:val="none"/>
              </w:rPr>
              <w:t>6.67</w:t>
            </w:r>
          </w:p>
        </w:tc>
        <w:tc>
          <w:tcPr>
            <w:tcW w:w="535" w:type="pct"/>
            <w:noWrap w:val="0"/>
            <w:vAlign w:val="center"/>
          </w:tcPr>
          <w:p w14:paraId="49FA36FB">
            <w:pPr>
              <w:kinsoku w:val="0"/>
              <w:overflowPunct w:val="0"/>
              <w:autoSpaceDE w:val="0"/>
              <w:autoSpaceDN w:val="0"/>
              <w:adjustRightInd w:val="0"/>
              <w:jc w:val="center"/>
              <w:rPr>
                <w:sz w:val="21"/>
                <w:szCs w:val="21"/>
                <w:highlight w:val="none"/>
              </w:rPr>
            </w:pPr>
            <w:r>
              <w:rPr>
                <w:sz w:val="21"/>
                <w:szCs w:val="21"/>
                <w:highlight w:val="none"/>
              </w:rPr>
              <w:t>6.34</w:t>
            </w:r>
          </w:p>
        </w:tc>
        <w:tc>
          <w:tcPr>
            <w:tcW w:w="453" w:type="pct"/>
            <w:noWrap w:val="0"/>
            <w:vAlign w:val="bottom"/>
          </w:tcPr>
          <w:p w14:paraId="71E28056">
            <w:pPr>
              <w:kinsoku w:val="0"/>
              <w:overflowPunct w:val="0"/>
              <w:autoSpaceDE w:val="0"/>
              <w:autoSpaceDN w:val="0"/>
              <w:adjustRightInd w:val="0"/>
              <w:jc w:val="center"/>
              <w:rPr>
                <w:sz w:val="21"/>
                <w:szCs w:val="21"/>
                <w:highlight w:val="none"/>
              </w:rPr>
            </w:pPr>
            <w:r>
              <w:rPr>
                <w:sz w:val="21"/>
                <w:szCs w:val="21"/>
                <w:highlight w:val="none"/>
              </w:rPr>
              <w:t>/</w:t>
            </w:r>
          </w:p>
        </w:tc>
      </w:tr>
      <w:tr w14:paraId="5144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418E100">
            <w:pPr>
              <w:kinsoku w:val="0"/>
              <w:overflowPunct w:val="0"/>
              <w:autoSpaceDE w:val="0"/>
              <w:autoSpaceDN w:val="0"/>
              <w:adjustRightInd w:val="0"/>
              <w:jc w:val="center"/>
              <w:rPr>
                <w:sz w:val="21"/>
                <w:szCs w:val="21"/>
                <w:highlight w:val="none"/>
              </w:rPr>
            </w:pPr>
            <w:r>
              <w:rPr>
                <w:sz w:val="21"/>
                <w:szCs w:val="21"/>
                <w:highlight w:val="none"/>
              </w:rPr>
              <w:t>硫化物</w:t>
            </w:r>
          </w:p>
        </w:tc>
        <w:tc>
          <w:tcPr>
            <w:tcW w:w="409" w:type="pct"/>
            <w:noWrap w:val="0"/>
            <w:vAlign w:val="center"/>
          </w:tcPr>
          <w:p w14:paraId="0C023B2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28" w:type="pct"/>
            <w:noWrap w:val="0"/>
            <w:vAlign w:val="center"/>
          </w:tcPr>
          <w:p w14:paraId="1D9C1AB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28" w:type="pct"/>
            <w:noWrap w:val="0"/>
            <w:vAlign w:val="center"/>
          </w:tcPr>
          <w:p w14:paraId="4A466CA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1" w:type="pct"/>
            <w:noWrap w:val="0"/>
            <w:vAlign w:val="center"/>
          </w:tcPr>
          <w:p w14:paraId="3780244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27" w:type="pct"/>
            <w:noWrap w:val="0"/>
            <w:vAlign w:val="center"/>
          </w:tcPr>
          <w:p w14:paraId="396AE51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5</w:t>
            </w:r>
            <w:r>
              <w:rPr>
                <w:sz w:val="21"/>
                <w:szCs w:val="21"/>
                <w:highlight w:val="none"/>
              </w:rPr>
              <w:t>L</w:t>
            </w:r>
          </w:p>
        </w:tc>
        <w:tc>
          <w:tcPr>
            <w:tcW w:w="482" w:type="pct"/>
            <w:noWrap w:val="0"/>
            <w:vAlign w:val="center"/>
          </w:tcPr>
          <w:p w14:paraId="751AA960">
            <w:pPr>
              <w:kinsoku w:val="0"/>
              <w:overflowPunct w:val="0"/>
              <w:autoSpaceDE w:val="0"/>
              <w:autoSpaceDN w:val="0"/>
              <w:adjustRightInd w:val="0"/>
              <w:jc w:val="center"/>
              <w:rPr>
                <w:sz w:val="21"/>
                <w:szCs w:val="21"/>
                <w:highlight w:val="none"/>
              </w:rPr>
            </w:pPr>
            <w:r>
              <w:rPr>
                <w:sz w:val="21"/>
                <w:szCs w:val="21"/>
                <w:highlight w:val="none"/>
              </w:rPr>
              <w:t>0.009</w:t>
            </w:r>
          </w:p>
        </w:tc>
        <w:tc>
          <w:tcPr>
            <w:tcW w:w="427" w:type="pct"/>
            <w:noWrap w:val="0"/>
            <w:vAlign w:val="center"/>
          </w:tcPr>
          <w:p w14:paraId="68757B1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535" w:type="pct"/>
            <w:noWrap w:val="0"/>
            <w:vAlign w:val="center"/>
          </w:tcPr>
          <w:p w14:paraId="20006AF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5</w:t>
            </w:r>
            <w:r>
              <w:rPr>
                <w:sz w:val="21"/>
                <w:szCs w:val="21"/>
                <w:highlight w:val="none"/>
              </w:rPr>
              <w:t>L</w:t>
            </w:r>
          </w:p>
        </w:tc>
        <w:tc>
          <w:tcPr>
            <w:tcW w:w="453" w:type="pct"/>
            <w:noWrap w:val="0"/>
            <w:vAlign w:val="bottom"/>
          </w:tcPr>
          <w:p w14:paraId="5C929AE9">
            <w:pPr>
              <w:kinsoku w:val="0"/>
              <w:overflowPunct w:val="0"/>
              <w:autoSpaceDE w:val="0"/>
              <w:autoSpaceDN w:val="0"/>
              <w:adjustRightInd w:val="0"/>
              <w:jc w:val="center"/>
              <w:rPr>
                <w:sz w:val="21"/>
                <w:szCs w:val="21"/>
                <w:highlight w:val="none"/>
              </w:rPr>
            </w:pPr>
            <w:r>
              <w:rPr>
                <w:sz w:val="21"/>
                <w:szCs w:val="21"/>
                <w:highlight w:val="none"/>
              </w:rPr>
              <w:t>1.0</w:t>
            </w:r>
          </w:p>
        </w:tc>
      </w:tr>
      <w:tr w14:paraId="0BD6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02014CBE">
            <w:pPr>
              <w:kinsoku w:val="0"/>
              <w:overflowPunct w:val="0"/>
              <w:autoSpaceDE w:val="0"/>
              <w:autoSpaceDN w:val="0"/>
              <w:adjustRightInd w:val="0"/>
              <w:jc w:val="center"/>
              <w:rPr>
                <w:sz w:val="21"/>
                <w:szCs w:val="21"/>
                <w:highlight w:val="none"/>
              </w:rPr>
            </w:pPr>
            <w:r>
              <w:rPr>
                <w:sz w:val="21"/>
                <w:szCs w:val="21"/>
                <w:highlight w:val="none"/>
              </w:rPr>
              <w:t>氟化物</w:t>
            </w:r>
          </w:p>
        </w:tc>
        <w:tc>
          <w:tcPr>
            <w:tcW w:w="409" w:type="pct"/>
            <w:noWrap w:val="0"/>
            <w:vAlign w:val="center"/>
          </w:tcPr>
          <w:p w14:paraId="74049AF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4</w:t>
            </w:r>
            <w:r>
              <w:rPr>
                <w:sz w:val="21"/>
                <w:szCs w:val="21"/>
                <w:highlight w:val="none"/>
              </w:rPr>
              <w:t>0</w:t>
            </w:r>
          </w:p>
        </w:tc>
        <w:tc>
          <w:tcPr>
            <w:tcW w:w="428" w:type="pct"/>
            <w:noWrap w:val="0"/>
            <w:vAlign w:val="center"/>
          </w:tcPr>
          <w:p w14:paraId="4B5C67F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4</w:t>
            </w:r>
            <w:r>
              <w:rPr>
                <w:sz w:val="21"/>
                <w:szCs w:val="21"/>
                <w:highlight w:val="none"/>
              </w:rPr>
              <w:t>1</w:t>
            </w:r>
          </w:p>
        </w:tc>
        <w:tc>
          <w:tcPr>
            <w:tcW w:w="428" w:type="pct"/>
            <w:noWrap w:val="0"/>
            <w:vAlign w:val="center"/>
          </w:tcPr>
          <w:p w14:paraId="3122DB18">
            <w:pPr>
              <w:kinsoku w:val="0"/>
              <w:overflowPunct w:val="0"/>
              <w:autoSpaceDE w:val="0"/>
              <w:autoSpaceDN w:val="0"/>
              <w:adjustRightInd w:val="0"/>
              <w:jc w:val="center"/>
              <w:rPr>
                <w:sz w:val="21"/>
                <w:szCs w:val="21"/>
                <w:highlight w:val="none"/>
              </w:rPr>
            </w:pPr>
            <w:r>
              <w:rPr>
                <w:sz w:val="21"/>
                <w:szCs w:val="21"/>
                <w:highlight w:val="none"/>
              </w:rPr>
              <w:t>0.39</w:t>
            </w:r>
          </w:p>
        </w:tc>
        <w:tc>
          <w:tcPr>
            <w:tcW w:w="481" w:type="pct"/>
            <w:noWrap w:val="0"/>
            <w:vAlign w:val="center"/>
          </w:tcPr>
          <w:p w14:paraId="3E314F1C">
            <w:pPr>
              <w:kinsoku w:val="0"/>
              <w:overflowPunct w:val="0"/>
              <w:autoSpaceDE w:val="0"/>
              <w:autoSpaceDN w:val="0"/>
              <w:adjustRightInd w:val="0"/>
              <w:jc w:val="center"/>
              <w:rPr>
                <w:sz w:val="21"/>
                <w:szCs w:val="21"/>
                <w:highlight w:val="none"/>
              </w:rPr>
            </w:pPr>
            <w:r>
              <w:rPr>
                <w:sz w:val="21"/>
                <w:szCs w:val="21"/>
                <w:highlight w:val="none"/>
              </w:rPr>
              <w:t>0.42</w:t>
            </w:r>
          </w:p>
        </w:tc>
        <w:tc>
          <w:tcPr>
            <w:tcW w:w="427" w:type="pct"/>
            <w:noWrap w:val="0"/>
            <w:vAlign w:val="center"/>
          </w:tcPr>
          <w:p w14:paraId="31AA47B8">
            <w:pPr>
              <w:kinsoku w:val="0"/>
              <w:overflowPunct w:val="0"/>
              <w:autoSpaceDE w:val="0"/>
              <w:autoSpaceDN w:val="0"/>
              <w:adjustRightInd w:val="0"/>
              <w:jc w:val="center"/>
              <w:rPr>
                <w:sz w:val="21"/>
                <w:szCs w:val="21"/>
                <w:highlight w:val="none"/>
              </w:rPr>
            </w:pPr>
            <w:r>
              <w:rPr>
                <w:sz w:val="21"/>
                <w:szCs w:val="21"/>
                <w:highlight w:val="none"/>
              </w:rPr>
              <w:t>0.47</w:t>
            </w:r>
          </w:p>
        </w:tc>
        <w:tc>
          <w:tcPr>
            <w:tcW w:w="482" w:type="pct"/>
            <w:noWrap w:val="0"/>
            <w:vAlign w:val="center"/>
          </w:tcPr>
          <w:p w14:paraId="7C79E280">
            <w:pPr>
              <w:kinsoku w:val="0"/>
              <w:overflowPunct w:val="0"/>
              <w:autoSpaceDE w:val="0"/>
              <w:autoSpaceDN w:val="0"/>
              <w:adjustRightInd w:val="0"/>
              <w:jc w:val="center"/>
              <w:rPr>
                <w:sz w:val="21"/>
                <w:szCs w:val="21"/>
                <w:highlight w:val="none"/>
              </w:rPr>
            </w:pPr>
            <w:r>
              <w:rPr>
                <w:sz w:val="21"/>
                <w:szCs w:val="21"/>
                <w:highlight w:val="none"/>
              </w:rPr>
              <w:t>0.45</w:t>
            </w:r>
          </w:p>
        </w:tc>
        <w:tc>
          <w:tcPr>
            <w:tcW w:w="427" w:type="pct"/>
            <w:noWrap w:val="0"/>
            <w:vAlign w:val="center"/>
          </w:tcPr>
          <w:p w14:paraId="3E59CE2A">
            <w:pPr>
              <w:kinsoku w:val="0"/>
              <w:overflowPunct w:val="0"/>
              <w:autoSpaceDE w:val="0"/>
              <w:autoSpaceDN w:val="0"/>
              <w:adjustRightInd w:val="0"/>
              <w:jc w:val="center"/>
              <w:rPr>
                <w:sz w:val="21"/>
                <w:szCs w:val="21"/>
                <w:highlight w:val="none"/>
              </w:rPr>
            </w:pPr>
            <w:r>
              <w:rPr>
                <w:sz w:val="21"/>
                <w:szCs w:val="21"/>
                <w:highlight w:val="none"/>
              </w:rPr>
              <w:t>0.39</w:t>
            </w:r>
          </w:p>
        </w:tc>
        <w:tc>
          <w:tcPr>
            <w:tcW w:w="535" w:type="pct"/>
            <w:noWrap w:val="0"/>
            <w:vAlign w:val="center"/>
          </w:tcPr>
          <w:p w14:paraId="08301795">
            <w:pPr>
              <w:kinsoku w:val="0"/>
              <w:overflowPunct w:val="0"/>
              <w:autoSpaceDE w:val="0"/>
              <w:autoSpaceDN w:val="0"/>
              <w:adjustRightInd w:val="0"/>
              <w:jc w:val="center"/>
              <w:rPr>
                <w:sz w:val="21"/>
                <w:szCs w:val="21"/>
                <w:highlight w:val="none"/>
              </w:rPr>
            </w:pPr>
            <w:r>
              <w:rPr>
                <w:sz w:val="21"/>
                <w:szCs w:val="21"/>
                <w:highlight w:val="none"/>
              </w:rPr>
              <w:t>0.33</w:t>
            </w:r>
          </w:p>
        </w:tc>
        <w:tc>
          <w:tcPr>
            <w:tcW w:w="453" w:type="pct"/>
            <w:noWrap w:val="0"/>
            <w:vAlign w:val="bottom"/>
          </w:tcPr>
          <w:p w14:paraId="3F5B25EF">
            <w:pPr>
              <w:kinsoku w:val="0"/>
              <w:overflowPunct w:val="0"/>
              <w:autoSpaceDE w:val="0"/>
              <w:autoSpaceDN w:val="0"/>
              <w:adjustRightInd w:val="0"/>
              <w:jc w:val="center"/>
              <w:rPr>
                <w:sz w:val="21"/>
                <w:szCs w:val="21"/>
                <w:highlight w:val="none"/>
              </w:rPr>
            </w:pPr>
            <w:r>
              <w:rPr>
                <w:sz w:val="21"/>
                <w:szCs w:val="21"/>
                <w:highlight w:val="none"/>
              </w:rPr>
              <w:t>10</w:t>
            </w:r>
          </w:p>
        </w:tc>
      </w:tr>
      <w:tr w14:paraId="0FBC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C1FEDE7">
            <w:pPr>
              <w:kinsoku w:val="0"/>
              <w:overflowPunct w:val="0"/>
              <w:autoSpaceDE w:val="0"/>
              <w:autoSpaceDN w:val="0"/>
              <w:adjustRightInd w:val="0"/>
              <w:jc w:val="center"/>
              <w:rPr>
                <w:sz w:val="21"/>
                <w:szCs w:val="21"/>
                <w:highlight w:val="none"/>
              </w:rPr>
            </w:pPr>
            <w:r>
              <w:rPr>
                <w:sz w:val="21"/>
                <w:szCs w:val="21"/>
                <w:highlight w:val="none"/>
              </w:rPr>
              <w:t>总铅（μ</w:t>
            </w:r>
            <w:r>
              <w:rPr>
                <w:spacing w:val="-3"/>
                <w:sz w:val="21"/>
                <w:szCs w:val="21"/>
                <w:highlight w:val="none"/>
              </w:rPr>
              <w:t>g</w:t>
            </w:r>
            <w:r>
              <w:rPr>
                <w:sz w:val="21"/>
                <w:szCs w:val="21"/>
                <w:highlight w:val="none"/>
              </w:rPr>
              <w:t>/L）</w:t>
            </w:r>
          </w:p>
        </w:tc>
        <w:tc>
          <w:tcPr>
            <w:tcW w:w="409" w:type="pct"/>
            <w:noWrap w:val="0"/>
            <w:vAlign w:val="center"/>
          </w:tcPr>
          <w:p w14:paraId="7C59880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2</w:t>
            </w:r>
            <w:r>
              <w:rPr>
                <w:spacing w:val="1"/>
                <w:sz w:val="21"/>
                <w:szCs w:val="21"/>
                <w:highlight w:val="none"/>
              </w:rPr>
              <w:t>5</w:t>
            </w:r>
            <w:r>
              <w:rPr>
                <w:sz w:val="21"/>
                <w:szCs w:val="21"/>
                <w:highlight w:val="none"/>
              </w:rPr>
              <w:t>L</w:t>
            </w:r>
          </w:p>
        </w:tc>
        <w:tc>
          <w:tcPr>
            <w:tcW w:w="428" w:type="pct"/>
            <w:noWrap w:val="0"/>
            <w:vAlign w:val="center"/>
          </w:tcPr>
          <w:p w14:paraId="60EE878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28" w:type="pct"/>
            <w:noWrap w:val="0"/>
            <w:vAlign w:val="center"/>
          </w:tcPr>
          <w:p w14:paraId="288ABEAA">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81" w:type="pct"/>
            <w:noWrap w:val="0"/>
            <w:vAlign w:val="center"/>
          </w:tcPr>
          <w:p w14:paraId="49803E9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27" w:type="pct"/>
            <w:noWrap w:val="0"/>
            <w:vAlign w:val="center"/>
          </w:tcPr>
          <w:p w14:paraId="6B5979D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82" w:type="pct"/>
            <w:noWrap w:val="0"/>
            <w:vAlign w:val="center"/>
          </w:tcPr>
          <w:p w14:paraId="040ADED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w:t>
            </w:r>
            <w:r>
              <w:rPr>
                <w:spacing w:val="-2"/>
                <w:sz w:val="21"/>
                <w:szCs w:val="21"/>
                <w:highlight w:val="none"/>
              </w:rPr>
              <w:t>5</w:t>
            </w:r>
            <w:r>
              <w:rPr>
                <w:sz w:val="21"/>
                <w:szCs w:val="21"/>
                <w:highlight w:val="none"/>
              </w:rPr>
              <w:t>L</w:t>
            </w:r>
          </w:p>
        </w:tc>
        <w:tc>
          <w:tcPr>
            <w:tcW w:w="427" w:type="pct"/>
            <w:noWrap w:val="0"/>
            <w:vAlign w:val="center"/>
          </w:tcPr>
          <w:p w14:paraId="5700E0D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535" w:type="pct"/>
            <w:noWrap w:val="0"/>
            <w:vAlign w:val="center"/>
          </w:tcPr>
          <w:p w14:paraId="37BDE84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25</w:t>
            </w:r>
            <w:r>
              <w:rPr>
                <w:sz w:val="21"/>
                <w:szCs w:val="21"/>
                <w:highlight w:val="none"/>
              </w:rPr>
              <w:t>L</w:t>
            </w:r>
          </w:p>
        </w:tc>
        <w:tc>
          <w:tcPr>
            <w:tcW w:w="453" w:type="pct"/>
            <w:noWrap w:val="0"/>
            <w:vAlign w:val="center"/>
          </w:tcPr>
          <w:p w14:paraId="6B9B9049">
            <w:pPr>
              <w:kinsoku w:val="0"/>
              <w:overflowPunct w:val="0"/>
              <w:autoSpaceDE w:val="0"/>
              <w:autoSpaceDN w:val="0"/>
              <w:adjustRightInd w:val="0"/>
              <w:jc w:val="center"/>
              <w:rPr>
                <w:sz w:val="21"/>
                <w:szCs w:val="21"/>
                <w:highlight w:val="none"/>
              </w:rPr>
            </w:pPr>
            <w:r>
              <w:rPr>
                <w:sz w:val="21"/>
                <w:szCs w:val="21"/>
                <w:highlight w:val="none"/>
              </w:rPr>
              <w:t>1.0mg/L</w:t>
            </w:r>
          </w:p>
        </w:tc>
      </w:tr>
      <w:tr w14:paraId="4B7D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95BF57F">
            <w:pPr>
              <w:kinsoku w:val="0"/>
              <w:overflowPunct w:val="0"/>
              <w:autoSpaceDE w:val="0"/>
              <w:autoSpaceDN w:val="0"/>
              <w:adjustRightInd w:val="0"/>
              <w:jc w:val="center"/>
              <w:rPr>
                <w:sz w:val="21"/>
                <w:szCs w:val="21"/>
                <w:highlight w:val="none"/>
              </w:rPr>
            </w:pPr>
            <w:r>
              <w:rPr>
                <w:sz w:val="21"/>
                <w:szCs w:val="21"/>
                <w:highlight w:val="none"/>
              </w:rPr>
              <w:t>总镉（μ</w:t>
            </w:r>
            <w:r>
              <w:rPr>
                <w:spacing w:val="-3"/>
                <w:sz w:val="21"/>
                <w:szCs w:val="21"/>
                <w:highlight w:val="none"/>
              </w:rPr>
              <w:t>g</w:t>
            </w:r>
            <w:r>
              <w:rPr>
                <w:sz w:val="21"/>
                <w:szCs w:val="21"/>
                <w:highlight w:val="none"/>
              </w:rPr>
              <w:t>/L）</w:t>
            </w:r>
          </w:p>
        </w:tc>
        <w:tc>
          <w:tcPr>
            <w:tcW w:w="409" w:type="pct"/>
            <w:noWrap w:val="0"/>
            <w:vAlign w:val="center"/>
          </w:tcPr>
          <w:p w14:paraId="41B8BCC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8" w:type="pct"/>
            <w:noWrap w:val="0"/>
            <w:vAlign w:val="center"/>
          </w:tcPr>
          <w:p w14:paraId="399D8AD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8" w:type="pct"/>
            <w:noWrap w:val="0"/>
            <w:vAlign w:val="center"/>
          </w:tcPr>
          <w:p w14:paraId="70C8480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1" w:type="pct"/>
            <w:noWrap w:val="0"/>
            <w:vAlign w:val="center"/>
          </w:tcPr>
          <w:p w14:paraId="398EDC7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27" w:type="pct"/>
            <w:noWrap w:val="0"/>
            <w:vAlign w:val="center"/>
          </w:tcPr>
          <w:p w14:paraId="66986D3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82" w:type="pct"/>
            <w:noWrap w:val="0"/>
            <w:vAlign w:val="center"/>
          </w:tcPr>
          <w:p w14:paraId="4343ED2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02</w:t>
            </w:r>
            <w:r>
              <w:rPr>
                <w:spacing w:val="-2"/>
                <w:sz w:val="21"/>
                <w:szCs w:val="21"/>
                <w:highlight w:val="none"/>
              </w:rPr>
              <w:t>5</w:t>
            </w:r>
            <w:r>
              <w:rPr>
                <w:sz w:val="21"/>
                <w:szCs w:val="21"/>
                <w:highlight w:val="none"/>
              </w:rPr>
              <w:t>L</w:t>
            </w:r>
          </w:p>
        </w:tc>
        <w:tc>
          <w:tcPr>
            <w:tcW w:w="427" w:type="pct"/>
            <w:noWrap w:val="0"/>
            <w:vAlign w:val="center"/>
          </w:tcPr>
          <w:p w14:paraId="6D619164">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535" w:type="pct"/>
            <w:noWrap w:val="0"/>
            <w:vAlign w:val="center"/>
          </w:tcPr>
          <w:p w14:paraId="386D2F79">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2</w:t>
            </w:r>
            <w:r>
              <w:rPr>
                <w:spacing w:val="1"/>
                <w:sz w:val="21"/>
                <w:szCs w:val="21"/>
                <w:highlight w:val="none"/>
              </w:rPr>
              <w:t>5</w:t>
            </w:r>
            <w:r>
              <w:rPr>
                <w:sz w:val="21"/>
                <w:szCs w:val="21"/>
                <w:highlight w:val="none"/>
              </w:rPr>
              <w:t>L</w:t>
            </w:r>
          </w:p>
        </w:tc>
        <w:tc>
          <w:tcPr>
            <w:tcW w:w="453" w:type="pct"/>
            <w:noWrap w:val="0"/>
            <w:vAlign w:val="center"/>
          </w:tcPr>
          <w:p w14:paraId="35A2359C">
            <w:pPr>
              <w:kinsoku w:val="0"/>
              <w:overflowPunct w:val="0"/>
              <w:autoSpaceDE w:val="0"/>
              <w:autoSpaceDN w:val="0"/>
              <w:adjustRightInd w:val="0"/>
              <w:jc w:val="center"/>
              <w:rPr>
                <w:sz w:val="21"/>
                <w:szCs w:val="21"/>
                <w:highlight w:val="none"/>
              </w:rPr>
            </w:pPr>
            <w:r>
              <w:rPr>
                <w:sz w:val="21"/>
                <w:szCs w:val="21"/>
                <w:highlight w:val="none"/>
              </w:rPr>
              <w:t>0.1mg/L</w:t>
            </w:r>
          </w:p>
        </w:tc>
      </w:tr>
      <w:tr w14:paraId="6AA9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42D95739">
            <w:pPr>
              <w:kinsoku w:val="0"/>
              <w:overflowPunct w:val="0"/>
              <w:autoSpaceDE w:val="0"/>
              <w:autoSpaceDN w:val="0"/>
              <w:adjustRightInd w:val="0"/>
              <w:jc w:val="center"/>
              <w:rPr>
                <w:sz w:val="21"/>
                <w:szCs w:val="21"/>
                <w:highlight w:val="none"/>
              </w:rPr>
            </w:pPr>
            <w:r>
              <w:rPr>
                <w:sz w:val="21"/>
                <w:szCs w:val="21"/>
                <w:highlight w:val="none"/>
              </w:rPr>
              <w:t>六价铬</w:t>
            </w:r>
          </w:p>
        </w:tc>
        <w:tc>
          <w:tcPr>
            <w:tcW w:w="409" w:type="pct"/>
            <w:noWrap w:val="0"/>
            <w:vAlign w:val="center"/>
          </w:tcPr>
          <w:p w14:paraId="0242982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28" w:type="pct"/>
            <w:noWrap w:val="0"/>
            <w:vAlign w:val="center"/>
          </w:tcPr>
          <w:p w14:paraId="571DE70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28" w:type="pct"/>
            <w:noWrap w:val="0"/>
            <w:vAlign w:val="center"/>
          </w:tcPr>
          <w:p w14:paraId="50E260B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1" w:type="pct"/>
            <w:noWrap w:val="0"/>
            <w:vAlign w:val="center"/>
          </w:tcPr>
          <w:p w14:paraId="3674952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27" w:type="pct"/>
            <w:noWrap w:val="0"/>
            <w:vAlign w:val="center"/>
          </w:tcPr>
          <w:p w14:paraId="6387A3F9">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82" w:type="pct"/>
            <w:noWrap w:val="0"/>
            <w:vAlign w:val="center"/>
          </w:tcPr>
          <w:p w14:paraId="4A54B1DF">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pacing w:val="-2"/>
                <w:sz w:val="21"/>
                <w:szCs w:val="21"/>
                <w:highlight w:val="none"/>
              </w:rPr>
              <w:t>4</w:t>
            </w:r>
            <w:r>
              <w:rPr>
                <w:sz w:val="21"/>
                <w:szCs w:val="21"/>
                <w:highlight w:val="none"/>
              </w:rPr>
              <w:t>L</w:t>
            </w:r>
          </w:p>
        </w:tc>
        <w:tc>
          <w:tcPr>
            <w:tcW w:w="427" w:type="pct"/>
            <w:noWrap w:val="0"/>
            <w:vAlign w:val="center"/>
          </w:tcPr>
          <w:p w14:paraId="483041C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535" w:type="pct"/>
            <w:noWrap w:val="0"/>
            <w:vAlign w:val="center"/>
          </w:tcPr>
          <w:p w14:paraId="325F2005">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0</w:t>
            </w:r>
            <w:r>
              <w:rPr>
                <w:spacing w:val="1"/>
                <w:sz w:val="21"/>
                <w:szCs w:val="21"/>
                <w:highlight w:val="none"/>
              </w:rPr>
              <w:t>4</w:t>
            </w:r>
            <w:r>
              <w:rPr>
                <w:sz w:val="21"/>
                <w:szCs w:val="21"/>
                <w:highlight w:val="none"/>
              </w:rPr>
              <w:t>L</w:t>
            </w:r>
          </w:p>
        </w:tc>
        <w:tc>
          <w:tcPr>
            <w:tcW w:w="453" w:type="pct"/>
            <w:noWrap w:val="0"/>
            <w:vAlign w:val="center"/>
          </w:tcPr>
          <w:p w14:paraId="30E63F95">
            <w:pPr>
              <w:kinsoku w:val="0"/>
              <w:overflowPunct w:val="0"/>
              <w:autoSpaceDE w:val="0"/>
              <w:autoSpaceDN w:val="0"/>
              <w:adjustRightInd w:val="0"/>
              <w:jc w:val="center"/>
              <w:rPr>
                <w:sz w:val="21"/>
                <w:szCs w:val="21"/>
                <w:highlight w:val="none"/>
              </w:rPr>
            </w:pPr>
            <w:r>
              <w:rPr>
                <w:sz w:val="21"/>
                <w:szCs w:val="21"/>
                <w:highlight w:val="none"/>
              </w:rPr>
              <w:t>0.5</w:t>
            </w:r>
          </w:p>
        </w:tc>
      </w:tr>
      <w:tr w14:paraId="2F08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602E7F56">
            <w:pPr>
              <w:kinsoku w:val="0"/>
              <w:overflowPunct w:val="0"/>
              <w:autoSpaceDE w:val="0"/>
              <w:autoSpaceDN w:val="0"/>
              <w:adjustRightInd w:val="0"/>
              <w:jc w:val="center"/>
              <w:rPr>
                <w:sz w:val="21"/>
                <w:szCs w:val="21"/>
                <w:highlight w:val="none"/>
              </w:rPr>
            </w:pPr>
            <w:r>
              <w:rPr>
                <w:sz w:val="21"/>
                <w:szCs w:val="21"/>
                <w:highlight w:val="none"/>
              </w:rPr>
              <w:t>总铬</w:t>
            </w:r>
          </w:p>
        </w:tc>
        <w:tc>
          <w:tcPr>
            <w:tcW w:w="409" w:type="pct"/>
            <w:noWrap w:val="0"/>
            <w:vAlign w:val="center"/>
          </w:tcPr>
          <w:p w14:paraId="1D2A349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0</w:t>
            </w:r>
            <w:r>
              <w:rPr>
                <w:spacing w:val="1"/>
                <w:sz w:val="21"/>
                <w:szCs w:val="21"/>
                <w:highlight w:val="none"/>
              </w:rPr>
              <w:t>3</w:t>
            </w:r>
            <w:r>
              <w:rPr>
                <w:sz w:val="21"/>
                <w:szCs w:val="21"/>
                <w:highlight w:val="none"/>
              </w:rPr>
              <w:t>L</w:t>
            </w:r>
          </w:p>
        </w:tc>
        <w:tc>
          <w:tcPr>
            <w:tcW w:w="428" w:type="pct"/>
            <w:noWrap w:val="0"/>
            <w:vAlign w:val="center"/>
          </w:tcPr>
          <w:p w14:paraId="0F10D32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28" w:type="pct"/>
            <w:noWrap w:val="0"/>
            <w:vAlign w:val="center"/>
          </w:tcPr>
          <w:p w14:paraId="145AA8C0">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81" w:type="pct"/>
            <w:noWrap w:val="0"/>
            <w:vAlign w:val="center"/>
          </w:tcPr>
          <w:p w14:paraId="4C031F76">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27" w:type="pct"/>
            <w:noWrap w:val="0"/>
            <w:vAlign w:val="center"/>
          </w:tcPr>
          <w:p w14:paraId="7BB38A5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82" w:type="pct"/>
            <w:noWrap w:val="0"/>
            <w:vAlign w:val="center"/>
          </w:tcPr>
          <w:p w14:paraId="5CE4DCD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w:t>
            </w:r>
            <w:r>
              <w:rPr>
                <w:spacing w:val="-2"/>
                <w:sz w:val="21"/>
                <w:szCs w:val="21"/>
                <w:highlight w:val="none"/>
              </w:rPr>
              <w:t>3</w:t>
            </w:r>
            <w:r>
              <w:rPr>
                <w:sz w:val="21"/>
                <w:szCs w:val="21"/>
                <w:highlight w:val="none"/>
              </w:rPr>
              <w:t>L</w:t>
            </w:r>
          </w:p>
        </w:tc>
        <w:tc>
          <w:tcPr>
            <w:tcW w:w="427" w:type="pct"/>
            <w:noWrap w:val="0"/>
            <w:vAlign w:val="center"/>
          </w:tcPr>
          <w:p w14:paraId="4FA16CF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535" w:type="pct"/>
            <w:noWrap w:val="0"/>
            <w:vAlign w:val="center"/>
          </w:tcPr>
          <w:p w14:paraId="0DB94C3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03</w:t>
            </w:r>
            <w:r>
              <w:rPr>
                <w:sz w:val="21"/>
                <w:szCs w:val="21"/>
                <w:highlight w:val="none"/>
              </w:rPr>
              <w:t>L</w:t>
            </w:r>
          </w:p>
        </w:tc>
        <w:tc>
          <w:tcPr>
            <w:tcW w:w="453" w:type="pct"/>
            <w:noWrap w:val="0"/>
            <w:vAlign w:val="center"/>
          </w:tcPr>
          <w:p w14:paraId="6943E27D">
            <w:pPr>
              <w:kinsoku w:val="0"/>
              <w:overflowPunct w:val="0"/>
              <w:autoSpaceDE w:val="0"/>
              <w:autoSpaceDN w:val="0"/>
              <w:adjustRightInd w:val="0"/>
              <w:jc w:val="center"/>
              <w:rPr>
                <w:sz w:val="21"/>
                <w:szCs w:val="21"/>
                <w:highlight w:val="none"/>
              </w:rPr>
            </w:pPr>
            <w:r>
              <w:rPr>
                <w:sz w:val="21"/>
                <w:szCs w:val="21"/>
                <w:highlight w:val="none"/>
              </w:rPr>
              <w:t>1.5</w:t>
            </w:r>
          </w:p>
        </w:tc>
      </w:tr>
      <w:tr w14:paraId="5599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2B281ECA">
            <w:pPr>
              <w:kinsoku w:val="0"/>
              <w:overflowPunct w:val="0"/>
              <w:autoSpaceDE w:val="0"/>
              <w:autoSpaceDN w:val="0"/>
              <w:adjustRightInd w:val="0"/>
              <w:jc w:val="center"/>
              <w:rPr>
                <w:sz w:val="21"/>
                <w:szCs w:val="21"/>
                <w:highlight w:val="none"/>
              </w:rPr>
            </w:pPr>
            <w:r>
              <w:rPr>
                <w:sz w:val="21"/>
                <w:szCs w:val="21"/>
                <w:highlight w:val="none"/>
              </w:rPr>
              <w:t>总砷（μ</w:t>
            </w:r>
            <w:r>
              <w:rPr>
                <w:spacing w:val="-3"/>
                <w:sz w:val="21"/>
                <w:szCs w:val="21"/>
                <w:highlight w:val="none"/>
              </w:rPr>
              <w:t>g</w:t>
            </w:r>
            <w:r>
              <w:rPr>
                <w:sz w:val="21"/>
                <w:szCs w:val="21"/>
                <w:highlight w:val="none"/>
              </w:rPr>
              <w:t>/L）</w:t>
            </w:r>
          </w:p>
        </w:tc>
        <w:tc>
          <w:tcPr>
            <w:tcW w:w="409" w:type="pct"/>
            <w:noWrap w:val="0"/>
            <w:vAlign w:val="center"/>
          </w:tcPr>
          <w:p w14:paraId="2624398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8" w:type="pct"/>
            <w:noWrap w:val="0"/>
            <w:vAlign w:val="center"/>
          </w:tcPr>
          <w:p w14:paraId="45D7C19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8" w:type="pct"/>
            <w:noWrap w:val="0"/>
            <w:vAlign w:val="center"/>
          </w:tcPr>
          <w:p w14:paraId="7DC0829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81" w:type="pct"/>
            <w:noWrap w:val="0"/>
            <w:vAlign w:val="center"/>
          </w:tcPr>
          <w:p w14:paraId="0733AB81">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7" w:type="pct"/>
            <w:noWrap w:val="0"/>
            <w:vAlign w:val="center"/>
          </w:tcPr>
          <w:p w14:paraId="2AAB49A2">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82" w:type="pct"/>
            <w:noWrap w:val="0"/>
            <w:vAlign w:val="center"/>
          </w:tcPr>
          <w:p w14:paraId="463A89A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27" w:type="pct"/>
            <w:noWrap w:val="0"/>
            <w:vAlign w:val="center"/>
          </w:tcPr>
          <w:p w14:paraId="1CDF0BF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3</w:t>
            </w:r>
            <w:r>
              <w:rPr>
                <w:sz w:val="21"/>
                <w:szCs w:val="21"/>
                <w:highlight w:val="none"/>
              </w:rPr>
              <w:t>L</w:t>
            </w:r>
          </w:p>
        </w:tc>
        <w:tc>
          <w:tcPr>
            <w:tcW w:w="535" w:type="pct"/>
            <w:noWrap w:val="0"/>
            <w:vAlign w:val="center"/>
          </w:tcPr>
          <w:p w14:paraId="0B689093">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3</w:t>
            </w:r>
            <w:r>
              <w:rPr>
                <w:sz w:val="21"/>
                <w:szCs w:val="21"/>
                <w:highlight w:val="none"/>
              </w:rPr>
              <w:t>L</w:t>
            </w:r>
          </w:p>
        </w:tc>
        <w:tc>
          <w:tcPr>
            <w:tcW w:w="453" w:type="pct"/>
            <w:noWrap w:val="0"/>
            <w:vAlign w:val="center"/>
          </w:tcPr>
          <w:p w14:paraId="60DF8B88">
            <w:pPr>
              <w:kinsoku w:val="0"/>
              <w:overflowPunct w:val="0"/>
              <w:autoSpaceDE w:val="0"/>
              <w:autoSpaceDN w:val="0"/>
              <w:adjustRightInd w:val="0"/>
              <w:jc w:val="center"/>
              <w:rPr>
                <w:sz w:val="21"/>
                <w:szCs w:val="21"/>
                <w:highlight w:val="none"/>
              </w:rPr>
            </w:pPr>
            <w:r>
              <w:rPr>
                <w:sz w:val="21"/>
                <w:szCs w:val="21"/>
                <w:highlight w:val="none"/>
              </w:rPr>
              <w:t>0.5mg/L</w:t>
            </w:r>
          </w:p>
        </w:tc>
      </w:tr>
      <w:tr w14:paraId="0964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77AFA964">
            <w:pPr>
              <w:kinsoku w:val="0"/>
              <w:overflowPunct w:val="0"/>
              <w:autoSpaceDE w:val="0"/>
              <w:autoSpaceDN w:val="0"/>
              <w:adjustRightInd w:val="0"/>
              <w:jc w:val="center"/>
              <w:rPr>
                <w:sz w:val="21"/>
                <w:szCs w:val="21"/>
                <w:highlight w:val="none"/>
              </w:rPr>
            </w:pPr>
            <w:r>
              <w:rPr>
                <w:sz w:val="21"/>
                <w:szCs w:val="21"/>
                <w:highlight w:val="none"/>
              </w:rPr>
              <w:t>总汞（μ</w:t>
            </w:r>
            <w:r>
              <w:rPr>
                <w:spacing w:val="-3"/>
                <w:sz w:val="21"/>
                <w:szCs w:val="21"/>
                <w:highlight w:val="none"/>
              </w:rPr>
              <w:t>g</w:t>
            </w:r>
            <w:r>
              <w:rPr>
                <w:sz w:val="21"/>
                <w:szCs w:val="21"/>
                <w:highlight w:val="none"/>
              </w:rPr>
              <w:t>/L）</w:t>
            </w:r>
          </w:p>
        </w:tc>
        <w:tc>
          <w:tcPr>
            <w:tcW w:w="409" w:type="pct"/>
            <w:noWrap w:val="0"/>
            <w:vAlign w:val="center"/>
          </w:tcPr>
          <w:p w14:paraId="5134DD9C">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1</w:t>
            </w:r>
            <w:r>
              <w:rPr>
                <w:sz w:val="21"/>
                <w:szCs w:val="21"/>
                <w:highlight w:val="none"/>
              </w:rPr>
              <w:t>3</w:t>
            </w:r>
          </w:p>
        </w:tc>
        <w:tc>
          <w:tcPr>
            <w:tcW w:w="428" w:type="pct"/>
            <w:noWrap w:val="0"/>
            <w:vAlign w:val="center"/>
          </w:tcPr>
          <w:p w14:paraId="3621560D">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1</w:t>
            </w:r>
            <w:r>
              <w:rPr>
                <w:sz w:val="21"/>
                <w:szCs w:val="21"/>
                <w:highlight w:val="none"/>
              </w:rPr>
              <w:t>3</w:t>
            </w:r>
          </w:p>
        </w:tc>
        <w:tc>
          <w:tcPr>
            <w:tcW w:w="428" w:type="pct"/>
            <w:noWrap w:val="0"/>
            <w:vAlign w:val="center"/>
          </w:tcPr>
          <w:p w14:paraId="71DEEAE6">
            <w:pPr>
              <w:kinsoku w:val="0"/>
              <w:overflowPunct w:val="0"/>
              <w:autoSpaceDE w:val="0"/>
              <w:autoSpaceDN w:val="0"/>
              <w:adjustRightInd w:val="0"/>
              <w:jc w:val="center"/>
              <w:rPr>
                <w:sz w:val="21"/>
                <w:szCs w:val="21"/>
                <w:highlight w:val="none"/>
              </w:rPr>
            </w:pPr>
            <w:r>
              <w:rPr>
                <w:sz w:val="21"/>
                <w:szCs w:val="21"/>
                <w:highlight w:val="none"/>
              </w:rPr>
              <w:t>0.13</w:t>
            </w:r>
          </w:p>
        </w:tc>
        <w:tc>
          <w:tcPr>
            <w:tcW w:w="481" w:type="pct"/>
            <w:noWrap w:val="0"/>
            <w:vAlign w:val="center"/>
          </w:tcPr>
          <w:p w14:paraId="386DC20D">
            <w:pPr>
              <w:kinsoku w:val="0"/>
              <w:overflowPunct w:val="0"/>
              <w:autoSpaceDE w:val="0"/>
              <w:autoSpaceDN w:val="0"/>
              <w:adjustRightInd w:val="0"/>
              <w:jc w:val="center"/>
              <w:rPr>
                <w:sz w:val="21"/>
                <w:szCs w:val="21"/>
                <w:highlight w:val="none"/>
              </w:rPr>
            </w:pPr>
            <w:r>
              <w:rPr>
                <w:sz w:val="21"/>
                <w:szCs w:val="21"/>
                <w:highlight w:val="none"/>
              </w:rPr>
              <w:t>0.14</w:t>
            </w:r>
          </w:p>
        </w:tc>
        <w:tc>
          <w:tcPr>
            <w:tcW w:w="427" w:type="pct"/>
            <w:noWrap w:val="0"/>
            <w:vAlign w:val="center"/>
          </w:tcPr>
          <w:p w14:paraId="43BA78E4">
            <w:pPr>
              <w:kinsoku w:val="0"/>
              <w:overflowPunct w:val="0"/>
              <w:autoSpaceDE w:val="0"/>
              <w:autoSpaceDN w:val="0"/>
              <w:adjustRightInd w:val="0"/>
              <w:jc w:val="center"/>
              <w:rPr>
                <w:sz w:val="21"/>
                <w:szCs w:val="21"/>
                <w:highlight w:val="none"/>
              </w:rPr>
            </w:pPr>
            <w:r>
              <w:rPr>
                <w:sz w:val="21"/>
                <w:szCs w:val="21"/>
                <w:highlight w:val="none"/>
              </w:rPr>
              <w:t>0.14</w:t>
            </w:r>
          </w:p>
        </w:tc>
        <w:tc>
          <w:tcPr>
            <w:tcW w:w="482" w:type="pct"/>
            <w:noWrap w:val="0"/>
            <w:vAlign w:val="center"/>
          </w:tcPr>
          <w:p w14:paraId="1D76A015">
            <w:pPr>
              <w:kinsoku w:val="0"/>
              <w:overflowPunct w:val="0"/>
              <w:autoSpaceDE w:val="0"/>
              <w:autoSpaceDN w:val="0"/>
              <w:adjustRightInd w:val="0"/>
              <w:jc w:val="center"/>
              <w:rPr>
                <w:sz w:val="21"/>
                <w:szCs w:val="21"/>
                <w:highlight w:val="none"/>
              </w:rPr>
            </w:pPr>
            <w:r>
              <w:rPr>
                <w:sz w:val="21"/>
                <w:szCs w:val="21"/>
                <w:highlight w:val="none"/>
              </w:rPr>
              <w:t>0.15</w:t>
            </w:r>
          </w:p>
        </w:tc>
        <w:tc>
          <w:tcPr>
            <w:tcW w:w="427" w:type="pct"/>
            <w:noWrap w:val="0"/>
            <w:vAlign w:val="center"/>
          </w:tcPr>
          <w:p w14:paraId="1ADE6E29">
            <w:pPr>
              <w:kinsoku w:val="0"/>
              <w:overflowPunct w:val="0"/>
              <w:autoSpaceDE w:val="0"/>
              <w:autoSpaceDN w:val="0"/>
              <w:adjustRightInd w:val="0"/>
              <w:jc w:val="center"/>
              <w:rPr>
                <w:sz w:val="21"/>
                <w:szCs w:val="21"/>
                <w:highlight w:val="none"/>
              </w:rPr>
            </w:pPr>
            <w:r>
              <w:rPr>
                <w:sz w:val="21"/>
                <w:szCs w:val="21"/>
                <w:highlight w:val="none"/>
              </w:rPr>
              <w:t>0.14</w:t>
            </w:r>
          </w:p>
        </w:tc>
        <w:tc>
          <w:tcPr>
            <w:tcW w:w="535" w:type="pct"/>
            <w:noWrap w:val="0"/>
            <w:vAlign w:val="center"/>
          </w:tcPr>
          <w:p w14:paraId="2FA5FC0B">
            <w:pPr>
              <w:kinsoku w:val="0"/>
              <w:overflowPunct w:val="0"/>
              <w:autoSpaceDE w:val="0"/>
              <w:autoSpaceDN w:val="0"/>
              <w:adjustRightInd w:val="0"/>
              <w:jc w:val="center"/>
              <w:rPr>
                <w:sz w:val="21"/>
                <w:szCs w:val="21"/>
                <w:highlight w:val="none"/>
              </w:rPr>
            </w:pPr>
            <w:r>
              <w:rPr>
                <w:sz w:val="21"/>
                <w:szCs w:val="21"/>
                <w:highlight w:val="none"/>
              </w:rPr>
              <w:t>0.14</w:t>
            </w:r>
          </w:p>
        </w:tc>
        <w:tc>
          <w:tcPr>
            <w:tcW w:w="453" w:type="pct"/>
            <w:noWrap w:val="0"/>
            <w:vAlign w:val="center"/>
          </w:tcPr>
          <w:p w14:paraId="5ECC95BA">
            <w:pPr>
              <w:kinsoku w:val="0"/>
              <w:overflowPunct w:val="0"/>
              <w:autoSpaceDE w:val="0"/>
              <w:autoSpaceDN w:val="0"/>
              <w:adjustRightInd w:val="0"/>
              <w:jc w:val="center"/>
              <w:rPr>
                <w:sz w:val="21"/>
                <w:szCs w:val="21"/>
                <w:highlight w:val="none"/>
              </w:rPr>
            </w:pPr>
            <w:r>
              <w:rPr>
                <w:sz w:val="21"/>
                <w:szCs w:val="21"/>
                <w:highlight w:val="none"/>
              </w:rPr>
              <w:t>0.05mg/L</w:t>
            </w:r>
          </w:p>
        </w:tc>
      </w:tr>
      <w:tr w14:paraId="43AC3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exact"/>
        </w:trPr>
        <w:tc>
          <w:tcPr>
            <w:tcW w:w="930" w:type="pct"/>
            <w:noWrap w:val="0"/>
            <w:vAlign w:val="center"/>
          </w:tcPr>
          <w:p w14:paraId="1619FE71">
            <w:pPr>
              <w:kinsoku w:val="0"/>
              <w:overflowPunct w:val="0"/>
              <w:autoSpaceDE w:val="0"/>
              <w:autoSpaceDN w:val="0"/>
              <w:adjustRightInd w:val="0"/>
              <w:jc w:val="center"/>
              <w:rPr>
                <w:sz w:val="21"/>
                <w:szCs w:val="21"/>
                <w:highlight w:val="none"/>
              </w:rPr>
            </w:pPr>
            <w:r>
              <w:rPr>
                <w:sz w:val="21"/>
                <w:szCs w:val="21"/>
                <w:highlight w:val="none"/>
              </w:rPr>
              <w:t>挥发酚</w:t>
            </w:r>
          </w:p>
        </w:tc>
        <w:tc>
          <w:tcPr>
            <w:tcW w:w="409" w:type="pct"/>
            <w:noWrap w:val="0"/>
            <w:vAlign w:val="center"/>
          </w:tcPr>
          <w:p w14:paraId="536CACCB">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1"/>
                <w:sz w:val="21"/>
                <w:szCs w:val="21"/>
                <w:highlight w:val="none"/>
              </w:rPr>
              <w:t>00</w:t>
            </w:r>
            <w:r>
              <w:rPr>
                <w:sz w:val="21"/>
                <w:szCs w:val="21"/>
                <w:highlight w:val="none"/>
              </w:rPr>
              <w:t>3</w:t>
            </w:r>
          </w:p>
        </w:tc>
        <w:tc>
          <w:tcPr>
            <w:tcW w:w="428" w:type="pct"/>
            <w:noWrap w:val="0"/>
            <w:vAlign w:val="center"/>
          </w:tcPr>
          <w:p w14:paraId="4E1CEEBE">
            <w:pPr>
              <w:kinsoku w:val="0"/>
              <w:overflowPunct w:val="0"/>
              <w:autoSpaceDE w:val="0"/>
              <w:autoSpaceDN w:val="0"/>
              <w:adjustRightInd w:val="0"/>
              <w:jc w:val="center"/>
              <w:rPr>
                <w:sz w:val="21"/>
                <w:szCs w:val="21"/>
                <w:highlight w:val="none"/>
              </w:rPr>
            </w:pPr>
            <w:r>
              <w:rPr>
                <w:spacing w:val="1"/>
                <w:sz w:val="21"/>
                <w:szCs w:val="21"/>
                <w:highlight w:val="none"/>
              </w:rPr>
              <w:t>0</w:t>
            </w:r>
            <w:r>
              <w:rPr>
                <w:sz w:val="21"/>
                <w:szCs w:val="21"/>
                <w:highlight w:val="none"/>
              </w:rPr>
              <w:t>.</w:t>
            </w:r>
            <w:r>
              <w:rPr>
                <w:spacing w:val="-2"/>
                <w:sz w:val="21"/>
                <w:szCs w:val="21"/>
                <w:highlight w:val="none"/>
              </w:rPr>
              <w:t>0</w:t>
            </w:r>
            <w:r>
              <w:rPr>
                <w:spacing w:val="1"/>
                <w:sz w:val="21"/>
                <w:szCs w:val="21"/>
                <w:highlight w:val="none"/>
              </w:rPr>
              <w:t>0</w:t>
            </w:r>
            <w:r>
              <w:rPr>
                <w:sz w:val="21"/>
                <w:szCs w:val="21"/>
                <w:highlight w:val="none"/>
              </w:rPr>
              <w:t>2</w:t>
            </w:r>
          </w:p>
        </w:tc>
        <w:tc>
          <w:tcPr>
            <w:tcW w:w="428" w:type="pct"/>
            <w:noWrap w:val="0"/>
            <w:vAlign w:val="center"/>
          </w:tcPr>
          <w:p w14:paraId="3823F97F">
            <w:pPr>
              <w:kinsoku w:val="0"/>
              <w:overflowPunct w:val="0"/>
              <w:autoSpaceDE w:val="0"/>
              <w:autoSpaceDN w:val="0"/>
              <w:adjustRightInd w:val="0"/>
              <w:jc w:val="center"/>
              <w:rPr>
                <w:sz w:val="21"/>
                <w:szCs w:val="21"/>
                <w:highlight w:val="none"/>
              </w:rPr>
            </w:pPr>
            <w:r>
              <w:rPr>
                <w:sz w:val="21"/>
                <w:szCs w:val="21"/>
                <w:highlight w:val="none"/>
              </w:rPr>
              <w:t>0.004</w:t>
            </w:r>
          </w:p>
        </w:tc>
        <w:tc>
          <w:tcPr>
            <w:tcW w:w="481" w:type="pct"/>
            <w:noWrap w:val="0"/>
            <w:vAlign w:val="center"/>
          </w:tcPr>
          <w:p w14:paraId="216A717F">
            <w:pPr>
              <w:kinsoku w:val="0"/>
              <w:overflowPunct w:val="0"/>
              <w:autoSpaceDE w:val="0"/>
              <w:autoSpaceDN w:val="0"/>
              <w:adjustRightInd w:val="0"/>
              <w:jc w:val="center"/>
              <w:rPr>
                <w:sz w:val="21"/>
                <w:szCs w:val="21"/>
                <w:highlight w:val="none"/>
              </w:rPr>
            </w:pPr>
            <w:r>
              <w:rPr>
                <w:sz w:val="21"/>
                <w:szCs w:val="21"/>
                <w:highlight w:val="none"/>
              </w:rPr>
              <w:t>0.003</w:t>
            </w:r>
          </w:p>
        </w:tc>
        <w:tc>
          <w:tcPr>
            <w:tcW w:w="427" w:type="pct"/>
            <w:noWrap w:val="0"/>
            <w:vAlign w:val="center"/>
          </w:tcPr>
          <w:p w14:paraId="1C4442A6">
            <w:pPr>
              <w:kinsoku w:val="0"/>
              <w:overflowPunct w:val="0"/>
              <w:autoSpaceDE w:val="0"/>
              <w:autoSpaceDN w:val="0"/>
              <w:adjustRightInd w:val="0"/>
              <w:jc w:val="center"/>
              <w:rPr>
                <w:sz w:val="21"/>
                <w:szCs w:val="21"/>
                <w:highlight w:val="none"/>
              </w:rPr>
            </w:pPr>
            <w:r>
              <w:rPr>
                <w:sz w:val="21"/>
                <w:szCs w:val="21"/>
                <w:highlight w:val="none"/>
              </w:rPr>
              <w:t>0.003</w:t>
            </w:r>
          </w:p>
        </w:tc>
        <w:tc>
          <w:tcPr>
            <w:tcW w:w="482" w:type="pct"/>
            <w:noWrap w:val="0"/>
            <w:vAlign w:val="center"/>
          </w:tcPr>
          <w:p w14:paraId="4E99FC34">
            <w:pPr>
              <w:kinsoku w:val="0"/>
              <w:overflowPunct w:val="0"/>
              <w:autoSpaceDE w:val="0"/>
              <w:autoSpaceDN w:val="0"/>
              <w:adjustRightInd w:val="0"/>
              <w:jc w:val="center"/>
              <w:rPr>
                <w:sz w:val="21"/>
                <w:szCs w:val="21"/>
                <w:highlight w:val="none"/>
              </w:rPr>
            </w:pPr>
            <w:r>
              <w:rPr>
                <w:sz w:val="21"/>
                <w:szCs w:val="21"/>
                <w:highlight w:val="none"/>
              </w:rPr>
              <w:t>0.002</w:t>
            </w:r>
          </w:p>
        </w:tc>
        <w:tc>
          <w:tcPr>
            <w:tcW w:w="427" w:type="pct"/>
            <w:noWrap w:val="0"/>
            <w:vAlign w:val="center"/>
          </w:tcPr>
          <w:p w14:paraId="0ABD2DF0">
            <w:pPr>
              <w:kinsoku w:val="0"/>
              <w:overflowPunct w:val="0"/>
              <w:autoSpaceDE w:val="0"/>
              <w:autoSpaceDN w:val="0"/>
              <w:adjustRightInd w:val="0"/>
              <w:jc w:val="center"/>
              <w:rPr>
                <w:sz w:val="21"/>
                <w:szCs w:val="21"/>
                <w:highlight w:val="none"/>
              </w:rPr>
            </w:pPr>
            <w:r>
              <w:rPr>
                <w:sz w:val="21"/>
                <w:szCs w:val="21"/>
                <w:highlight w:val="none"/>
              </w:rPr>
              <w:t>0.002L</w:t>
            </w:r>
          </w:p>
        </w:tc>
        <w:tc>
          <w:tcPr>
            <w:tcW w:w="535" w:type="pct"/>
            <w:noWrap w:val="0"/>
            <w:vAlign w:val="center"/>
          </w:tcPr>
          <w:p w14:paraId="6108660D">
            <w:pPr>
              <w:kinsoku w:val="0"/>
              <w:overflowPunct w:val="0"/>
              <w:autoSpaceDE w:val="0"/>
              <w:autoSpaceDN w:val="0"/>
              <w:adjustRightInd w:val="0"/>
              <w:jc w:val="center"/>
              <w:rPr>
                <w:sz w:val="21"/>
                <w:szCs w:val="21"/>
                <w:highlight w:val="none"/>
              </w:rPr>
            </w:pPr>
            <w:r>
              <w:rPr>
                <w:sz w:val="21"/>
                <w:szCs w:val="21"/>
                <w:highlight w:val="none"/>
              </w:rPr>
              <w:t>0.002L</w:t>
            </w:r>
          </w:p>
        </w:tc>
        <w:tc>
          <w:tcPr>
            <w:tcW w:w="453" w:type="pct"/>
            <w:noWrap w:val="0"/>
            <w:vAlign w:val="center"/>
          </w:tcPr>
          <w:p w14:paraId="73B2935F">
            <w:pPr>
              <w:kinsoku w:val="0"/>
              <w:overflowPunct w:val="0"/>
              <w:autoSpaceDE w:val="0"/>
              <w:autoSpaceDN w:val="0"/>
              <w:adjustRightInd w:val="0"/>
              <w:jc w:val="center"/>
              <w:rPr>
                <w:sz w:val="21"/>
                <w:szCs w:val="21"/>
                <w:highlight w:val="none"/>
              </w:rPr>
            </w:pPr>
            <w:r>
              <w:rPr>
                <w:sz w:val="21"/>
                <w:szCs w:val="21"/>
                <w:highlight w:val="none"/>
              </w:rPr>
              <w:t>0.5</w:t>
            </w:r>
          </w:p>
        </w:tc>
      </w:tr>
      <w:tr w14:paraId="6886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777EB10E">
            <w:pPr>
              <w:kinsoku w:val="0"/>
              <w:overflowPunct w:val="0"/>
              <w:autoSpaceDE w:val="0"/>
              <w:autoSpaceDN w:val="0"/>
              <w:adjustRightInd w:val="0"/>
              <w:jc w:val="center"/>
              <w:rPr>
                <w:sz w:val="21"/>
                <w:szCs w:val="21"/>
                <w:highlight w:val="none"/>
              </w:rPr>
            </w:pPr>
            <w:r>
              <w:rPr>
                <w:sz w:val="21"/>
                <w:szCs w:val="21"/>
                <w:highlight w:val="none"/>
              </w:rPr>
              <w:t>总钒</w:t>
            </w:r>
          </w:p>
        </w:tc>
        <w:tc>
          <w:tcPr>
            <w:tcW w:w="409" w:type="pct"/>
            <w:noWrap w:val="0"/>
            <w:vAlign w:val="center"/>
          </w:tcPr>
          <w:p w14:paraId="0F36A020">
            <w:pPr>
              <w:kinsoku w:val="0"/>
              <w:overflowPunct w:val="0"/>
              <w:autoSpaceDE w:val="0"/>
              <w:autoSpaceDN w:val="0"/>
              <w:adjustRightInd w:val="0"/>
              <w:jc w:val="center"/>
              <w:rPr>
                <w:sz w:val="21"/>
                <w:szCs w:val="21"/>
                <w:highlight w:val="none"/>
              </w:rPr>
            </w:pPr>
            <w:r>
              <w:rPr>
                <w:sz w:val="21"/>
                <w:szCs w:val="21"/>
                <w:highlight w:val="none"/>
              </w:rPr>
              <w:t>0.01L</w:t>
            </w:r>
          </w:p>
        </w:tc>
        <w:tc>
          <w:tcPr>
            <w:tcW w:w="428" w:type="pct"/>
            <w:noWrap w:val="0"/>
            <w:vAlign w:val="center"/>
          </w:tcPr>
          <w:p w14:paraId="56AB0884">
            <w:pPr>
              <w:kinsoku w:val="0"/>
              <w:overflowPunct w:val="0"/>
              <w:autoSpaceDE w:val="0"/>
              <w:autoSpaceDN w:val="0"/>
              <w:adjustRightInd w:val="0"/>
              <w:jc w:val="center"/>
              <w:rPr>
                <w:sz w:val="21"/>
                <w:szCs w:val="21"/>
                <w:highlight w:val="none"/>
              </w:rPr>
            </w:pPr>
            <w:r>
              <w:rPr>
                <w:sz w:val="21"/>
                <w:szCs w:val="21"/>
                <w:highlight w:val="none"/>
              </w:rPr>
              <w:t>0.01L</w:t>
            </w:r>
          </w:p>
        </w:tc>
        <w:tc>
          <w:tcPr>
            <w:tcW w:w="428" w:type="pct"/>
            <w:noWrap w:val="0"/>
            <w:vAlign w:val="center"/>
          </w:tcPr>
          <w:p w14:paraId="4B66821F">
            <w:pPr>
              <w:kinsoku w:val="0"/>
              <w:overflowPunct w:val="0"/>
              <w:autoSpaceDE w:val="0"/>
              <w:autoSpaceDN w:val="0"/>
              <w:adjustRightInd w:val="0"/>
              <w:jc w:val="center"/>
              <w:rPr>
                <w:sz w:val="21"/>
                <w:szCs w:val="21"/>
                <w:highlight w:val="none"/>
              </w:rPr>
            </w:pPr>
            <w:r>
              <w:rPr>
                <w:sz w:val="21"/>
                <w:szCs w:val="21"/>
                <w:highlight w:val="none"/>
              </w:rPr>
              <w:t>0.01L</w:t>
            </w:r>
          </w:p>
        </w:tc>
        <w:tc>
          <w:tcPr>
            <w:tcW w:w="481" w:type="pct"/>
            <w:noWrap w:val="0"/>
            <w:vAlign w:val="center"/>
          </w:tcPr>
          <w:p w14:paraId="747675CB">
            <w:pPr>
              <w:kinsoku w:val="0"/>
              <w:overflowPunct w:val="0"/>
              <w:autoSpaceDE w:val="0"/>
              <w:autoSpaceDN w:val="0"/>
              <w:adjustRightInd w:val="0"/>
              <w:jc w:val="center"/>
              <w:rPr>
                <w:sz w:val="21"/>
                <w:szCs w:val="21"/>
                <w:highlight w:val="none"/>
              </w:rPr>
            </w:pPr>
            <w:r>
              <w:rPr>
                <w:sz w:val="21"/>
                <w:szCs w:val="21"/>
                <w:highlight w:val="none"/>
              </w:rPr>
              <w:t>0.01L</w:t>
            </w:r>
          </w:p>
        </w:tc>
        <w:tc>
          <w:tcPr>
            <w:tcW w:w="427" w:type="pct"/>
            <w:noWrap w:val="0"/>
            <w:vAlign w:val="center"/>
          </w:tcPr>
          <w:p w14:paraId="30FDEC36">
            <w:pPr>
              <w:kinsoku w:val="0"/>
              <w:overflowPunct w:val="0"/>
              <w:autoSpaceDE w:val="0"/>
              <w:autoSpaceDN w:val="0"/>
              <w:adjustRightInd w:val="0"/>
              <w:jc w:val="center"/>
              <w:rPr>
                <w:sz w:val="21"/>
                <w:szCs w:val="21"/>
                <w:highlight w:val="none"/>
              </w:rPr>
            </w:pPr>
            <w:r>
              <w:rPr>
                <w:sz w:val="21"/>
                <w:szCs w:val="21"/>
                <w:highlight w:val="none"/>
              </w:rPr>
              <w:t>0.01L</w:t>
            </w:r>
          </w:p>
        </w:tc>
        <w:tc>
          <w:tcPr>
            <w:tcW w:w="482" w:type="pct"/>
            <w:noWrap w:val="0"/>
            <w:vAlign w:val="center"/>
          </w:tcPr>
          <w:p w14:paraId="4999B563">
            <w:pPr>
              <w:kinsoku w:val="0"/>
              <w:overflowPunct w:val="0"/>
              <w:autoSpaceDE w:val="0"/>
              <w:autoSpaceDN w:val="0"/>
              <w:adjustRightInd w:val="0"/>
              <w:jc w:val="center"/>
              <w:rPr>
                <w:sz w:val="21"/>
                <w:szCs w:val="21"/>
                <w:highlight w:val="none"/>
              </w:rPr>
            </w:pPr>
            <w:r>
              <w:rPr>
                <w:sz w:val="21"/>
                <w:szCs w:val="21"/>
                <w:highlight w:val="none"/>
              </w:rPr>
              <w:t>0.01L</w:t>
            </w:r>
          </w:p>
        </w:tc>
        <w:tc>
          <w:tcPr>
            <w:tcW w:w="427" w:type="pct"/>
            <w:noWrap w:val="0"/>
            <w:vAlign w:val="center"/>
          </w:tcPr>
          <w:p w14:paraId="5D61366E">
            <w:pPr>
              <w:kinsoku w:val="0"/>
              <w:overflowPunct w:val="0"/>
              <w:autoSpaceDE w:val="0"/>
              <w:autoSpaceDN w:val="0"/>
              <w:adjustRightInd w:val="0"/>
              <w:jc w:val="center"/>
              <w:rPr>
                <w:sz w:val="21"/>
                <w:szCs w:val="21"/>
                <w:highlight w:val="none"/>
              </w:rPr>
            </w:pPr>
            <w:r>
              <w:rPr>
                <w:sz w:val="21"/>
                <w:szCs w:val="21"/>
                <w:highlight w:val="none"/>
              </w:rPr>
              <w:t>0.01L</w:t>
            </w:r>
          </w:p>
        </w:tc>
        <w:tc>
          <w:tcPr>
            <w:tcW w:w="535" w:type="pct"/>
            <w:noWrap w:val="0"/>
            <w:vAlign w:val="center"/>
          </w:tcPr>
          <w:p w14:paraId="2420505C">
            <w:pPr>
              <w:kinsoku w:val="0"/>
              <w:overflowPunct w:val="0"/>
              <w:autoSpaceDE w:val="0"/>
              <w:autoSpaceDN w:val="0"/>
              <w:adjustRightInd w:val="0"/>
              <w:jc w:val="center"/>
              <w:rPr>
                <w:sz w:val="21"/>
                <w:szCs w:val="21"/>
                <w:highlight w:val="none"/>
              </w:rPr>
            </w:pPr>
            <w:r>
              <w:rPr>
                <w:sz w:val="21"/>
                <w:szCs w:val="21"/>
                <w:highlight w:val="none"/>
              </w:rPr>
              <w:t>0.01L</w:t>
            </w:r>
          </w:p>
        </w:tc>
        <w:tc>
          <w:tcPr>
            <w:tcW w:w="453" w:type="pct"/>
            <w:noWrap w:val="0"/>
            <w:vAlign w:val="center"/>
          </w:tcPr>
          <w:p w14:paraId="478F180E">
            <w:pPr>
              <w:kinsoku w:val="0"/>
              <w:overflowPunct w:val="0"/>
              <w:autoSpaceDE w:val="0"/>
              <w:autoSpaceDN w:val="0"/>
              <w:adjustRightInd w:val="0"/>
              <w:jc w:val="center"/>
              <w:rPr>
                <w:sz w:val="21"/>
                <w:szCs w:val="21"/>
                <w:highlight w:val="none"/>
              </w:rPr>
            </w:pPr>
            <w:r>
              <w:rPr>
                <w:sz w:val="21"/>
                <w:szCs w:val="21"/>
                <w:highlight w:val="none"/>
              </w:rPr>
              <w:t>/</w:t>
            </w:r>
          </w:p>
        </w:tc>
      </w:tr>
      <w:tr w14:paraId="1697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exact"/>
        </w:trPr>
        <w:tc>
          <w:tcPr>
            <w:tcW w:w="930" w:type="pct"/>
            <w:noWrap w:val="0"/>
            <w:vAlign w:val="center"/>
          </w:tcPr>
          <w:p w14:paraId="1CB431B5">
            <w:pPr>
              <w:kinsoku w:val="0"/>
              <w:overflowPunct w:val="0"/>
              <w:autoSpaceDE w:val="0"/>
              <w:autoSpaceDN w:val="0"/>
              <w:adjustRightInd w:val="0"/>
              <w:jc w:val="center"/>
              <w:rPr>
                <w:sz w:val="21"/>
                <w:szCs w:val="21"/>
                <w:highlight w:val="none"/>
              </w:rPr>
            </w:pPr>
            <w:r>
              <w:rPr>
                <w:sz w:val="21"/>
                <w:szCs w:val="21"/>
                <w:highlight w:val="none"/>
              </w:rPr>
              <w:t>总铜</w:t>
            </w:r>
          </w:p>
        </w:tc>
        <w:tc>
          <w:tcPr>
            <w:tcW w:w="409" w:type="pct"/>
            <w:noWrap w:val="0"/>
            <w:vAlign w:val="center"/>
          </w:tcPr>
          <w:p w14:paraId="5A109C84">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noWrap w:val="0"/>
            <w:vAlign w:val="center"/>
          </w:tcPr>
          <w:p w14:paraId="5DE13170">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noWrap w:val="0"/>
            <w:vAlign w:val="center"/>
          </w:tcPr>
          <w:p w14:paraId="45372BC5">
            <w:pPr>
              <w:kinsoku w:val="0"/>
              <w:overflowPunct w:val="0"/>
              <w:autoSpaceDE w:val="0"/>
              <w:autoSpaceDN w:val="0"/>
              <w:adjustRightInd w:val="0"/>
              <w:jc w:val="center"/>
              <w:rPr>
                <w:sz w:val="21"/>
                <w:szCs w:val="21"/>
                <w:highlight w:val="none"/>
              </w:rPr>
            </w:pPr>
            <w:r>
              <w:rPr>
                <w:sz w:val="21"/>
                <w:szCs w:val="21"/>
                <w:highlight w:val="none"/>
              </w:rPr>
              <w:t>0.04L</w:t>
            </w:r>
          </w:p>
        </w:tc>
        <w:tc>
          <w:tcPr>
            <w:tcW w:w="481" w:type="pct"/>
            <w:noWrap w:val="0"/>
            <w:vAlign w:val="center"/>
          </w:tcPr>
          <w:p w14:paraId="06CD5FE8">
            <w:pPr>
              <w:kinsoku w:val="0"/>
              <w:overflowPunct w:val="0"/>
              <w:autoSpaceDE w:val="0"/>
              <w:autoSpaceDN w:val="0"/>
              <w:adjustRightInd w:val="0"/>
              <w:jc w:val="center"/>
              <w:rPr>
                <w:sz w:val="21"/>
                <w:szCs w:val="21"/>
                <w:highlight w:val="none"/>
              </w:rPr>
            </w:pPr>
            <w:r>
              <w:rPr>
                <w:sz w:val="21"/>
                <w:szCs w:val="21"/>
                <w:highlight w:val="none"/>
              </w:rPr>
              <w:t>0.04L</w:t>
            </w:r>
          </w:p>
        </w:tc>
        <w:tc>
          <w:tcPr>
            <w:tcW w:w="427" w:type="pct"/>
            <w:noWrap w:val="0"/>
            <w:vAlign w:val="center"/>
          </w:tcPr>
          <w:p w14:paraId="255D9C3A">
            <w:pPr>
              <w:kinsoku w:val="0"/>
              <w:overflowPunct w:val="0"/>
              <w:autoSpaceDE w:val="0"/>
              <w:autoSpaceDN w:val="0"/>
              <w:adjustRightInd w:val="0"/>
              <w:jc w:val="center"/>
              <w:rPr>
                <w:sz w:val="21"/>
                <w:szCs w:val="21"/>
                <w:highlight w:val="none"/>
              </w:rPr>
            </w:pPr>
            <w:r>
              <w:rPr>
                <w:sz w:val="21"/>
                <w:szCs w:val="21"/>
                <w:highlight w:val="none"/>
              </w:rPr>
              <w:t>0.04L</w:t>
            </w:r>
          </w:p>
        </w:tc>
        <w:tc>
          <w:tcPr>
            <w:tcW w:w="482" w:type="pct"/>
            <w:noWrap w:val="0"/>
            <w:vAlign w:val="center"/>
          </w:tcPr>
          <w:p w14:paraId="2E77E6E3">
            <w:pPr>
              <w:kinsoku w:val="0"/>
              <w:overflowPunct w:val="0"/>
              <w:autoSpaceDE w:val="0"/>
              <w:autoSpaceDN w:val="0"/>
              <w:adjustRightInd w:val="0"/>
              <w:jc w:val="center"/>
              <w:rPr>
                <w:sz w:val="21"/>
                <w:szCs w:val="21"/>
                <w:highlight w:val="none"/>
              </w:rPr>
            </w:pPr>
            <w:r>
              <w:rPr>
                <w:sz w:val="21"/>
                <w:szCs w:val="21"/>
                <w:highlight w:val="none"/>
              </w:rPr>
              <w:t>0.04L</w:t>
            </w:r>
          </w:p>
        </w:tc>
        <w:tc>
          <w:tcPr>
            <w:tcW w:w="427" w:type="pct"/>
            <w:noWrap w:val="0"/>
            <w:vAlign w:val="center"/>
          </w:tcPr>
          <w:p w14:paraId="593B3BF4">
            <w:pPr>
              <w:kinsoku w:val="0"/>
              <w:overflowPunct w:val="0"/>
              <w:autoSpaceDE w:val="0"/>
              <w:autoSpaceDN w:val="0"/>
              <w:adjustRightInd w:val="0"/>
              <w:jc w:val="center"/>
              <w:rPr>
                <w:sz w:val="21"/>
                <w:szCs w:val="21"/>
                <w:highlight w:val="none"/>
              </w:rPr>
            </w:pPr>
            <w:r>
              <w:rPr>
                <w:sz w:val="21"/>
                <w:szCs w:val="21"/>
                <w:highlight w:val="none"/>
              </w:rPr>
              <w:t>0.04L</w:t>
            </w:r>
          </w:p>
        </w:tc>
        <w:tc>
          <w:tcPr>
            <w:tcW w:w="535" w:type="pct"/>
            <w:noWrap w:val="0"/>
            <w:vAlign w:val="center"/>
          </w:tcPr>
          <w:p w14:paraId="4879A564">
            <w:pPr>
              <w:kinsoku w:val="0"/>
              <w:overflowPunct w:val="0"/>
              <w:autoSpaceDE w:val="0"/>
              <w:autoSpaceDN w:val="0"/>
              <w:adjustRightInd w:val="0"/>
              <w:jc w:val="center"/>
              <w:rPr>
                <w:sz w:val="21"/>
                <w:szCs w:val="21"/>
                <w:highlight w:val="none"/>
              </w:rPr>
            </w:pPr>
            <w:r>
              <w:rPr>
                <w:sz w:val="21"/>
                <w:szCs w:val="21"/>
                <w:highlight w:val="none"/>
              </w:rPr>
              <w:t>0.04L</w:t>
            </w:r>
          </w:p>
        </w:tc>
        <w:tc>
          <w:tcPr>
            <w:tcW w:w="453" w:type="pct"/>
            <w:noWrap w:val="0"/>
            <w:vAlign w:val="center"/>
          </w:tcPr>
          <w:p w14:paraId="1EA98FF2">
            <w:pPr>
              <w:kinsoku w:val="0"/>
              <w:overflowPunct w:val="0"/>
              <w:autoSpaceDE w:val="0"/>
              <w:autoSpaceDN w:val="0"/>
              <w:adjustRightInd w:val="0"/>
              <w:jc w:val="center"/>
              <w:rPr>
                <w:sz w:val="21"/>
                <w:szCs w:val="21"/>
                <w:highlight w:val="none"/>
              </w:rPr>
            </w:pPr>
            <w:r>
              <w:rPr>
                <w:sz w:val="21"/>
                <w:szCs w:val="21"/>
                <w:highlight w:val="none"/>
              </w:rPr>
              <w:t>0.5</w:t>
            </w:r>
          </w:p>
        </w:tc>
      </w:tr>
      <w:tr w14:paraId="4299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exact"/>
        </w:trPr>
        <w:tc>
          <w:tcPr>
            <w:tcW w:w="930" w:type="pct"/>
            <w:noWrap w:val="0"/>
            <w:vAlign w:val="center"/>
          </w:tcPr>
          <w:p w14:paraId="583E706D">
            <w:pPr>
              <w:kinsoku w:val="0"/>
              <w:overflowPunct w:val="0"/>
              <w:autoSpaceDE w:val="0"/>
              <w:autoSpaceDN w:val="0"/>
              <w:adjustRightInd w:val="0"/>
              <w:jc w:val="center"/>
              <w:rPr>
                <w:sz w:val="21"/>
                <w:szCs w:val="21"/>
                <w:highlight w:val="none"/>
              </w:rPr>
            </w:pPr>
            <w:r>
              <w:rPr>
                <w:sz w:val="21"/>
                <w:szCs w:val="21"/>
                <w:highlight w:val="none"/>
              </w:rPr>
              <w:t>总锌</w:t>
            </w:r>
          </w:p>
        </w:tc>
        <w:tc>
          <w:tcPr>
            <w:tcW w:w="409" w:type="pct"/>
            <w:noWrap w:val="0"/>
            <w:vAlign w:val="center"/>
          </w:tcPr>
          <w:p w14:paraId="104DA09A">
            <w:pPr>
              <w:kinsoku w:val="0"/>
              <w:overflowPunct w:val="0"/>
              <w:autoSpaceDE w:val="0"/>
              <w:autoSpaceDN w:val="0"/>
              <w:adjustRightInd w:val="0"/>
              <w:jc w:val="center"/>
              <w:rPr>
                <w:sz w:val="21"/>
                <w:szCs w:val="21"/>
                <w:highlight w:val="none"/>
              </w:rPr>
            </w:pPr>
            <w:r>
              <w:rPr>
                <w:sz w:val="21"/>
                <w:szCs w:val="21"/>
                <w:highlight w:val="none"/>
              </w:rPr>
              <w:t>0.009L</w:t>
            </w:r>
          </w:p>
        </w:tc>
        <w:tc>
          <w:tcPr>
            <w:tcW w:w="428" w:type="pct"/>
            <w:noWrap w:val="0"/>
            <w:vAlign w:val="center"/>
          </w:tcPr>
          <w:p w14:paraId="2636FFB1">
            <w:pPr>
              <w:kinsoku w:val="0"/>
              <w:overflowPunct w:val="0"/>
              <w:autoSpaceDE w:val="0"/>
              <w:autoSpaceDN w:val="0"/>
              <w:adjustRightInd w:val="0"/>
              <w:jc w:val="center"/>
              <w:rPr>
                <w:sz w:val="21"/>
                <w:szCs w:val="21"/>
                <w:highlight w:val="none"/>
              </w:rPr>
            </w:pPr>
            <w:r>
              <w:rPr>
                <w:sz w:val="21"/>
                <w:szCs w:val="21"/>
                <w:highlight w:val="none"/>
              </w:rPr>
              <w:t>0.009L</w:t>
            </w:r>
          </w:p>
        </w:tc>
        <w:tc>
          <w:tcPr>
            <w:tcW w:w="428" w:type="pct"/>
            <w:noWrap w:val="0"/>
            <w:vAlign w:val="center"/>
          </w:tcPr>
          <w:p w14:paraId="47D42ABE">
            <w:pPr>
              <w:kinsoku w:val="0"/>
              <w:overflowPunct w:val="0"/>
              <w:autoSpaceDE w:val="0"/>
              <w:autoSpaceDN w:val="0"/>
              <w:adjustRightInd w:val="0"/>
              <w:jc w:val="center"/>
              <w:rPr>
                <w:sz w:val="21"/>
                <w:szCs w:val="21"/>
                <w:highlight w:val="none"/>
              </w:rPr>
            </w:pPr>
            <w:r>
              <w:rPr>
                <w:sz w:val="21"/>
                <w:szCs w:val="21"/>
                <w:highlight w:val="none"/>
              </w:rPr>
              <w:t>0.009L</w:t>
            </w:r>
          </w:p>
        </w:tc>
        <w:tc>
          <w:tcPr>
            <w:tcW w:w="481" w:type="pct"/>
            <w:noWrap w:val="0"/>
            <w:vAlign w:val="center"/>
          </w:tcPr>
          <w:p w14:paraId="1A21805B">
            <w:pPr>
              <w:kinsoku w:val="0"/>
              <w:overflowPunct w:val="0"/>
              <w:autoSpaceDE w:val="0"/>
              <w:autoSpaceDN w:val="0"/>
              <w:adjustRightInd w:val="0"/>
              <w:jc w:val="center"/>
              <w:rPr>
                <w:sz w:val="21"/>
                <w:szCs w:val="21"/>
                <w:highlight w:val="none"/>
              </w:rPr>
            </w:pPr>
            <w:r>
              <w:rPr>
                <w:sz w:val="21"/>
                <w:szCs w:val="21"/>
                <w:highlight w:val="none"/>
              </w:rPr>
              <w:t>0.009L</w:t>
            </w:r>
          </w:p>
        </w:tc>
        <w:tc>
          <w:tcPr>
            <w:tcW w:w="427" w:type="pct"/>
            <w:noWrap w:val="0"/>
            <w:vAlign w:val="center"/>
          </w:tcPr>
          <w:p w14:paraId="5F110A9C">
            <w:pPr>
              <w:kinsoku w:val="0"/>
              <w:overflowPunct w:val="0"/>
              <w:autoSpaceDE w:val="0"/>
              <w:autoSpaceDN w:val="0"/>
              <w:adjustRightInd w:val="0"/>
              <w:jc w:val="center"/>
              <w:rPr>
                <w:sz w:val="21"/>
                <w:szCs w:val="21"/>
                <w:highlight w:val="none"/>
              </w:rPr>
            </w:pPr>
            <w:r>
              <w:rPr>
                <w:sz w:val="21"/>
                <w:szCs w:val="21"/>
                <w:highlight w:val="none"/>
              </w:rPr>
              <w:t>0.009L</w:t>
            </w:r>
          </w:p>
        </w:tc>
        <w:tc>
          <w:tcPr>
            <w:tcW w:w="482" w:type="pct"/>
            <w:noWrap w:val="0"/>
            <w:vAlign w:val="center"/>
          </w:tcPr>
          <w:p w14:paraId="20EB5C29">
            <w:pPr>
              <w:kinsoku w:val="0"/>
              <w:overflowPunct w:val="0"/>
              <w:autoSpaceDE w:val="0"/>
              <w:autoSpaceDN w:val="0"/>
              <w:adjustRightInd w:val="0"/>
              <w:jc w:val="center"/>
              <w:rPr>
                <w:sz w:val="21"/>
                <w:szCs w:val="21"/>
                <w:highlight w:val="none"/>
              </w:rPr>
            </w:pPr>
            <w:r>
              <w:rPr>
                <w:sz w:val="21"/>
                <w:szCs w:val="21"/>
                <w:highlight w:val="none"/>
              </w:rPr>
              <w:t>0.009L</w:t>
            </w:r>
          </w:p>
        </w:tc>
        <w:tc>
          <w:tcPr>
            <w:tcW w:w="427" w:type="pct"/>
            <w:noWrap w:val="0"/>
            <w:vAlign w:val="center"/>
          </w:tcPr>
          <w:p w14:paraId="341D20B3">
            <w:pPr>
              <w:kinsoku w:val="0"/>
              <w:overflowPunct w:val="0"/>
              <w:autoSpaceDE w:val="0"/>
              <w:autoSpaceDN w:val="0"/>
              <w:adjustRightInd w:val="0"/>
              <w:jc w:val="center"/>
              <w:rPr>
                <w:sz w:val="21"/>
                <w:szCs w:val="21"/>
                <w:highlight w:val="none"/>
              </w:rPr>
            </w:pPr>
            <w:r>
              <w:rPr>
                <w:sz w:val="21"/>
                <w:szCs w:val="21"/>
                <w:highlight w:val="none"/>
              </w:rPr>
              <w:t>0.009L</w:t>
            </w:r>
          </w:p>
        </w:tc>
        <w:tc>
          <w:tcPr>
            <w:tcW w:w="535" w:type="pct"/>
            <w:noWrap w:val="0"/>
            <w:vAlign w:val="center"/>
          </w:tcPr>
          <w:p w14:paraId="3248627F">
            <w:pPr>
              <w:kinsoku w:val="0"/>
              <w:overflowPunct w:val="0"/>
              <w:autoSpaceDE w:val="0"/>
              <w:autoSpaceDN w:val="0"/>
              <w:adjustRightInd w:val="0"/>
              <w:jc w:val="center"/>
              <w:rPr>
                <w:sz w:val="21"/>
                <w:szCs w:val="21"/>
                <w:highlight w:val="none"/>
              </w:rPr>
            </w:pPr>
            <w:r>
              <w:rPr>
                <w:sz w:val="21"/>
                <w:szCs w:val="21"/>
                <w:highlight w:val="none"/>
              </w:rPr>
              <w:t>0.009L</w:t>
            </w:r>
          </w:p>
        </w:tc>
        <w:tc>
          <w:tcPr>
            <w:tcW w:w="453" w:type="pct"/>
            <w:noWrap w:val="0"/>
            <w:vAlign w:val="center"/>
          </w:tcPr>
          <w:p w14:paraId="1F87AD68">
            <w:pPr>
              <w:kinsoku w:val="0"/>
              <w:overflowPunct w:val="0"/>
              <w:autoSpaceDE w:val="0"/>
              <w:autoSpaceDN w:val="0"/>
              <w:adjustRightInd w:val="0"/>
              <w:jc w:val="center"/>
              <w:rPr>
                <w:sz w:val="21"/>
                <w:szCs w:val="21"/>
                <w:highlight w:val="none"/>
              </w:rPr>
            </w:pPr>
            <w:r>
              <w:rPr>
                <w:sz w:val="21"/>
                <w:szCs w:val="21"/>
                <w:highlight w:val="none"/>
              </w:rPr>
              <w:t>2.0</w:t>
            </w:r>
          </w:p>
        </w:tc>
      </w:tr>
      <w:tr w14:paraId="0545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 w:hRule="exact"/>
        </w:trPr>
        <w:tc>
          <w:tcPr>
            <w:tcW w:w="930" w:type="pct"/>
            <w:noWrap w:val="0"/>
            <w:vAlign w:val="center"/>
          </w:tcPr>
          <w:p w14:paraId="3BD658E7">
            <w:pPr>
              <w:kinsoku w:val="0"/>
              <w:overflowPunct w:val="0"/>
              <w:autoSpaceDE w:val="0"/>
              <w:autoSpaceDN w:val="0"/>
              <w:adjustRightInd w:val="0"/>
              <w:jc w:val="center"/>
              <w:rPr>
                <w:sz w:val="21"/>
                <w:szCs w:val="21"/>
                <w:highlight w:val="none"/>
              </w:rPr>
            </w:pPr>
            <w:r>
              <w:rPr>
                <w:sz w:val="21"/>
                <w:szCs w:val="21"/>
                <w:highlight w:val="none"/>
              </w:rPr>
              <w:t>总氰化物</w:t>
            </w:r>
          </w:p>
        </w:tc>
        <w:tc>
          <w:tcPr>
            <w:tcW w:w="409" w:type="pct"/>
            <w:noWrap w:val="0"/>
            <w:vAlign w:val="center"/>
          </w:tcPr>
          <w:p w14:paraId="4A77494C">
            <w:pPr>
              <w:kinsoku w:val="0"/>
              <w:overflowPunct w:val="0"/>
              <w:autoSpaceDE w:val="0"/>
              <w:autoSpaceDN w:val="0"/>
              <w:adjustRightInd w:val="0"/>
              <w:jc w:val="center"/>
              <w:rPr>
                <w:sz w:val="21"/>
                <w:szCs w:val="21"/>
                <w:highlight w:val="none"/>
              </w:rPr>
            </w:pPr>
            <w:r>
              <w:rPr>
                <w:sz w:val="21"/>
                <w:szCs w:val="21"/>
                <w:highlight w:val="none"/>
              </w:rPr>
              <w:t>0.003</w:t>
            </w:r>
          </w:p>
        </w:tc>
        <w:tc>
          <w:tcPr>
            <w:tcW w:w="428" w:type="pct"/>
            <w:noWrap w:val="0"/>
            <w:vAlign w:val="center"/>
          </w:tcPr>
          <w:p w14:paraId="5FF9E770">
            <w:pPr>
              <w:kinsoku w:val="0"/>
              <w:overflowPunct w:val="0"/>
              <w:autoSpaceDE w:val="0"/>
              <w:autoSpaceDN w:val="0"/>
              <w:adjustRightInd w:val="0"/>
              <w:jc w:val="center"/>
              <w:rPr>
                <w:sz w:val="21"/>
                <w:szCs w:val="21"/>
                <w:highlight w:val="none"/>
              </w:rPr>
            </w:pPr>
            <w:r>
              <w:rPr>
                <w:sz w:val="21"/>
                <w:szCs w:val="21"/>
                <w:highlight w:val="none"/>
              </w:rPr>
              <w:t>0.004</w:t>
            </w:r>
          </w:p>
        </w:tc>
        <w:tc>
          <w:tcPr>
            <w:tcW w:w="428" w:type="pct"/>
            <w:noWrap w:val="0"/>
            <w:vAlign w:val="center"/>
          </w:tcPr>
          <w:p w14:paraId="340484E8">
            <w:pPr>
              <w:kinsoku w:val="0"/>
              <w:overflowPunct w:val="0"/>
              <w:autoSpaceDE w:val="0"/>
              <w:autoSpaceDN w:val="0"/>
              <w:adjustRightInd w:val="0"/>
              <w:jc w:val="center"/>
              <w:rPr>
                <w:sz w:val="21"/>
                <w:szCs w:val="21"/>
                <w:highlight w:val="none"/>
              </w:rPr>
            </w:pPr>
            <w:r>
              <w:rPr>
                <w:sz w:val="21"/>
                <w:szCs w:val="21"/>
                <w:highlight w:val="none"/>
              </w:rPr>
              <w:t>0.005</w:t>
            </w:r>
          </w:p>
        </w:tc>
        <w:tc>
          <w:tcPr>
            <w:tcW w:w="481" w:type="pct"/>
            <w:noWrap w:val="0"/>
            <w:vAlign w:val="center"/>
          </w:tcPr>
          <w:p w14:paraId="7EEAFE89">
            <w:pPr>
              <w:kinsoku w:val="0"/>
              <w:overflowPunct w:val="0"/>
              <w:autoSpaceDE w:val="0"/>
              <w:autoSpaceDN w:val="0"/>
              <w:adjustRightInd w:val="0"/>
              <w:jc w:val="center"/>
              <w:rPr>
                <w:sz w:val="21"/>
                <w:szCs w:val="21"/>
                <w:highlight w:val="none"/>
              </w:rPr>
            </w:pPr>
            <w:r>
              <w:rPr>
                <w:sz w:val="21"/>
                <w:szCs w:val="21"/>
                <w:highlight w:val="none"/>
              </w:rPr>
              <w:t>0.004</w:t>
            </w:r>
          </w:p>
        </w:tc>
        <w:tc>
          <w:tcPr>
            <w:tcW w:w="427" w:type="pct"/>
            <w:noWrap w:val="0"/>
            <w:vAlign w:val="center"/>
          </w:tcPr>
          <w:p w14:paraId="67ACA99B">
            <w:pPr>
              <w:kinsoku w:val="0"/>
              <w:overflowPunct w:val="0"/>
              <w:autoSpaceDE w:val="0"/>
              <w:autoSpaceDN w:val="0"/>
              <w:adjustRightInd w:val="0"/>
              <w:jc w:val="center"/>
              <w:rPr>
                <w:sz w:val="21"/>
                <w:szCs w:val="21"/>
                <w:highlight w:val="none"/>
              </w:rPr>
            </w:pPr>
            <w:r>
              <w:rPr>
                <w:sz w:val="21"/>
                <w:szCs w:val="21"/>
                <w:highlight w:val="none"/>
              </w:rPr>
              <w:t>0.004</w:t>
            </w:r>
          </w:p>
        </w:tc>
        <w:tc>
          <w:tcPr>
            <w:tcW w:w="482" w:type="pct"/>
            <w:noWrap w:val="0"/>
            <w:vAlign w:val="center"/>
          </w:tcPr>
          <w:p w14:paraId="5083001A">
            <w:pPr>
              <w:kinsoku w:val="0"/>
              <w:overflowPunct w:val="0"/>
              <w:autoSpaceDE w:val="0"/>
              <w:autoSpaceDN w:val="0"/>
              <w:adjustRightInd w:val="0"/>
              <w:jc w:val="center"/>
              <w:rPr>
                <w:sz w:val="21"/>
                <w:szCs w:val="21"/>
                <w:highlight w:val="none"/>
              </w:rPr>
            </w:pPr>
            <w:r>
              <w:rPr>
                <w:sz w:val="21"/>
                <w:szCs w:val="21"/>
                <w:highlight w:val="none"/>
              </w:rPr>
              <w:t>0.004</w:t>
            </w:r>
          </w:p>
        </w:tc>
        <w:tc>
          <w:tcPr>
            <w:tcW w:w="427" w:type="pct"/>
            <w:noWrap w:val="0"/>
            <w:vAlign w:val="center"/>
          </w:tcPr>
          <w:p w14:paraId="4DBDDA63">
            <w:pPr>
              <w:kinsoku w:val="0"/>
              <w:overflowPunct w:val="0"/>
              <w:autoSpaceDE w:val="0"/>
              <w:autoSpaceDN w:val="0"/>
              <w:adjustRightInd w:val="0"/>
              <w:jc w:val="center"/>
              <w:rPr>
                <w:sz w:val="21"/>
                <w:szCs w:val="21"/>
                <w:highlight w:val="none"/>
              </w:rPr>
            </w:pPr>
            <w:r>
              <w:rPr>
                <w:sz w:val="21"/>
                <w:szCs w:val="21"/>
                <w:highlight w:val="none"/>
              </w:rPr>
              <w:t>0.005</w:t>
            </w:r>
          </w:p>
        </w:tc>
        <w:tc>
          <w:tcPr>
            <w:tcW w:w="535" w:type="pct"/>
            <w:noWrap w:val="0"/>
            <w:vAlign w:val="center"/>
          </w:tcPr>
          <w:p w14:paraId="1B08C13A">
            <w:pPr>
              <w:kinsoku w:val="0"/>
              <w:overflowPunct w:val="0"/>
              <w:autoSpaceDE w:val="0"/>
              <w:autoSpaceDN w:val="0"/>
              <w:adjustRightInd w:val="0"/>
              <w:jc w:val="center"/>
              <w:rPr>
                <w:sz w:val="21"/>
                <w:szCs w:val="21"/>
                <w:highlight w:val="none"/>
              </w:rPr>
            </w:pPr>
            <w:r>
              <w:rPr>
                <w:sz w:val="21"/>
                <w:szCs w:val="21"/>
                <w:highlight w:val="none"/>
              </w:rPr>
              <w:t>0.001L</w:t>
            </w:r>
          </w:p>
        </w:tc>
        <w:tc>
          <w:tcPr>
            <w:tcW w:w="453" w:type="pct"/>
            <w:noWrap w:val="0"/>
            <w:vAlign w:val="center"/>
          </w:tcPr>
          <w:p w14:paraId="0BC452D0">
            <w:pPr>
              <w:kinsoku w:val="0"/>
              <w:overflowPunct w:val="0"/>
              <w:autoSpaceDE w:val="0"/>
              <w:autoSpaceDN w:val="0"/>
              <w:adjustRightInd w:val="0"/>
              <w:jc w:val="center"/>
              <w:rPr>
                <w:sz w:val="21"/>
                <w:szCs w:val="21"/>
                <w:highlight w:val="none"/>
              </w:rPr>
            </w:pPr>
            <w:r>
              <w:rPr>
                <w:sz w:val="21"/>
                <w:szCs w:val="21"/>
                <w:highlight w:val="none"/>
              </w:rPr>
              <w:t>0.5</w:t>
            </w:r>
          </w:p>
        </w:tc>
      </w:tr>
      <w:tr w14:paraId="3C75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 w:hRule="exact"/>
        </w:trPr>
        <w:tc>
          <w:tcPr>
            <w:tcW w:w="930" w:type="pct"/>
            <w:noWrap w:val="0"/>
            <w:vAlign w:val="center"/>
          </w:tcPr>
          <w:p w14:paraId="3730A7DC">
            <w:pPr>
              <w:kinsoku w:val="0"/>
              <w:overflowPunct w:val="0"/>
              <w:autoSpaceDE w:val="0"/>
              <w:autoSpaceDN w:val="0"/>
              <w:adjustRightInd w:val="0"/>
              <w:jc w:val="center"/>
              <w:rPr>
                <w:sz w:val="21"/>
                <w:szCs w:val="21"/>
                <w:highlight w:val="none"/>
              </w:rPr>
            </w:pPr>
            <w:r>
              <w:rPr>
                <w:sz w:val="21"/>
                <w:szCs w:val="21"/>
                <w:highlight w:val="none"/>
              </w:rPr>
              <w:t>阴离子表面活性剂</w:t>
            </w:r>
          </w:p>
        </w:tc>
        <w:tc>
          <w:tcPr>
            <w:tcW w:w="409" w:type="pct"/>
            <w:noWrap w:val="0"/>
            <w:vAlign w:val="center"/>
          </w:tcPr>
          <w:p w14:paraId="28A30FCC">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noWrap w:val="0"/>
            <w:vAlign w:val="center"/>
          </w:tcPr>
          <w:p w14:paraId="66778AD1">
            <w:pPr>
              <w:kinsoku w:val="0"/>
              <w:overflowPunct w:val="0"/>
              <w:autoSpaceDE w:val="0"/>
              <w:autoSpaceDN w:val="0"/>
              <w:adjustRightInd w:val="0"/>
              <w:jc w:val="center"/>
              <w:rPr>
                <w:sz w:val="21"/>
                <w:szCs w:val="21"/>
                <w:highlight w:val="none"/>
              </w:rPr>
            </w:pPr>
            <w:r>
              <w:rPr>
                <w:sz w:val="21"/>
                <w:szCs w:val="21"/>
                <w:highlight w:val="none"/>
              </w:rPr>
              <w:t>0.04L</w:t>
            </w:r>
          </w:p>
        </w:tc>
        <w:tc>
          <w:tcPr>
            <w:tcW w:w="428" w:type="pct"/>
            <w:noWrap w:val="0"/>
            <w:vAlign w:val="center"/>
          </w:tcPr>
          <w:p w14:paraId="4E880528">
            <w:pPr>
              <w:kinsoku w:val="0"/>
              <w:overflowPunct w:val="0"/>
              <w:autoSpaceDE w:val="0"/>
              <w:autoSpaceDN w:val="0"/>
              <w:adjustRightInd w:val="0"/>
              <w:jc w:val="center"/>
              <w:rPr>
                <w:sz w:val="21"/>
                <w:szCs w:val="21"/>
                <w:highlight w:val="none"/>
              </w:rPr>
            </w:pPr>
            <w:r>
              <w:rPr>
                <w:sz w:val="21"/>
                <w:szCs w:val="21"/>
                <w:highlight w:val="none"/>
              </w:rPr>
              <w:t>0.49</w:t>
            </w:r>
          </w:p>
        </w:tc>
        <w:tc>
          <w:tcPr>
            <w:tcW w:w="481" w:type="pct"/>
            <w:noWrap w:val="0"/>
            <w:vAlign w:val="center"/>
          </w:tcPr>
          <w:p w14:paraId="71E0AAE4">
            <w:pPr>
              <w:kinsoku w:val="0"/>
              <w:overflowPunct w:val="0"/>
              <w:autoSpaceDE w:val="0"/>
              <w:autoSpaceDN w:val="0"/>
              <w:adjustRightInd w:val="0"/>
              <w:jc w:val="center"/>
              <w:rPr>
                <w:sz w:val="21"/>
                <w:szCs w:val="21"/>
                <w:highlight w:val="none"/>
              </w:rPr>
            </w:pPr>
            <w:r>
              <w:rPr>
                <w:sz w:val="21"/>
                <w:szCs w:val="21"/>
                <w:highlight w:val="none"/>
              </w:rPr>
              <w:t>0.09</w:t>
            </w:r>
          </w:p>
        </w:tc>
        <w:tc>
          <w:tcPr>
            <w:tcW w:w="427" w:type="pct"/>
            <w:noWrap w:val="0"/>
            <w:vAlign w:val="center"/>
          </w:tcPr>
          <w:p w14:paraId="386348DC">
            <w:pPr>
              <w:kinsoku w:val="0"/>
              <w:overflowPunct w:val="0"/>
              <w:autoSpaceDE w:val="0"/>
              <w:autoSpaceDN w:val="0"/>
              <w:adjustRightInd w:val="0"/>
              <w:jc w:val="center"/>
              <w:rPr>
                <w:sz w:val="21"/>
                <w:szCs w:val="21"/>
                <w:highlight w:val="none"/>
              </w:rPr>
            </w:pPr>
            <w:r>
              <w:rPr>
                <w:sz w:val="21"/>
                <w:szCs w:val="21"/>
                <w:highlight w:val="none"/>
              </w:rPr>
              <w:t>0.07</w:t>
            </w:r>
          </w:p>
        </w:tc>
        <w:tc>
          <w:tcPr>
            <w:tcW w:w="482" w:type="pct"/>
            <w:noWrap w:val="0"/>
            <w:vAlign w:val="center"/>
          </w:tcPr>
          <w:p w14:paraId="204D0D7C">
            <w:pPr>
              <w:kinsoku w:val="0"/>
              <w:overflowPunct w:val="0"/>
              <w:autoSpaceDE w:val="0"/>
              <w:autoSpaceDN w:val="0"/>
              <w:adjustRightInd w:val="0"/>
              <w:jc w:val="center"/>
              <w:rPr>
                <w:sz w:val="21"/>
                <w:szCs w:val="21"/>
                <w:highlight w:val="none"/>
              </w:rPr>
            </w:pPr>
            <w:r>
              <w:rPr>
                <w:sz w:val="21"/>
                <w:szCs w:val="21"/>
                <w:highlight w:val="none"/>
              </w:rPr>
              <w:t>0.18</w:t>
            </w:r>
          </w:p>
        </w:tc>
        <w:tc>
          <w:tcPr>
            <w:tcW w:w="427" w:type="pct"/>
            <w:noWrap w:val="0"/>
            <w:vAlign w:val="center"/>
          </w:tcPr>
          <w:p w14:paraId="5427B8F6">
            <w:pPr>
              <w:kinsoku w:val="0"/>
              <w:overflowPunct w:val="0"/>
              <w:autoSpaceDE w:val="0"/>
              <w:autoSpaceDN w:val="0"/>
              <w:adjustRightInd w:val="0"/>
              <w:jc w:val="center"/>
              <w:rPr>
                <w:sz w:val="21"/>
                <w:szCs w:val="21"/>
                <w:highlight w:val="none"/>
              </w:rPr>
            </w:pPr>
            <w:r>
              <w:rPr>
                <w:sz w:val="21"/>
                <w:szCs w:val="21"/>
                <w:highlight w:val="none"/>
              </w:rPr>
              <w:t>0.57</w:t>
            </w:r>
          </w:p>
        </w:tc>
        <w:tc>
          <w:tcPr>
            <w:tcW w:w="535" w:type="pct"/>
            <w:noWrap w:val="0"/>
            <w:vAlign w:val="center"/>
          </w:tcPr>
          <w:p w14:paraId="53EC7EC2">
            <w:pPr>
              <w:kinsoku w:val="0"/>
              <w:overflowPunct w:val="0"/>
              <w:autoSpaceDE w:val="0"/>
              <w:autoSpaceDN w:val="0"/>
              <w:adjustRightInd w:val="0"/>
              <w:jc w:val="center"/>
              <w:rPr>
                <w:sz w:val="21"/>
                <w:szCs w:val="21"/>
                <w:highlight w:val="none"/>
              </w:rPr>
            </w:pPr>
            <w:r>
              <w:rPr>
                <w:sz w:val="21"/>
                <w:szCs w:val="21"/>
                <w:highlight w:val="none"/>
              </w:rPr>
              <w:t>0.17</w:t>
            </w:r>
          </w:p>
        </w:tc>
        <w:tc>
          <w:tcPr>
            <w:tcW w:w="453" w:type="pct"/>
            <w:noWrap w:val="0"/>
            <w:vAlign w:val="center"/>
          </w:tcPr>
          <w:p w14:paraId="26357E59">
            <w:pPr>
              <w:kinsoku w:val="0"/>
              <w:overflowPunct w:val="0"/>
              <w:autoSpaceDE w:val="0"/>
              <w:autoSpaceDN w:val="0"/>
              <w:adjustRightInd w:val="0"/>
              <w:jc w:val="center"/>
              <w:rPr>
                <w:sz w:val="21"/>
                <w:szCs w:val="21"/>
                <w:highlight w:val="none"/>
              </w:rPr>
            </w:pPr>
            <w:r>
              <w:rPr>
                <w:sz w:val="21"/>
                <w:szCs w:val="21"/>
                <w:highlight w:val="none"/>
              </w:rPr>
              <w:t>5.0</w:t>
            </w:r>
          </w:p>
        </w:tc>
      </w:tr>
      <w:tr w14:paraId="43FF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 w:hRule="exact"/>
        </w:trPr>
        <w:tc>
          <w:tcPr>
            <w:tcW w:w="930" w:type="pct"/>
            <w:noWrap w:val="0"/>
            <w:vAlign w:val="center"/>
          </w:tcPr>
          <w:p w14:paraId="01B91DD7">
            <w:pPr>
              <w:kinsoku w:val="0"/>
              <w:overflowPunct w:val="0"/>
              <w:autoSpaceDE w:val="0"/>
              <w:autoSpaceDN w:val="0"/>
              <w:adjustRightInd w:val="0"/>
              <w:jc w:val="center"/>
              <w:rPr>
                <w:sz w:val="21"/>
                <w:szCs w:val="21"/>
                <w:highlight w:val="none"/>
              </w:rPr>
            </w:pPr>
            <w:r>
              <w:rPr>
                <w:sz w:val="21"/>
                <w:szCs w:val="21"/>
                <w:highlight w:val="none"/>
              </w:rPr>
              <w:t>石油类</w:t>
            </w:r>
          </w:p>
        </w:tc>
        <w:tc>
          <w:tcPr>
            <w:tcW w:w="409" w:type="pct"/>
            <w:noWrap w:val="0"/>
            <w:vAlign w:val="center"/>
          </w:tcPr>
          <w:p w14:paraId="3B6B812D">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noWrap w:val="0"/>
            <w:vAlign w:val="center"/>
          </w:tcPr>
          <w:p w14:paraId="721CE140">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noWrap w:val="0"/>
            <w:vAlign w:val="center"/>
          </w:tcPr>
          <w:p w14:paraId="09BDCC7C">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2C11BC23">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4D2C851F">
            <w:pPr>
              <w:kinsoku w:val="0"/>
              <w:overflowPunct w:val="0"/>
              <w:autoSpaceDE w:val="0"/>
              <w:autoSpaceDN w:val="0"/>
              <w:adjustRightInd w:val="0"/>
              <w:jc w:val="center"/>
              <w:rPr>
                <w:sz w:val="21"/>
                <w:szCs w:val="21"/>
                <w:highlight w:val="none"/>
              </w:rPr>
            </w:pPr>
            <w:r>
              <w:rPr>
                <w:sz w:val="21"/>
                <w:szCs w:val="21"/>
                <w:highlight w:val="none"/>
              </w:rPr>
              <w:t>0.06L</w:t>
            </w:r>
          </w:p>
        </w:tc>
        <w:tc>
          <w:tcPr>
            <w:tcW w:w="482" w:type="pct"/>
            <w:noWrap w:val="0"/>
            <w:vAlign w:val="center"/>
          </w:tcPr>
          <w:p w14:paraId="0E5ACD61">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761E26A0">
            <w:pPr>
              <w:kinsoku w:val="0"/>
              <w:overflowPunct w:val="0"/>
              <w:autoSpaceDE w:val="0"/>
              <w:autoSpaceDN w:val="0"/>
              <w:adjustRightInd w:val="0"/>
              <w:jc w:val="center"/>
              <w:rPr>
                <w:sz w:val="21"/>
                <w:szCs w:val="21"/>
                <w:highlight w:val="none"/>
              </w:rPr>
            </w:pPr>
            <w:r>
              <w:rPr>
                <w:sz w:val="21"/>
                <w:szCs w:val="21"/>
                <w:highlight w:val="none"/>
              </w:rPr>
              <w:t>0.06L</w:t>
            </w:r>
          </w:p>
        </w:tc>
        <w:tc>
          <w:tcPr>
            <w:tcW w:w="535" w:type="pct"/>
            <w:noWrap w:val="0"/>
            <w:vAlign w:val="center"/>
          </w:tcPr>
          <w:p w14:paraId="6A56039A">
            <w:pPr>
              <w:kinsoku w:val="0"/>
              <w:overflowPunct w:val="0"/>
              <w:autoSpaceDE w:val="0"/>
              <w:autoSpaceDN w:val="0"/>
              <w:adjustRightInd w:val="0"/>
              <w:jc w:val="center"/>
              <w:rPr>
                <w:sz w:val="21"/>
                <w:szCs w:val="21"/>
                <w:highlight w:val="none"/>
              </w:rPr>
            </w:pPr>
            <w:r>
              <w:rPr>
                <w:sz w:val="21"/>
                <w:szCs w:val="21"/>
                <w:highlight w:val="none"/>
              </w:rPr>
              <w:t>0.06L</w:t>
            </w:r>
          </w:p>
        </w:tc>
        <w:tc>
          <w:tcPr>
            <w:tcW w:w="453" w:type="pct"/>
            <w:noWrap w:val="0"/>
            <w:vAlign w:val="center"/>
          </w:tcPr>
          <w:p w14:paraId="69F58795">
            <w:pPr>
              <w:kinsoku w:val="0"/>
              <w:overflowPunct w:val="0"/>
              <w:autoSpaceDE w:val="0"/>
              <w:autoSpaceDN w:val="0"/>
              <w:adjustRightInd w:val="0"/>
              <w:jc w:val="center"/>
              <w:rPr>
                <w:sz w:val="21"/>
                <w:szCs w:val="21"/>
                <w:highlight w:val="none"/>
              </w:rPr>
            </w:pPr>
            <w:r>
              <w:rPr>
                <w:sz w:val="21"/>
                <w:szCs w:val="21"/>
                <w:highlight w:val="none"/>
              </w:rPr>
              <w:t>10</w:t>
            </w:r>
          </w:p>
        </w:tc>
      </w:tr>
      <w:tr w14:paraId="22108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2" w:hRule="exact"/>
        </w:trPr>
        <w:tc>
          <w:tcPr>
            <w:tcW w:w="930" w:type="pct"/>
            <w:noWrap w:val="0"/>
            <w:vAlign w:val="center"/>
          </w:tcPr>
          <w:p w14:paraId="6937B288">
            <w:pPr>
              <w:kinsoku w:val="0"/>
              <w:overflowPunct w:val="0"/>
              <w:autoSpaceDE w:val="0"/>
              <w:autoSpaceDN w:val="0"/>
              <w:adjustRightInd w:val="0"/>
              <w:jc w:val="center"/>
              <w:rPr>
                <w:sz w:val="21"/>
                <w:szCs w:val="21"/>
                <w:highlight w:val="none"/>
              </w:rPr>
            </w:pPr>
            <w:r>
              <w:rPr>
                <w:sz w:val="21"/>
                <w:szCs w:val="21"/>
                <w:highlight w:val="none"/>
              </w:rPr>
              <w:t>动植物油</w:t>
            </w:r>
          </w:p>
        </w:tc>
        <w:tc>
          <w:tcPr>
            <w:tcW w:w="409" w:type="pct"/>
            <w:noWrap w:val="0"/>
            <w:vAlign w:val="center"/>
          </w:tcPr>
          <w:p w14:paraId="1497700C">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noWrap w:val="0"/>
            <w:vAlign w:val="center"/>
          </w:tcPr>
          <w:p w14:paraId="0470351B">
            <w:pPr>
              <w:kinsoku w:val="0"/>
              <w:overflowPunct w:val="0"/>
              <w:autoSpaceDE w:val="0"/>
              <w:autoSpaceDN w:val="0"/>
              <w:adjustRightInd w:val="0"/>
              <w:jc w:val="center"/>
              <w:rPr>
                <w:sz w:val="21"/>
                <w:szCs w:val="21"/>
                <w:highlight w:val="none"/>
              </w:rPr>
            </w:pPr>
            <w:r>
              <w:rPr>
                <w:sz w:val="21"/>
                <w:szCs w:val="21"/>
                <w:highlight w:val="none"/>
              </w:rPr>
              <w:t>0.06L</w:t>
            </w:r>
          </w:p>
        </w:tc>
        <w:tc>
          <w:tcPr>
            <w:tcW w:w="428" w:type="pct"/>
            <w:noWrap w:val="0"/>
            <w:vAlign w:val="center"/>
          </w:tcPr>
          <w:p w14:paraId="61F563B6">
            <w:pPr>
              <w:kinsoku w:val="0"/>
              <w:overflowPunct w:val="0"/>
              <w:autoSpaceDE w:val="0"/>
              <w:autoSpaceDN w:val="0"/>
              <w:adjustRightInd w:val="0"/>
              <w:jc w:val="center"/>
              <w:rPr>
                <w:sz w:val="21"/>
                <w:szCs w:val="21"/>
                <w:highlight w:val="none"/>
              </w:rPr>
            </w:pPr>
            <w:r>
              <w:rPr>
                <w:sz w:val="21"/>
                <w:szCs w:val="21"/>
                <w:highlight w:val="none"/>
              </w:rPr>
              <w:t>0.06L</w:t>
            </w:r>
          </w:p>
        </w:tc>
        <w:tc>
          <w:tcPr>
            <w:tcW w:w="481" w:type="pct"/>
            <w:noWrap w:val="0"/>
            <w:vAlign w:val="center"/>
          </w:tcPr>
          <w:p w14:paraId="7E78D923">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6FFFB75E">
            <w:pPr>
              <w:kinsoku w:val="0"/>
              <w:overflowPunct w:val="0"/>
              <w:autoSpaceDE w:val="0"/>
              <w:autoSpaceDN w:val="0"/>
              <w:adjustRightInd w:val="0"/>
              <w:jc w:val="center"/>
              <w:rPr>
                <w:sz w:val="21"/>
                <w:szCs w:val="21"/>
                <w:highlight w:val="none"/>
              </w:rPr>
            </w:pPr>
            <w:r>
              <w:rPr>
                <w:sz w:val="21"/>
                <w:szCs w:val="21"/>
                <w:highlight w:val="none"/>
              </w:rPr>
              <w:t>0.06L</w:t>
            </w:r>
          </w:p>
        </w:tc>
        <w:tc>
          <w:tcPr>
            <w:tcW w:w="482" w:type="pct"/>
            <w:noWrap w:val="0"/>
            <w:vAlign w:val="center"/>
          </w:tcPr>
          <w:p w14:paraId="25178B12">
            <w:pPr>
              <w:kinsoku w:val="0"/>
              <w:overflowPunct w:val="0"/>
              <w:autoSpaceDE w:val="0"/>
              <w:autoSpaceDN w:val="0"/>
              <w:adjustRightInd w:val="0"/>
              <w:jc w:val="center"/>
              <w:rPr>
                <w:sz w:val="21"/>
                <w:szCs w:val="21"/>
                <w:highlight w:val="none"/>
              </w:rPr>
            </w:pPr>
            <w:r>
              <w:rPr>
                <w:sz w:val="21"/>
                <w:szCs w:val="21"/>
                <w:highlight w:val="none"/>
              </w:rPr>
              <w:t>0.06L</w:t>
            </w:r>
          </w:p>
        </w:tc>
        <w:tc>
          <w:tcPr>
            <w:tcW w:w="427" w:type="pct"/>
            <w:noWrap w:val="0"/>
            <w:vAlign w:val="center"/>
          </w:tcPr>
          <w:p w14:paraId="42D0096E">
            <w:pPr>
              <w:kinsoku w:val="0"/>
              <w:overflowPunct w:val="0"/>
              <w:autoSpaceDE w:val="0"/>
              <w:autoSpaceDN w:val="0"/>
              <w:adjustRightInd w:val="0"/>
              <w:jc w:val="center"/>
              <w:rPr>
                <w:sz w:val="21"/>
                <w:szCs w:val="21"/>
                <w:highlight w:val="none"/>
              </w:rPr>
            </w:pPr>
            <w:r>
              <w:rPr>
                <w:sz w:val="21"/>
                <w:szCs w:val="21"/>
                <w:highlight w:val="none"/>
              </w:rPr>
              <w:t>0.06L</w:t>
            </w:r>
          </w:p>
        </w:tc>
        <w:tc>
          <w:tcPr>
            <w:tcW w:w="535" w:type="pct"/>
            <w:noWrap w:val="0"/>
            <w:vAlign w:val="center"/>
          </w:tcPr>
          <w:p w14:paraId="6B766BF6">
            <w:pPr>
              <w:kinsoku w:val="0"/>
              <w:overflowPunct w:val="0"/>
              <w:autoSpaceDE w:val="0"/>
              <w:autoSpaceDN w:val="0"/>
              <w:adjustRightInd w:val="0"/>
              <w:jc w:val="center"/>
              <w:rPr>
                <w:sz w:val="21"/>
                <w:szCs w:val="21"/>
                <w:highlight w:val="none"/>
              </w:rPr>
            </w:pPr>
            <w:r>
              <w:rPr>
                <w:sz w:val="21"/>
                <w:szCs w:val="21"/>
                <w:highlight w:val="none"/>
              </w:rPr>
              <w:t>0.06L</w:t>
            </w:r>
          </w:p>
        </w:tc>
        <w:tc>
          <w:tcPr>
            <w:tcW w:w="453" w:type="pct"/>
            <w:noWrap w:val="0"/>
            <w:vAlign w:val="center"/>
          </w:tcPr>
          <w:p w14:paraId="564BDBC8">
            <w:pPr>
              <w:kinsoku w:val="0"/>
              <w:overflowPunct w:val="0"/>
              <w:autoSpaceDE w:val="0"/>
              <w:autoSpaceDN w:val="0"/>
              <w:adjustRightInd w:val="0"/>
              <w:jc w:val="center"/>
              <w:rPr>
                <w:sz w:val="21"/>
                <w:szCs w:val="21"/>
                <w:highlight w:val="none"/>
              </w:rPr>
            </w:pPr>
            <w:r>
              <w:rPr>
                <w:sz w:val="21"/>
                <w:szCs w:val="21"/>
                <w:highlight w:val="none"/>
              </w:rPr>
              <w:t>20</w:t>
            </w:r>
          </w:p>
        </w:tc>
      </w:tr>
      <w:tr w14:paraId="56F3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exact"/>
        </w:trPr>
        <w:tc>
          <w:tcPr>
            <w:tcW w:w="930" w:type="pct"/>
            <w:noWrap w:val="0"/>
            <w:vAlign w:val="center"/>
          </w:tcPr>
          <w:p w14:paraId="3EEB1F13">
            <w:pPr>
              <w:kinsoku w:val="0"/>
              <w:overflowPunct w:val="0"/>
              <w:autoSpaceDE w:val="0"/>
              <w:autoSpaceDN w:val="0"/>
              <w:adjustRightInd w:val="0"/>
              <w:jc w:val="center"/>
              <w:rPr>
                <w:sz w:val="21"/>
                <w:szCs w:val="21"/>
                <w:highlight w:val="none"/>
              </w:rPr>
            </w:pPr>
            <w:r>
              <w:rPr>
                <w:sz w:val="21"/>
                <w:szCs w:val="21"/>
                <w:highlight w:val="none"/>
              </w:rPr>
              <w:t>磷酸盐</w:t>
            </w:r>
          </w:p>
        </w:tc>
        <w:tc>
          <w:tcPr>
            <w:tcW w:w="409" w:type="pct"/>
            <w:noWrap w:val="0"/>
            <w:vAlign w:val="center"/>
          </w:tcPr>
          <w:p w14:paraId="367F2CA4">
            <w:pPr>
              <w:kinsoku w:val="0"/>
              <w:overflowPunct w:val="0"/>
              <w:autoSpaceDE w:val="0"/>
              <w:autoSpaceDN w:val="0"/>
              <w:adjustRightInd w:val="0"/>
              <w:jc w:val="center"/>
              <w:rPr>
                <w:sz w:val="21"/>
                <w:szCs w:val="21"/>
                <w:highlight w:val="none"/>
              </w:rPr>
            </w:pPr>
            <w:r>
              <w:rPr>
                <w:sz w:val="21"/>
                <w:szCs w:val="21"/>
                <w:highlight w:val="none"/>
              </w:rPr>
              <w:t>0.18</w:t>
            </w:r>
          </w:p>
        </w:tc>
        <w:tc>
          <w:tcPr>
            <w:tcW w:w="428" w:type="pct"/>
            <w:noWrap w:val="0"/>
            <w:vAlign w:val="center"/>
          </w:tcPr>
          <w:p w14:paraId="1FDD2391">
            <w:pPr>
              <w:kinsoku w:val="0"/>
              <w:overflowPunct w:val="0"/>
              <w:autoSpaceDE w:val="0"/>
              <w:autoSpaceDN w:val="0"/>
              <w:adjustRightInd w:val="0"/>
              <w:jc w:val="center"/>
              <w:rPr>
                <w:sz w:val="21"/>
                <w:szCs w:val="21"/>
                <w:highlight w:val="none"/>
              </w:rPr>
            </w:pPr>
            <w:r>
              <w:rPr>
                <w:sz w:val="21"/>
                <w:szCs w:val="21"/>
                <w:highlight w:val="none"/>
              </w:rPr>
              <w:t>0.04</w:t>
            </w:r>
          </w:p>
        </w:tc>
        <w:tc>
          <w:tcPr>
            <w:tcW w:w="428" w:type="pct"/>
            <w:noWrap w:val="0"/>
            <w:vAlign w:val="center"/>
          </w:tcPr>
          <w:p w14:paraId="6A6C1548">
            <w:pPr>
              <w:kinsoku w:val="0"/>
              <w:overflowPunct w:val="0"/>
              <w:autoSpaceDE w:val="0"/>
              <w:autoSpaceDN w:val="0"/>
              <w:adjustRightInd w:val="0"/>
              <w:jc w:val="center"/>
              <w:rPr>
                <w:sz w:val="21"/>
                <w:szCs w:val="21"/>
                <w:highlight w:val="none"/>
              </w:rPr>
            </w:pPr>
            <w:r>
              <w:rPr>
                <w:sz w:val="21"/>
                <w:szCs w:val="21"/>
                <w:highlight w:val="none"/>
              </w:rPr>
              <w:t>0.09</w:t>
            </w:r>
          </w:p>
        </w:tc>
        <w:tc>
          <w:tcPr>
            <w:tcW w:w="481" w:type="pct"/>
            <w:noWrap w:val="0"/>
            <w:vAlign w:val="center"/>
          </w:tcPr>
          <w:p w14:paraId="7A2A0FE0">
            <w:pPr>
              <w:kinsoku w:val="0"/>
              <w:overflowPunct w:val="0"/>
              <w:autoSpaceDE w:val="0"/>
              <w:autoSpaceDN w:val="0"/>
              <w:adjustRightInd w:val="0"/>
              <w:jc w:val="center"/>
              <w:rPr>
                <w:sz w:val="21"/>
                <w:szCs w:val="21"/>
                <w:highlight w:val="none"/>
              </w:rPr>
            </w:pPr>
            <w:r>
              <w:rPr>
                <w:sz w:val="21"/>
                <w:szCs w:val="21"/>
                <w:highlight w:val="none"/>
              </w:rPr>
              <w:t>0.03</w:t>
            </w:r>
          </w:p>
        </w:tc>
        <w:tc>
          <w:tcPr>
            <w:tcW w:w="427" w:type="pct"/>
            <w:noWrap w:val="0"/>
            <w:vAlign w:val="center"/>
          </w:tcPr>
          <w:p w14:paraId="1BE089B2">
            <w:pPr>
              <w:kinsoku w:val="0"/>
              <w:overflowPunct w:val="0"/>
              <w:autoSpaceDE w:val="0"/>
              <w:autoSpaceDN w:val="0"/>
              <w:adjustRightInd w:val="0"/>
              <w:jc w:val="center"/>
              <w:rPr>
                <w:sz w:val="21"/>
                <w:szCs w:val="21"/>
                <w:highlight w:val="none"/>
              </w:rPr>
            </w:pPr>
            <w:r>
              <w:rPr>
                <w:sz w:val="21"/>
                <w:szCs w:val="21"/>
                <w:highlight w:val="none"/>
              </w:rPr>
              <w:t>0.08</w:t>
            </w:r>
          </w:p>
        </w:tc>
        <w:tc>
          <w:tcPr>
            <w:tcW w:w="482" w:type="pct"/>
            <w:noWrap w:val="0"/>
            <w:vAlign w:val="center"/>
          </w:tcPr>
          <w:p w14:paraId="13260A4E">
            <w:pPr>
              <w:kinsoku w:val="0"/>
              <w:overflowPunct w:val="0"/>
              <w:autoSpaceDE w:val="0"/>
              <w:autoSpaceDN w:val="0"/>
              <w:adjustRightInd w:val="0"/>
              <w:jc w:val="center"/>
              <w:rPr>
                <w:sz w:val="21"/>
                <w:szCs w:val="21"/>
                <w:highlight w:val="none"/>
              </w:rPr>
            </w:pPr>
            <w:r>
              <w:rPr>
                <w:sz w:val="21"/>
                <w:szCs w:val="21"/>
                <w:highlight w:val="none"/>
              </w:rPr>
              <w:t>0.06</w:t>
            </w:r>
          </w:p>
        </w:tc>
        <w:tc>
          <w:tcPr>
            <w:tcW w:w="427" w:type="pct"/>
            <w:noWrap w:val="0"/>
            <w:vAlign w:val="center"/>
          </w:tcPr>
          <w:p w14:paraId="2AF7D628">
            <w:pPr>
              <w:kinsoku w:val="0"/>
              <w:overflowPunct w:val="0"/>
              <w:autoSpaceDE w:val="0"/>
              <w:autoSpaceDN w:val="0"/>
              <w:adjustRightInd w:val="0"/>
              <w:jc w:val="center"/>
              <w:rPr>
                <w:sz w:val="21"/>
                <w:szCs w:val="21"/>
                <w:highlight w:val="none"/>
              </w:rPr>
            </w:pPr>
            <w:r>
              <w:rPr>
                <w:sz w:val="21"/>
                <w:szCs w:val="21"/>
                <w:highlight w:val="none"/>
              </w:rPr>
              <w:t>0.07</w:t>
            </w:r>
          </w:p>
        </w:tc>
        <w:tc>
          <w:tcPr>
            <w:tcW w:w="535" w:type="pct"/>
            <w:noWrap w:val="0"/>
            <w:vAlign w:val="center"/>
          </w:tcPr>
          <w:p w14:paraId="68B47908">
            <w:pPr>
              <w:kinsoku w:val="0"/>
              <w:overflowPunct w:val="0"/>
              <w:autoSpaceDE w:val="0"/>
              <w:autoSpaceDN w:val="0"/>
              <w:adjustRightInd w:val="0"/>
              <w:jc w:val="center"/>
              <w:rPr>
                <w:sz w:val="21"/>
                <w:szCs w:val="21"/>
                <w:highlight w:val="none"/>
              </w:rPr>
            </w:pPr>
            <w:r>
              <w:rPr>
                <w:sz w:val="21"/>
                <w:szCs w:val="21"/>
                <w:highlight w:val="none"/>
              </w:rPr>
              <w:t>0.07</w:t>
            </w:r>
          </w:p>
        </w:tc>
        <w:tc>
          <w:tcPr>
            <w:tcW w:w="453" w:type="pct"/>
            <w:noWrap w:val="0"/>
            <w:vAlign w:val="center"/>
          </w:tcPr>
          <w:p w14:paraId="104718B0">
            <w:pPr>
              <w:kinsoku w:val="0"/>
              <w:overflowPunct w:val="0"/>
              <w:autoSpaceDE w:val="0"/>
              <w:autoSpaceDN w:val="0"/>
              <w:adjustRightInd w:val="0"/>
              <w:jc w:val="center"/>
              <w:rPr>
                <w:sz w:val="21"/>
                <w:szCs w:val="21"/>
                <w:highlight w:val="none"/>
              </w:rPr>
            </w:pPr>
            <w:r>
              <w:rPr>
                <w:sz w:val="21"/>
                <w:szCs w:val="21"/>
                <w:highlight w:val="none"/>
              </w:rPr>
              <w:t>0.5</w:t>
            </w:r>
          </w:p>
        </w:tc>
      </w:tr>
      <w:tr w14:paraId="3174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exact"/>
        </w:trPr>
        <w:tc>
          <w:tcPr>
            <w:tcW w:w="930" w:type="pct"/>
            <w:noWrap w:val="0"/>
            <w:vAlign w:val="center"/>
          </w:tcPr>
          <w:p w14:paraId="0EA61913">
            <w:pPr>
              <w:kinsoku w:val="0"/>
              <w:overflowPunct w:val="0"/>
              <w:autoSpaceDE w:val="0"/>
              <w:autoSpaceDN w:val="0"/>
              <w:adjustRightInd w:val="0"/>
              <w:jc w:val="center"/>
              <w:rPr>
                <w:sz w:val="21"/>
                <w:szCs w:val="21"/>
                <w:highlight w:val="none"/>
              </w:rPr>
            </w:pPr>
            <w:r>
              <w:rPr>
                <w:sz w:val="21"/>
                <w:szCs w:val="21"/>
                <w:highlight w:val="none"/>
              </w:rPr>
              <w:t>粪大肠菌群（MP</w:t>
            </w:r>
            <w:r>
              <w:rPr>
                <w:spacing w:val="-1"/>
                <w:sz w:val="21"/>
                <w:szCs w:val="21"/>
                <w:highlight w:val="none"/>
              </w:rPr>
              <w:t>N</w:t>
            </w:r>
            <w:r>
              <w:rPr>
                <w:sz w:val="21"/>
                <w:szCs w:val="21"/>
                <w:highlight w:val="none"/>
              </w:rPr>
              <w:t>/</w:t>
            </w:r>
            <w:r>
              <w:rPr>
                <w:spacing w:val="-3"/>
                <w:sz w:val="21"/>
                <w:szCs w:val="21"/>
                <w:highlight w:val="none"/>
              </w:rPr>
              <w:t>L</w:t>
            </w:r>
            <w:r>
              <w:rPr>
                <w:sz w:val="21"/>
                <w:szCs w:val="21"/>
                <w:highlight w:val="none"/>
              </w:rPr>
              <w:t>）</w:t>
            </w:r>
          </w:p>
        </w:tc>
        <w:tc>
          <w:tcPr>
            <w:tcW w:w="409" w:type="pct"/>
            <w:noWrap w:val="0"/>
            <w:vAlign w:val="center"/>
          </w:tcPr>
          <w:p w14:paraId="316F2A21">
            <w:pPr>
              <w:kinsoku w:val="0"/>
              <w:overflowPunct w:val="0"/>
              <w:autoSpaceDE w:val="0"/>
              <w:autoSpaceDN w:val="0"/>
              <w:adjustRightInd w:val="0"/>
              <w:jc w:val="center"/>
              <w:rPr>
                <w:sz w:val="21"/>
                <w:szCs w:val="21"/>
                <w:highlight w:val="none"/>
              </w:rPr>
            </w:pPr>
            <w:r>
              <w:rPr>
                <w:sz w:val="21"/>
                <w:szCs w:val="21"/>
                <w:highlight w:val="none"/>
              </w:rPr>
              <w:t>＜20</w:t>
            </w:r>
          </w:p>
        </w:tc>
        <w:tc>
          <w:tcPr>
            <w:tcW w:w="428" w:type="pct"/>
            <w:noWrap w:val="0"/>
            <w:vAlign w:val="center"/>
          </w:tcPr>
          <w:p w14:paraId="010BA044">
            <w:pPr>
              <w:kinsoku w:val="0"/>
              <w:overflowPunct w:val="0"/>
              <w:autoSpaceDE w:val="0"/>
              <w:autoSpaceDN w:val="0"/>
              <w:adjustRightInd w:val="0"/>
              <w:jc w:val="center"/>
              <w:rPr>
                <w:sz w:val="21"/>
                <w:szCs w:val="21"/>
                <w:highlight w:val="none"/>
              </w:rPr>
            </w:pPr>
            <w:r>
              <w:rPr>
                <w:sz w:val="21"/>
                <w:szCs w:val="21"/>
                <w:highlight w:val="none"/>
              </w:rPr>
              <w:t>＜20</w:t>
            </w:r>
          </w:p>
        </w:tc>
        <w:tc>
          <w:tcPr>
            <w:tcW w:w="428" w:type="pct"/>
            <w:noWrap w:val="0"/>
            <w:vAlign w:val="center"/>
          </w:tcPr>
          <w:p w14:paraId="3B78F160">
            <w:pPr>
              <w:kinsoku w:val="0"/>
              <w:overflowPunct w:val="0"/>
              <w:autoSpaceDE w:val="0"/>
              <w:autoSpaceDN w:val="0"/>
              <w:adjustRightInd w:val="0"/>
              <w:jc w:val="center"/>
              <w:rPr>
                <w:sz w:val="21"/>
                <w:szCs w:val="21"/>
                <w:highlight w:val="none"/>
              </w:rPr>
            </w:pPr>
            <w:r>
              <w:rPr>
                <w:sz w:val="21"/>
                <w:szCs w:val="21"/>
                <w:highlight w:val="none"/>
              </w:rPr>
              <w:t>＜20</w:t>
            </w:r>
          </w:p>
        </w:tc>
        <w:tc>
          <w:tcPr>
            <w:tcW w:w="481" w:type="pct"/>
            <w:noWrap w:val="0"/>
            <w:vAlign w:val="center"/>
          </w:tcPr>
          <w:p w14:paraId="0F19DF4C">
            <w:pPr>
              <w:kinsoku w:val="0"/>
              <w:overflowPunct w:val="0"/>
              <w:autoSpaceDE w:val="0"/>
              <w:autoSpaceDN w:val="0"/>
              <w:adjustRightInd w:val="0"/>
              <w:jc w:val="center"/>
              <w:rPr>
                <w:sz w:val="21"/>
                <w:szCs w:val="21"/>
                <w:highlight w:val="none"/>
              </w:rPr>
            </w:pPr>
            <w:r>
              <w:rPr>
                <w:sz w:val="21"/>
                <w:szCs w:val="21"/>
                <w:highlight w:val="none"/>
              </w:rPr>
              <w:t>＜20</w:t>
            </w:r>
          </w:p>
        </w:tc>
        <w:tc>
          <w:tcPr>
            <w:tcW w:w="427" w:type="pct"/>
            <w:noWrap w:val="0"/>
            <w:vAlign w:val="center"/>
          </w:tcPr>
          <w:p w14:paraId="22D32466">
            <w:pPr>
              <w:kinsoku w:val="0"/>
              <w:overflowPunct w:val="0"/>
              <w:autoSpaceDE w:val="0"/>
              <w:autoSpaceDN w:val="0"/>
              <w:adjustRightInd w:val="0"/>
              <w:jc w:val="center"/>
              <w:rPr>
                <w:sz w:val="21"/>
                <w:szCs w:val="21"/>
                <w:highlight w:val="none"/>
              </w:rPr>
            </w:pPr>
            <w:r>
              <w:rPr>
                <w:sz w:val="21"/>
                <w:szCs w:val="21"/>
                <w:highlight w:val="none"/>
              </w:rPr>
              <w:t>＜20</w:t>
            </w:r>
          </w:p>
        </w:tc>
        <w:tc>
          <w:tcPr>
            <w:tcW w:w="482" w:type="pct"/>
            <w:noWrap w:val="0"/>
            <w:vAlign w:val="center"/>
          </w:tcPr>
          <w:p w14:paraId="0B159188">
            <w:pPr>
              <w:kinsoku w:val="0"/>
              <w:overflowPunct w:val="0"/>
              <w:autoSpaceDE w:val="0"/>
              <w:autoSpaceDN w:val="0"/>
              <w:adjustRightInd w:val="0"/>
              <w:jc w:val="center"/>
              <w:rPr>
                <w:sz w:val="21"/>
                <w:szCs w:val="21"/>
                <w:highlight w:val="none"/>
              </w:rPr>
            </w:pPr>
            <w:r>
              <w:rPr>
                <w:sz w:val="21"/>
                <w:szCs w:val="21"/>
                <w:highlight w:val="none"/>
              </w:rPr>
              <w:t>＜20</w:t>
            </w:r>
          </w:p>
        </w:tc>
        <w:tc>
          <w:tcPr>
            <w:tcW w:w="427" w:type="pct"/>
            <w:noWrap w:val="0"/>
            <w:vAlign w:val="center"/>
          </w:tcPr>
          <w:p w14:paraId="6860788E">
            <w:pPr>
              <w:kinsoku w:val="0"/>
              <w:overflowPunct w:val="0"/>
              <w:autoSpaceDE w:val="0"/>
              <w:autoSpaceDN w:val="0"/>
              <w:adjustRightInd w:val="0"/>
              <w:jc w:val="center"/>
              <w:rPr>
                <w:sz w:val="21"/>
                <w:szCs w:val="21"/>
                <w:highlight w:val="none"/>
              </w:rPr>
            </w:pPr>
            <w:r>
              <w:rPr>
                <w:sz w:val="21"/>
                <w:szCs w:val="21"/>
                <w:highlight w:val="none"/>
              </w:rPr>
              <w:t>＜20</w:t>
            </w:r>
          </w:p>
        </w:tc>
        <w:tc>
          <w:tcPr>
            <w:tcW w:w="535" w:type="pct"/>
            <w:noWrap w:val="0"/>
            <w:vAlign w:val="center"/>
          </w:tcPr>
          <w:p w14:paraId="51C72105">
            <w:pPr>
              <w:kinsoku w:val="0"/>
              <w:overflowPunct w:val="0"/>
              <w:autoSpaceDE w:val="0"/>
              <w:autoSpaceDN w:val="0"/>
              <w:adjustRightInd w:val="0"/>
              <w:jc w:val="center"/>
              <w:rPr>
                <w:sz w:val="21"/>
                <w:szCs w:val="21"/>
                <w:highlight w:val="none"/>
              </w:rPr>
            </w:pPr>
            <w:r>
              <w:rPr>
                <w:sz w:val="21"/>
                <w:szCs w:val="21"/>
                <w:highlight w:val="none"/>
              </w:rPr>
              <w:t>＜20</w:t>
            </w:r>
          </w:p>
        </w:tc>
        <w:tc>
          <w:tcPr>
            <w:tcW w:w="453" w:type="pct"/>
            <w:noWrap w:val="0"/>
            <w:vAlign w:val="center"/>
          </w:tcPr>
          <w:p w14:paraId="2A3B3F52">
            <w:pPr>
              <w:kinsoku w:val="0"/>
              <w:overflowPunct w:val="0"/>
              <w:autoSpaceDE w:val="0"/>
              <w:autoSpaceDN w:val="0"/>
              <w:adjustRightInd w:val="0"/>
              <w:jc w:val="center"/>
              <w:rPr>
                <w:sz w:val="21"/>
                <w:szCs w:val="21"/>
                <w:highlight w:val="none"/>
              </w:rPr>
            </w:pPr>
            <w:r>
              <w:rPr>
                <w:sz w:val="21"/>
                <w:szCs w:val="21"/>
                <w:highlight w:val="none"/>
              </w:rPr>
              <w:t>100</w:t>
            </w:r>
          </w:p>
        </w:tc>
      </w:tr>
      <w:tr w14:paraId="1045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exact"/>
        </w:trPr>
        <w:tc>
          <w:tcPr>
            <w:tcW w:w="930" w:type="pct"/>
            <w:noWrap w:val="0"/>
            <w:vAlign w:val="center"/>
          </w:tcPr>
          <w:p w14:paraId="44658A85">
            <w:pPr>
              <w:kinsoku w:val="0"/>
              <w:overflowPunct w:val="0"/>
              <w:autoSpaceDE w:val="0"/>
              <w:autoSpaceDN w:val="0"/>
              <w:adjustRightInd w:val="0"/>
              <w:jc w:val="center"/>
              <w:rPr>
                <w:sz w:val="21"/>
                <w:szCs w:val="21"/>
                <w:highlight w:val="none"/>
              </w:rPr>
            </w:pPr>
            <w:r>
              <w:rPr>
                <w:sz w:val="21"/>
                <w:szCs w:val="21"/>
                <w:highlight w:val="none"/>
              </w:rPr>
              <w:t>电导率（</w:t>
            </w:r>
            <w:r>
              <w:rPr>
                <w:spacing w:val="-2"/>
                <w:sz w:val="21"/>
                <w:szCs w:val="21"/>
                <w:highlight w:val="none"/>
              </w:rPr>
              <w:t>μ</w:t>
            </w:r>
            <w:r>
              <w:rPr>
                <w:sz w:val="21"/>
                <w:szCs w:val="21"/>
                <w:highlight w:val="none"/>
              </w:rPr>
              <w:t>s/</w:t>
            </w:r>
            <w:r>
              <w:rPr>
                <w:spacing w:val="-1"/>
                <w:sz w:val="21"/>
                <w:szCs w:val="21"/>
                <w:highlight w:val="none"/>
              </w:rPr>
              <w:t>c</w:t>
            </w:r>
            <w:r>
              <w:rPr>
                <w:sz w:val="21"/>
                <w:szCs w:val="21"/>
                <w:highlight w:val="none"/>
              </w:rPr>
              <w:t>m）</w:t>
            </w:r>
          </w:p>
        </w:tc>
        <w:tc>
          <w:tcPr>
            <w:tcW w:w="409" w:type="pct"/>
            <w:noWrap w:val="0"/>
            <w:vAlign w:val="center"/>
          </w:tcPr>
          <w:p w14:paraId="07E4B928">
            <w:pPr>
              <w:kinsoku w:val="0"/>
              <w:overflowPunct w:val="0"/>
              <w:autoSpaceDE w:val="0"/>
              <w:autoSpaceDN w:val="0"/>
              <w:adjustRightInd w:val="0"/>
              <w:jc w:val="center"/>
              <w:rPr>
                <w:sz w:val="21"/>
                <w:szCs w:val="21"/>
                <w:highlight w:val="none"/>
              </w:rPr>
            </w:pPr>
            <w:r>
              <w:rPr>
                <w:sz w:val="21"/>
                <w:szCs w:val="21"/>
                <w:highlight w:val="none"/>
              </w:rPr>
              <w:t>405</w:t>
            </w:r>
          </w:p>
        </w:tc>
        <w:tc>
          <w:tcPr>
            <w:tcW w:w="428" w:type="pct"/>
            <w:noWrap w:val="0"/>
            <w:vAlign w:val="center"/>
          </w:tcPr>
          <w:p w14:paraId="1886454F">
            <w:pPr>
              <w:kinsoku w:val="0"/>
              <w:overflowPunct w:val="0"/>
              <w:autoSpaceDE w:val="0"/>
              <w:autoSpaceDN w:val="0"/>
              <w:adjustRightInd w:val="0"/>
              <w:jc w:val="center"/>
              <w:rPr>
                <w:sz w:val="21"/>
                <w:szCs w:val="21"/>
                <w:highlight w:val="none"/>
              </w:rPr>
            </w:pPr>
            <w:r>
              <w:rPr>
                <w:sz w:val="21"/>
                <w:szCs w:val="21"/>
                <w:highlight w:val="none"/>
              </w:rPr>
              <w:t>403</w:t>
            </w:r>
          </w:p>
        </w:tc>
        <w:tc>
          <w:tcPr>
            <w:tcW w:w="428" w:type="pct"/>
            <w:noWrap w:val="0"/>
            <w:vAlign w:val="center"/>
          </w:tcPr>
          <w:p w14:paraId="21E43424">
            <w:pPr>
              <w:kinsoku w:val="0"/>
              <w:overflowPunct w:val="0"/>
              <w:autoSpaceDE w:val="0"/>
              <w:autoSpaceDN w:val="0"/>
              <w:adjustRightInd w:val="0"/>
              <w:jc w:val="center"/>
              <w:rPr>
                <w:sz w:val="21"/>
                <w:szCs w:val="21"/>
                <w:highlight w:val="none"/>
              </w:rPr>
            </w:pPr>
            <w:r>
              <w:rPr>
                <w:sz w:val="21"/>
                <w:szCs w:val="21"/>
                <w:highlight w:val="none"/>
              </w:rPr>
              <w:t>444</w:t>
            </w:r>
          </w:p>
        </w:tc>
        <w:tc>
          <w:tcPr>
            <w:tcW w:w="481" w:type="pct"/>
            <w:noWrap w:val="0"/>
            <w:vAlign w:val="center"/>
          </w:tcPr>
          <w:p w14:paraId="1C555E73">
            <w:pPr>
              <w:kinsoku w:val="0"/>
              <w:overflowPunct w:val="0"/>
              <w:autoSpaceDE w:val="0"/>
              <w:autoSpaceDN w:val="0"/>
              <w:adjustRightInd w:val="0"/>
              <w:jc w:val="center"/>
              <w:rPr>
                <w:sz w:val="21"/>
                <w:szCs w:val="21"/>
                <w:highlight w:val="none"/>
              </w:rPr>
            </w:pPr>
            <w:r>
              <w:rPr>
                <w:sz w:val="21"/>
                <w:szCs w:val="21"/>
                <w:highlight w:val="none"/>
              </w:rPr>
              <w:t>443</w:t>
            </w:r>
          </w:p>
        </w:tc>
        <w:tc>
          <w:tcPr>
            <w:tcW w:w="427" w:type="pct"/>
            <w:noWrap w:val="0"/>
            <w:vAlign w:val="center"/>
          </w:tcPr>
          <w:p w14:paraId="22DDBF66">
            <w:pPr>
              <w:kinsoku w:val="0"/>
              <w:overflowPunct w:val="0"/>
              <w:autoSpaceDE w:val="0"/>
              <w:autoSpaceDN w:val="0"/>
              <w:adjustRightInd w:val="0"/>
              <w:jc w:val="center"/>
              <w:rPr>
                <w:sz w:val="21"/>
                <w:szCs w:val="21"/>
                <w:highlight w:val="none"/>
              </w:rPr>
            </w:pPr>
            <w:r>
              <w:rPr>
                <w:sz w:val="21"/>
                <w:szCs w:val="21"/>
                <w:highlight w:val="none"/>
              </w:rPr>
              <w:t>432</w:t>
            </w:r>
          </w:p>
        </w:tc>
        <w:tc>
          <w:tcPr>
            <w:tcW w:w="482" w:type="pct"/>
            <w:noWrap w:val="0"/>
            <w:vAlign w:val="center"/>
          </w:tcPr>
          <w:p w14:paraId="106A369A">
            <w:pPr>
              <w:kinsoku w:val="0"/>
              <w:overflowPunct w:val="0"/>
              <w:autoSpaceDE w:val="0"/>
              <w:autoSpaceDN w:val="0"/>
              <w:adjustRightInd w:val="0"/>
              <w:jc w:val="center"/>
              <w:rPr>
                <w:sz w:val="21"/>
                <w:szCs w:val="21"/>
                <w:highlight w:val="none"/>
              </w:rPr>
            </w:pPr>
            <w:r>
              <w:rPr>
                <w:sz w:val="21"/>
                <w:szCs w:val="21"/>
                <w:highlight w:val="none"/>
              </w:rPr>
              <w:t>433</w:t>
            </w:r>
          </w:p>
        </w:tc>
        <w:tc>
          <w:tcPr>
            <w:tcW w:w="427" w:type="pct"/>
            <w:noWrap w:val="0"/>
            <w:vAlign w:val="center"/>
          </w:tcPr>
          <w:p w14:paraId="7E882565">
            <w:pPr>
              <w:kinsoku w:val="0"/>
              <w:overflowPunct w:val="0"/>
              <w:autoSpaceDE w:val="0"/>
              <w:autoSpaceDN w:val="0"/>
              <w:adjustRightInd w:val="0"/>
              <w:jc w:val="center"/>
              <w:rPr>
                <w:sz w:val="21"/>
                <w:szCs w:val="21"/>
                <w:highlight w:val="none"/>
              </w:rPr>
            </w:pPr>
            <w:r>
              <w:rPr>
                <w:sz w:val="21"/>
                <w:szCs w:val="21"/>
                <w:highlight w:val="none"/>
              </w:rPr>
              <w:t>400</w:t>
            </w:r>
          </w:p>
        </w:tc>
        <w:tc>
          <w:tcPr>
            <w:tcW w:w="535" w:type="pct"/>
            <w:noWrap w:val="0"/>
            <w:vAlign w:val="center"/>
          </w:tcPr>
          <w:p w14:paraId="4D8DAF14">
            <w:pPr>
              <w:kinsoku w:val="0"/>
              <w:overflowPunct w:val="0"/>
              <w:autoSpaceDE w:val="0"/>
              <w:autoSpaceDN w:val="0"/>
              <w:adjustRightInd w:val="0"/>
              <w:jc w:val="center"/>
              <w:rPr>
                <w:sz w:val="21"/>
                <w:szCs w:val="21"/>
                <w:highlight w:val="none"/>
              </w:rPr>
            </w:pPr>
            <w:r>
              <w:rPr>
                <w:sz w:val="21"/>
                <w:szCs w:val="21"/>
                <w:highlight w:val="none"/>
              </w:rPr>
              <w:t>399</w:t>
            </w:r>
          </w:p>
        </w:tc>
        <w:tc>
          <w:tcPr>
            <w:tcW w:w="453" w:type="pct"/>
            <w:noWrap w:val="0"/>
            <w:vAlign w:val="center"/>
          </w:tcPr>
          <w:p w14:paraId="4876A790">
            <w:pPr>
              <w:kinsoku w:val="0"/>
              <w:overflowPunct w:val="0"/>
              <w:autoSpaceDE w:val="0"/>
              <w:autoSpaceDN w:val="0"/>
              <w:adjustRightInd w:val="0"/>
              <w:jc w:val="center"/>
              <w:rPr>
                <w:sz w:val="21"/>
                <w:szCs w:val="21"/>
                <w:highlight w:val="none"/>
              </w:rPr>
            </w:pPr>
            <w:r>
              <w:rPr>
                <w:sz w:val="21"/>
                <w:szCs w:val="21"/>
                <w:highlight w:val="none"/>
              </w:rPr>
              <w:t>/</w:t>
            </w:r>
          </w:p>
        </w:tc>
      </w:tr>
      <w:tr w14:paraId="191B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 w:hRule="exact"/>
        </w:trPr>
        <w:tc>
          <w:tcPr>
            <w:tcW w:w="930" w:type="pct"/>
            <w:noWrap w:val="0"/>
            <w:vAlign w:val="center"/>
          </w:tcPr>
          <w:p w14:paraId="401C9CA0">
            <w:pPr>
              <w:kinsoku w:val="0"/>
              <w:overflowPunct w:val="0"/>
              <w:autoSpaceDE w:val="0"/>
              <w:autoSpaceDN w:val="0"/>
              <w:adjustRightInd w:val="0"/>
              <w:jc w:val="center"/>
              <w:rPr>
                <w:sz w:val="21"/>
                <w:szCs w:val="21"/>
                <w:highlight w:val="none"/>
              </w:rPr>
            </w:pPr>
            <w:r>
              <w:rPr>
                <w:sz w:val="21"/>
                <w:szCs w:val="21"/>
                <w:highlight w:val="none"/>
              </w:rPr>
              <w:t>全盐量</w:t>
            </w:r>
          </w:p>
        </w:tc>
        <w:tc>
          <w:tcPr>
            <w:tcW w:w="409" w:type="pct"/>
            <w:noWrap w:val="0"/>
            <w:vAlign w:val="center"/>
          </w:tcPr>
          <w:p w14:paraId="0F73D6E3">
            <w:pPr>
              <w:kinsoku w:val="0"/>
              <w:overflowPunct w:val="0"/>
              <w:autoSpaceDE w:val="0"/>
              <w:autoSpaceDN w:val="0"/>
              <w:adjustRightInd w:val="0"/>
              <w:jc w:val="center"/>
              <w:rPr>
                <w:sz w:val="21"/>
                <w:szCs w:val="21"/>
                <w:highlight w:val="none"/>
              </w:rPr>
            </w:pPr>
            <w:r>
              <w:rPr>
                <w:sz w:val="21"/>
                <w:szCs w:val="21"/>
                <w:highlight w:val="none"/>
              </w:rPr>
              <w:t>79</w:t>
            </w:r>
          </w:p>
        </w:tc>
        <w:tc>
          <w:tcPr>
            <w:tcW w:w="428" w:type="pct"/>
            <w:noWrap w:val="0"/>
            <w:vAlign w:val="center"/>
          </w:tcPr>
          <w:p w14:paraId="32B4D206">
            <w:pPr>
              <w:kinsoku w:val="0"/>
              <w:overflowPunct w:val="0"/>
              <w:autoSpaceDE w:val="0"/>
              <w:autoSpaceDN w:val="0"/>
              <w:adjustRightInd w:val="0"/>
              <w:jc w:val="center"/>
              <w:rPr>
                <w:sz w:val="21"/>
                <w:szCs w:val="21"/>
                <w:highlight w:val="none"/>
              </w:rPr>
            </w:pPr>
            <w:r>
              <w:rPr>
                <w:sz w:val="21"/>
                <w:szCs w:val="21"/>
                <w:highlight w:val="none"/>
              </w:rPr>
              <w:t>96</w:t>
            </w:r>
          </w:p>
        </w:tc>
        <w:tc>
          <w:tcPr>
            <w:tcW w:w="428" w:type="pct"/>
            <w:noWrap w:val="0"/>
            <w:vAlign w:val="center"/>
          </w:tcPr>
          <w:p w14:paraId="420FCFDF">
            <w:pPr>
              <w:kinsoku w:val="0"/>
              <w:overflowPunct w:val="0"/>
              <w:autoSpaceDE w:val="0"/>
              <w:autoSpaceDN w:val="0"/>
              <w:adjustRightInd w:val="0"/>
              <w:jc w:val="center"/>
              <w:rPr>
                <w:sz w:val="21"/>
                <w:szCs w:val="21"/>
                <w:highlight w:val="none"/>
              </w:rPr>
            </w:pPr>
            <w:r>
              <w:rPr>
                <w:sz w:val="21"/>
                <w:szCs w:val="21"/>
                <w:highlight w:val="none"/>
              </w:rPr>
              <w:t>152</w:t>
            </w:r>
          </w:p>
        </w:tc>
        <w:tc>
          <w:tcPr>
            <w:tcW w:w="481" w:type="pct"/>
            <w:noWrap w:val="0"/>
            <w:vAlign w:val="center"/>
          </w:tcPr>
          <w:p w14:paraId="51472341">
            <w:pPr>
              <w:kinsoku w:val="0"/>
              <w:overflowPunct w:val="0"/>
              <w:autoSpaceDE w:val="0"/>
              <w:autoSpaceDN w:val="0"/>
              <w:adjustRightInd w:val="0"/>
              <w:jc w:val="center"/>
              <w:rPr>
                <w:sz w:val="21"/>
                <w:szCs w:val="21"/>
                <w:highlight w:val="none"/>
              </w:rPr>
            </w:pPr>
            <w:r>
              <w:rPr>
                <w:sz w:val="21"/>
                <w:szCs w:val="21"/>
                <w:highlight w:val="none"/>
              </w:rPr>
              <w:t>127</w:t>
            </w:r>
          </w:p>
        </w:tc>
        <w:tc>
          <w:tcPr>
            <w:tcW w:w="427" w:type="pct"/>
            <w:noWrap w:val="0"/>
            <w:vAlign w:val="center"/>
          </w:tcPr>
          <w:p w14:paraId="2884765A">
            <w:pPr>
              <w:kinsoku w:val="0"/>
              <w:overflowPunct w:val="0"/>
              <w:autoSpaceDE w:val="0"/>
              <w:autoSpaceDN w:val="0"/>
              <w:adjustRightInd w:val="0"/>
              <w:jc w:val="center"/>
              <w:rPr>
                <w:sz w:val="21"/>
                <w:szCs w:val="21"/>
                <w:highlight w:val="none"/>
              </w:rPr>
            </w:pPr>
            <w:r>
              <w:rPr>
                <w:sz w:val="21"/>
                <w:szCs w:val="21"/>
                <w:highlight w:val="none"/>
              </w:rPr>
              <w:t>124</w:t>
            </w:r>
          </w:p>
        </w:tc>
        <w:tc>
          <w:tcPr>
            <w:tcW w:w="482" w:type="pct"/>
            <w:noWrap w:val="0"/>
            <w:vAlign w:val="center"/>
          </w:tcPr>
          <w:p w14:paraId="60E9E8A8">
            <w:pPr>
              <w:kinsoku w:val="0"/>
              <w:overflowPunct w:val="0"/>
              <w:autoSpaceDE w:val="0"/>
              <w:autoSpaceDN w:val="0"/>
              <w:adjustRightInd w:val="0"/>
              <w:jc w:val="center"/>
              <w:rPr>
                <w:sz w:val="21"/>
                <w:szCs w:val="21"/>
                <w:highlight w:val="none"/>
              </w:rPr>
            </w:pPr>
            <w:r>
              <w:rPr>
                <w:sz w:val="21"/>
                <w:szCs w:val="21"/>
                <w:highlight w:val="none"/>
              </w:rPr>
              <w:t>133</w:t>
            </w:r>
          </w:p>
        </w:tc>
        <w:tc>
          <w:tcPr>
            <w:tcW w:w="427" w:type="pct"/>
            <w:noWrap w:val="0"/>
            <w:vAlign w:val="center"/>
          </w:tcPr>
          <w:p w14:paraId="0CF004DD">
            <w:pPr>
              <w:kinsoku w:val="0"/>
              <w:overflowPunct w:val="0"/>
              <w:autoSpaceDE w:val="0"/>
              <w:autoSpaceDN w:val="0"/>
              <w:adjustRightInd w:val="0"/>
              <w:jc w:val="center"/>
              <w:rPr>
                <w:sz w:val="21"/>
                <w:szCs w:val="21"/>
                <w:highlight w:val="none"/>
              </w:rPr>
            </w:pPr>
            <w:r>
              <w:rPr>
                <w:sz w:val="21"/>
                <w:szCs w:val="21"/>
                <w:highlight w:val="none"/>
              </w:rPr>
              <w:t>188</w:t>
            </w:r>
          </w:p>
        </w:tc>
        <w:tc>
          <w:tcPr>
            <w:tcW w:w="535" w:type="pct"/>
            <w:noWrap w:val="0"/>
            <w:vAlign w:val="center"/>
          </w:tcPr>
          <w:p w14:paraId="744DB8B3">
            <w:pPr>
              <w:kinsoku w:val="0"/>
              <w:overflowPunct w:val="0"/>
              <w:autoSpaceDE w:val="0"/>
              <w:autoSpaceDN w:val="0"/>
              <w:adjustRightInd w:val="0"/>
              <w:jc w:val="center"/>
              <w:rPr>
                <w:sz w:val="21"/>
                <w:szCs w:val="21"/>
                <w:highlight w:val="none"/>
              </w:rPr>
            </w:pPr>
            <w:r>
              <w:rPr>
                <w:sz w:val="21"/>
                <w:szCs w:val="21"/>
                <w:highlight w:val="none"/>
              </w:rPr>
              <w:t>131</w:t>
            </w:r>
          </w:p>
        </w:tc>
        <w:tc>
          <w:tcPr>
            <w:tcW w:w="453" w:type="pct"/>
            <w:noWrap w:val="0"/>
            <w:vAlign w:val="center"/>
          </w:tcPr>
          <w:p w14:paraId="246C2655">
            <w:pPr>
              <w:kinsoku w:val="0"/>
              <w:overflowPunct w:val="0"/>
              <w:autoSpaceDE w:val="0"/>
              <w:autoSpaceDN w:val="0"/>
              <w:adjustRightInd w:val="0"/>
              <w:jc w:val="center"/>
              <w:rPr>
                <w:sz w:val="21"/>
                <w:szCs w:val="21"/>
                <w:highlight w:val="none"/>
              </w:rPr>
            </w:pPr>
            <w:r>
              <w:rPr>
                <w:sz w:val="21"/>
                <w:szCs w:val="21"/>
                <w:highlight w:val="none"/>
              </w:rPr>
              <w:t>/</w:t>
            </w:r>
          </w:p>
        </w:tc>
      </w:tr>
    </w:tbl>
    <w:p w14:paraId="6C7E8238">
      <w:pPr>
        <w:ind w:firstLine="420"/>
        <w:jc w:val="center"/>
        <w:rPr>
          <w:szCs w:val="21"/>
          <w:highlight w:val="none"/>
        </w:rPr>
      </w:pPr>
      <w:r>
        <w:rPr>
          <w:b/>
          <w:bCs/>
          <w:szCs w:val="21"/>
          <w:highlight w:val="none"/>
        </w:rPr>
        <w:t>表2-</w:t>
      </w:r>
      <w:r>
        <w:rPr>
          <w:rFonts w:hint="eastAsia"/>
          <w:b/>
          <w:bCs/>
          <w:szCs w:val="21"/>
          <w:highlight w:val="none"/>
        </w:rPr>
        <w:t>1</w:t>
      </w:r>
      <w:r>
        <w:rPr>
          <w:rFonts w:hint="eastAsia"/>
          <w:b/>
          <w:bCs/>
          <w:szCs w:val="21"/>
          <w:highlight w:val="none"/>
          <w:lang w:val="en-US" w:eastAsia="zh-CN"/>
        </w:rPr>
        <w:t>7：</w:t>
      </w:r>
      <w:r>
        <w:rPr>
          <w:b/>
          <w:bCs/>
          <w:szCs w:val="21"/>
          <w:highlight w:val="none"/>
        </w:rPr>
        <w:t>现有项目固体废物污染物排放</w:t>
      </w:r>
      <w:r>
        <w:rPr>
          <w:rFonts w:hint="eastAsia"/>
          <w:b/>
          <w:bCs/>
          <w:szCs w:val="21"/>
          <w:highlight w:val="none"/>
          <w:lang w:eastAsia="zh-CN"/>
        </w:rPr>
        <w:t>量</w:t>
      </w:r>
      <w:r>
        <w:rPr>
          <w:b/>
          <w:bCs/>
          <w:szCs w:val="21"/>
          <w:highlight w:val="none"/>
        </w:rPr>
        <w:t>及采取的环保措施一览表</w:t>
      </w:r>
    </w:p>
    <w:tbl>
      <w:tblPr>
        <w:tblStyle w:val="41"/>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54"/>
        <w:gridCol w:w="582"/>
        <w:gridCol w:w="1350"/>
        <w:gridCol w:w="2141"/>
        <w:gridCol w:w="1244"/>
        <w:gridCol w:w="2572"/>
        <w:gridCol w:w="1103"/>
        <w:gridCol w:w="2820"/>
        <w:gridCol w:w="1971"/>
      </w:tblGrid>
      <w:tr w14:paraId="2AD92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908" w:type="pct"/>
            <w:gridSpan w:val="4"/>
            <w:noWrap w:val="0"/>
            <w:vAlign w:val="center"/>
          </w:tcPr>
          <w:p w14:paraId="52D2FF91">
            <w:pPr>
              <w:jc w:val="center"/>
              <w:rPr>
                <w:sz w:val="21"/>
                <w:szCs w:val="21"/>
                <w:highlight w:val="none"/>
              </w:rPr>
            </w:pPr>
            <w:r>
              <w:rPr>
                <w:sz w:val="21"/>
                <w:szCs w:val="21"/>
                <w:highlight w:val="none"/>
              </w:rPr>
              <w:t>装置名称</w:t>
            </w:r>
          </w:p>
        </w:tc>
        <w:tc>
          <w:tcPr>
            <w:tcW w:w="739" w:type="pct"/>
            <w:noWrap w:val="0"/>
            <w:vAlign w:val="center"/>
          </w:tcPr>
          <w:p w14:paraId="37ADE1CB">
            <w:pPr>
              <w:jc w:val="center"/>
              <w:rPr>
                <w:sz w:val="21"/>
                <w:szCs w:val="21"/>
                <w:highlight w:val="none"/>
              </w:rPr>
            </w:pPr>
            <w:r>
              <w:rPr>
                <w:sz w:val="21"/>
                <w:szCs w:val="21"/>
                <w:highlight w:val="none"/>
              </w:rPr>
              <w:t>固废名称</w:t>
            </w:r>
          </w:p>
        </w:tc>
        <w:tc>
          <w:tcPr>
            <w:tcW w:w="429" w:type="pct"/>
            <w:noWrap w:val="0"/>
            <w:vAlign w:val="center"/>
          </w:tcPr>
          <w:p w14:paraId="2B149788">
            <w:pPr>
              <w:jc w:val="center"/>
              <w:rPr>
                <w:sz w:val="21"/>
                <w:szCs w:val="21"/>
                <w:highlight w:val="none"/>
              </w:rPr>
            </w:pPr>
            <w:r>
              <w:rPr>
                <w:sz w:val="21"/>
                <w:szCs w:val="21"/>
                <w:highlight w:val="none"/>
              </w:rPr>
              <w:t>排放量</w:t>
            </w:r>
          </w:p>
          <w:p w14:paraId="20AA814C">
            <w:pPr>
              <w:jc w:val="center"/>
              <w:rPr>
                <w:sz w:val="21"/>
                <w:szCs w:val="21"/>
                <w:highlight w:val="none"/>
              </w:rPr>
            </w:pPr>
            <w:r>
              <w:rPr>
                <w:sz w:val="21"/>
                <w:szCs w:val="21"/>
                <w:highlight w:val="none"/>
              </w:rPr>
              <w:t>（t/a）</w:t>
            </w:r>
          </w:p>
        </w:tc>
        <w:tc>
          <w:tcPr>
            <w:tcW w:w="887" w:type="pct"/>
            <w:noWrap w:val="0"/>
            <w:vAlign w:val="center"/>
          </w:tcPr>
          <w:p w14:paraId="4243E3A5">
            <w:pPr>
              <w:jc w:val="center"/>
              <w:rPr>
                <w:sz w:val="21"/>
                <w:szCs w:val="21"/>
                <w:highlight w:val="none"/>
              </w:rPr>
            </w:pPr>
            <w:r>
              <w:rPr>
                <w:sz w:val="21"/>
                <w:szCs w:val="21"/>
                <w:highlight w:val="none"/>
              </w:rPr>
              <w:t>主要成分</w:t>
            </w:r>
          </w:p>
        </w:tc>
        <w:tc>
          <w:tcPr>
            <w:tcW w:w="380" w:type="pct"/>
            <w:noWrap w:val="0"/>
            <w:vAlign w:val="center"/>
          </w:tcPr>
          <w:p w14:paraId="40F37AC6">
            <w:pPr>
              <w:jc w:val="center"/>
              <w:rPr>
                <w:sz w:val="21"/>
                <w:szCs w:val="21"/>
                <w:highlight w:val="none"/>
              </w:rPr>
            </w:pPr>
            <w:r>
              <w:rPr>
                <w:sz w:val="21"/>
                <w:szCs w:val="21"/>
                <w:highlight w:val="none"/>
              </w:rPr>
              <w:t>性质</w:t>
            </w:r>
          </w:p>
          <w:p w14:paraId="33B7177E">
            <w:pPr>
              <w:pStyle w:val="12"/>
              <w:ind w:firstLine="0" w:firstLineChars="0"/>
              <w:jc w:val="center"/>
              <w:rPr>
                <w:rFonts w:ascii="Times New Roman"/>
                <w:kern w:val="2"/>
                <w:sz w:val="21"/>
                <w:szCs w:val="21"/>
                <w:highlight w:val="none"/>
              </w:rPr>
            </w:pPr>
            <w:r>
              <w:rPr>
                <w:rFonts w:ascii="Times New Roman"/>
                <w:kern w:val="2"/>
                <w:sz w:val="21"/>
                <w:szCs w:val="21"/>
                <w:highlight w:val="none"/>
              </w:rPr>
              <w:t>（环评）</w:t>
            </w:r>
          </w:p>
        </w:tc>
        <w:tc>
          <w:tcPr>
            <w:tcW w:w="973" w:type="pct"/>
            <w:noWrap w:val="0"/>
            <w:vAlign w:val="center"/>
          </w:tcPr>
          <w:p w14:paraId="3766CFC3">
            <w:pPr>
              <w:jc w:val="center"/>
              <w:rPr>
                <w:sz w:val="21"/>
                <w:szCs w:val="21"/>
                <w:highlight w:val="none"/>
              </w:rPr>
            </w:pPr>
            <w:r>
              <w:rPr>
                <w:sz w:val="21"/>
                <w:szCs w:val="21"/>
                <w:highlight w:val="none"/>
              </w:rPr>
              <w:t>性质</w:t>
            </w:r>
          </w:p>
          <w:p w14:paraId="3532FB35">
            <w:pPr>
              <w:jc w:val="center"/>
              <w:rPr>
                <w:sz w:val="21"/>
                <w:szCs w:val="21"/>
                <w:highlight w:val="none"/>
              </w:rPr>
            </w:pPr>
            <w:r>
              <w:rPr>
                <w:sz w:val="21"/>
                <w:szCs w:val="21"/>
                <w:highlight w:val="none"/>
              </w:rPr>
              <w:t>（现行）</w:t>
            </w:r>
          </w:p>
        </w:tc>
        <w:tc>
          <w:tcPr>
            <w:tcW w:w="680" w:type="pct"/>
            <w:noWrap w:val="0"/>
            <w:vAlign w:val="center"/>
          </w:tcPr>
          <w:p w14:paraId="035A8D17">
            <w:pPr>
              <w:jc w:val="center"/>
              <w:rPr>
                <w:sz w:val="21"/>
                <w:szCs w:val="21"/>
                <w:highlight w:val="none"/>
              </w:rPr>
            </w:pPr>
            <w:r>
              <w:rPr>
                <w:sz w:val="21"/>
                <w:szCs w:val="21"/>
                <w:highlight w:val="none"/>
              </w:rPr>
              <w:t>处置措施</w:t>
            </w:r>
          </w:p>
        </w:tc>
      </w:tr>
      <w:tr w14:paraId="27BB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restart"/>
            <w:noWrap w:val="0"/>
            <w:vAlign w:val="center"/>
          </w:tcPr>
          <w:p w14:paraId="08D21E21">
            <w:pPr>
              <w:jc w:val="center"/>
              <w:rPr>
                <w:sz w:val="21"/>
                <w:szCs w:val="21"/>
                <w:highlight w:val="none"/>
              </w:rPr>
            </w:pPr>
            <w:bookmarkStart w:id="6" w:name="_Hlk465954764"/>
            <w:r>
              <w:rPr>
                <w:sz w:val="21"/>
                <w:szCs w:val="21"/>
                <w:highlight w:val="none"/>
              </w:rPr>
              <w:t>煤气化装置</w:t>
            </w:r>
          </w:p>
        </w:tc>
        <w:tc>
          <w:tcPr>
            <w:tcW w:w="200" w:type="pct"/>
            <w:vMerge w:val="restart"/>
            <w:noWrap w:val="0"/>
            <w:vAlign w:val="center"/>
          </w:tcPr>
          <w:p w14:paraId="52445705">
            <w:pPr>
              <w:jc w:val="center"/>
              <w:rPr>
                <w:sz w:val="21"/>
                <w:szCs w:val="21"/>
                <w:highlight w:val="none"/>
              </w:rPr>
            </w:pPr>
            <w:r>
              <w:rPr>
                <w:sz w:val="21"/>
                <w:szCs w:val="21"/>
                <w:highlight w:val="none"/>
              </w:rPr>
              <w:t>粉煤气化</w:t>
            </w:r>
          </w:p>
        </w:tc>
        <w:tc>
          <w:tcPr>
            <w:tcW w:w="466" w:type="pct"/>
            <w:noWrap w:val="0"/>
            <w:vAlign w:val="center"/>
          </w:tcPr>
          <w:p w14:paraId="48F19510">
            <w:pPr>
              <w:jc w:val="center"/>
              <w:rPr>
                <w:sz w:val="21"/>
                <w:szCs w:val="21"/>
                <w:highlight w:val="none"/>
              </w:rPr>
            </w:pPr>
            <w:r>
              <w:rPr>
                <w:sz w:val="21"/>
                <w:szCs w:val="21"/>
                <w:highlight w:val="none"/>
              </w:rPr>
              <w:t>气化及合成气洗涤单元</w:t>
            </w:r>
          </w:p>
        </w:tc>
        <w:tc>
          <w:tcPr>
            <w:tcW w:w="739" w:type="pct"/>
            <w:noWrap w:val="0"/>
            <w:vAlign w:val="center"/>
          </w:tcPr>
          <w:p w14:paraId="07E711F6">
            <w:pPr>
              <w:jc w:val="center"/>
              <w:rPr>
                <w:sz w:val="21"/>
                <w:szCs w:val="21"/>
                <w:highlight w:val="none"/>
              </w:rPr>
            </w:pPr>
            <w:r>
              <w:rPr>
                <w:sz w:val="21"/>
                <w:szCs w:val="21"/>
                <w:highlight w:val="none"/>
              </w:rPr>
              <w:t>粉煤气化废渣</w:t>
            </w:r>
          </w:p>
        </w:tc>
        <w:tc>
          <w:tcPr>
            <w:tcW w:w="429" w:type="pct"/>
            <w:noWrap w:val="0"/>
            <w:vAlign w:val="center"/>
          </w:tcPr>
          <w:p w14:paraId="062C8591">
            <w:pPr>
              <w:jc w:val="center"/>
              <w:rPr>
                <w:b/>
                <w:sz w:val="21"/>
                <w:szCs w:val="21"/>
                <w:highlight w:val="none"/>
              </w:rPr>
            </w:pPr>
            <w:r>
              <w:rPr>
                <w:sz w:val="21"/>
                <w:szCs w:val="21"/>
                <w:highlight w:val="none"/>
              </w:rPr>
              <w:t>693815.2</w:t>
            </w:r>
          </w:p>
        </w:tc>
        <w:tc>
          <w:tcPr>
            <w:tcW w:w="887" w:type="pct"/>
            <w:noWrap w:val="0"/>
            <w:vAlign w:val="center"/>
          </w:tcPr>
          <w:p w14:paraId="5CFD1583">
            <w:pPr>
              <w:jc w:val="center"/>
              <w:rPr>
                <w:rFonts w:hint="eastAsia" w:eastAsia="宋体"/>
                <w:sz w:val="21"/>
                <w:szCs w:val="21"/>
                <w:highlight w:val="none"/>
                <w:lang w:eastAsia="zh-CN"/>
              </w:rPr>
            </w:pPr>
            <w:r>
              <w:rPr>
                <w:sz w:val="21"/>
                <w:szCs w:val="21"/>
                <w:highlight w:val="none"/>
              </w:rPr>
              <w:t>含水50wt%，含碳1wt%，其余为金属氧化物和盐</w:t>
            </w:r>
            <w:r>
              <w:rPr>
                <w:rFonts w:hint="eastAsia"/>
                <w:sz w:val="21"/>
                <w:szCs w:val="21"/>
                <w:highlight w:val="none"/>
                <w:lang w:eastAsia="zh-CN"/>
              </w:rPr>
              <w:t>。</w:t>
            </w:r>
          </w:p>
        </w:tc>
        <w:tc>
          <w:tcPr>
            <w:tcW w:w="380" w:type="pct"/>
            <w:noWrap w:val="0"/>
            <w:vAlign w:val="center"/>
          </w:tcPr>
          <w:p w14:paraId="0960AA3D">
            <w:pPr>
              <w:jc w:val="center"/>
              <w:rPr>
                <w:sz w:val="21"/>
                <w:szCs w:val="21"/>
                <w:highlight w:val="none"/>
              </w:rPr>
            </w:pPr>
            <w:r>
              <w:rPr>
                <w:sz w:val="21"/>
                <w:szCs w:val="21"/>
                <w:highlight w:val="none"/>
              </w:rPr>
              <w:t>一般废物</w:t>
            </w:r>
          </w:p>
        </w:tc>
        <w:tc>
          <w:tcPr>
            <w:tcW w:w="973" w:type="pct"/>
            <w:noWrap w:val="0"/>
            <w:vAlign w:val="center"/>
          </w:tcPr>
          <w:p w14:paraId="1941A507">
            <w:pPr>
              <w:jc w:val="center"/>
              <w:rPr>
                <w:sz w:val="21"/>
                <w:szCs w:val="21"/>
                <w:highlight w:val="none"/>
              </w:rPr>
            </w:pPr>
            <w:r>
              <w:rPr>
                <w:sz w:val="21"/>
                <w:szCs w:val="21"/>
                <w:highlight w:val="none"/>
              </w:rPr>
              <w:t>一般废物</w:t>
            </w:r>
          </w:p>
        </w:tc>
        <w:tc>
          <w:tcPr>
            <w:tcW w:w="680" w:type="pct"/>
            <w:vMerge w:val="restart"/>
            <w:noWrap w:val="0"/>
            <w:vAlign w:val="center"/>
          </w:tcPr>
          <w:p w14:paraId="2ABCE7F1">
            <w:pPr>
              <w:jc w:val="center"/>
              <w:rPr>
                <w:sz w:val="21"/>
                <w:szCs w:val="21"/>
                <w:highlight w:val="none"/>
              </w:rPr>
            </w:pPr>
            <w:r>
              <w:rPr>
                <w:sz w:val="21"/>
                <w:szCs w:val="21"/>
                <w:highlight w:val="none"/>
              </w:rPr>
              <w:t>园区渣场填埋</w:t>
            </w:r>
          </w:p>
        </w:tc>
      </w:tr>
      <w:tr w14:paraId="4697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0F29A50">
            <w:pPr>
              <w:ind w:firstLine="420"/>
              <w:jc w:val="center"/>
              <w:rPr>
                <w:sz w:val="21"/>
                <w:szCs w:val="21"/>
                <w:highlight w:val="none"/>
              </w:rPr>
            </w:pPr>
          </w:p>
        </w:tc>
        <w:tc>
          <w:tcPr>
            <w:tcW w:w="200" w:type="pct"/>
            <w:vMerge w:val="continue"/>
            <w:noWrap w:val="0"/>
            <w:vAlign w:val="center"/>
          </w:tcPr>
          <w:p w14:paraId="1EF89125">
            <w:pPr>
              <w:jc w:val="center"/>
              <w:rPr>
                <w:sz w:val="21"/>
                <w:szCs w:val="21"/>
                <w:highlight w:val="none"/>
              </w:rPr>
            </w:pPr>
          </w:p>
        </w:tc>
        <w:tc>
          <w:tcPr>
            <w:tcW w:w="466" w:type="pct"/>
            <w:noWrap w:val="0"/>
            <w:vAlign w:val="center"/>
          </w:tcPr>
          <w:p w14:paraId="43B3D860">
            <w:pPr>
              <w:jc w:val="center"/>
              <w:rPr>
                <w:sz w:val="21"/>
                <w:szCs w:val="21"/>
                <w:highlight w:val="none"/>
              </w:rPr>
            </w:pPr>
            <w:r>
              <w:rPr>
                <w:sz w:val="21"/>
                <w:szCs w:val="21"/>
                <w:highlight w:val="none"/>
              </w:rPr>
              <w:t>渣及灰水处理单元</w:t>
            </w:r>
          </w:p>
        </w:tc>
        <w:tc>
          <w:tcPr>
            <w:tcW w:w="739" w:type="pct"/>
            <w:noWrap w:val="0"/>
            <w:vAlign w:val="center"/>
          </w:tcPr>
          <w:p w14:paraId="02C2FFE7">
            <w:pPr>
              <w:jc w:val="center"/>
              <w:rPr>
                <w:sz w:val="21"/>
                <w:szCs w:val="21"/>
                <w:highlight w:val="none"/>
              </w:rPr>
            </w:pPr>
            <w:r>
              <w:rPr>
                <w:sz w:val="21"/>
                <w:szCs w:val="21"/>
                <w:highlight w:val="none"/>
              </w:rPr>
              <w:t>真空带式过滤机滤饼</w:t>
            </w:r>
          </w:p>
        </w:tc>
        <w:tc>
          <w:tcPr>
            <w:tcW w:w="429" w:type="pct"/>
            <w:noWrap w:val="0"/>
            <w:vAlign w:val="center"/>
          </w:tcPr>
          <w:p w14:paraId="1F32E48B">
            <w:pPr>
              <w:jc w:val="center"/>
              <w:rPr>
                <w:b/>
                <w:sz w:val="21"/>
                <w:szCs w:val="21"/>
                <w:highlight w:val="none"/>
              </w:rPr>
            </w:pPr>
            <w:r>
              <w:rPr>
                <w:sz w:val="21"/>
                <w:szCs w:val="21"/>
                <w:highlight w:val="none"/>
              </w:rPr>
              <w:t>373770.4</w:t>
            </w:r>
          </w:p>
        </w:tc>
        <w:tc>
          <w:tcPr>
            <w:tcW w:w="887" w:type="pct"/>
            <w:noWrap w:val="0"/>
            <w:vAlign w:val="center"/>
          </w:tcPr>
          <w:p w14:paraId="1B465C7D">
            <w:pPr>
              <w:jc w:val="center"/>
              <w:rPr>
                <w:rFonts w:hint="eastAsia" w:eastAsia="宋体"/>
                <w:sz w:val="21"/>
                <w:szCs w:val="21"/>
                <w:highlight w:val="none"/>
                <w:lang w:eastAsia="zh-CN"/>
              </w:rPr>
            </w:pPr>
            <w:r>
              <w:rPr>
                <w:sz w:val="21"/>
                <w:szCs w:val="21"/>
                <w:highlight w:val="none"/>
              </w:rPr>
              <w:t>含水60wt%，含碳30~40wt%，其余为金属氧化物和盐</w:t>
            </w:r>
            <w:r>
              <w:rPr>
                <w:rFonts w:hint="eastAsia"/>
                <w:sz w:val="21"/>
                <w:szCs w:val="21"/>
                <w:highlight w:val="none"/>
                <w:lang w:eastAsia="zh-CN"/>
              </w:rPr>
              <w:t>。</w:t>
            </w:r>
          </w:p>
        </w:tc>
        <w:tc>
          <w:tcPr>
            <w:tcW w:w="380" w:type="pct"/>
            <w:noWrap w:val="0"/>
            <w:vAlign w:val="center"/>
          </w:tcPr>
          <w:p w14:paraId="6A305D9D">
            <w:pPr>
              <w:jc w:val="center"/>
              <w:rPr>
                <w:sz w:val="21"/>
                <w:szCs w:val="21"/>
                <w:highlight w:val="none"/>
              </w:rPr>
            </w:pPr>
            <w:r>
              <w:rPr>
                <w:sz w:val="21"/>
                <w:szCs w:val="21"/>
                <w:highlight w:val="none"/>
              </w:rPr>
              <w:t>一般废物</w:t>
            </w:r>
          </w:p>
        </w:tc>
        <w:tc>
          <w:tcPr>
            <w:tcW w:w="973" w:type="pct"/>
            <w:noWrap w:val="0"/>
            <w:vAlign w:val="center"/>
          </w:tcPr>
          <w:p w14:paraId="418D9E0C">
            <w:pPr>
              <w:jc w:val="center"/>
              <w:rPr>
                <w:sz w:val="21"/>
                <w:szCs w:val="21"/>
                <w:highlight w:val="none"/>
              </w:rPr>
            </w:pPr>
            <w:r>
              <w:rPr>
                <w:sz w:val="21"/>
                <w:szCs w:val="21"/>
                <w:highlight w:val="none"/>
              </w:rPr>
              <w:t>一般废物</w:t>
            </w:r>
          </w:p>
        </w:tc>
        <w:tc>
          <w:tcPr>
            <w:tcW w:w="680" w:type="pct"/>
            <w:vMerge w:val="continue"/>
            <w:noWrap w:val="0"/>
            <w:vAlign w:val="center"/>
          </w:tcPr>
          <w:p w14:paraId="7D5F831E">
            <w:pPr>
              <w:jc w:val="center"/>
              <w:rPr>
                <w:sz w:val="21"/>
                <w:szCs w:val="21"/>
                <w:highlight w:val="none"/>
              </w:rPr>
            </w:pPr>
          </w:p>
        </w:tc>
      </w:tr>
      <w:bookmarkEnd w:id="6"/>
      <w:tr w14:paraId="2E03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33A970E6">
            <w:pPr>
              <w:jc w:val="center"/>
              <w:rPr>
                <w:sz w:val="21"/>
                <w:szCs w:val="21"/>
                <w:highlight w:val="none"/>
              </w:rPr>
            </w:pPr>
          </w:p>
        </w:tc>
        <w:tc>
          <w:tcPr>
            <w:tcW w:w="200" w:type="pct"/>
            <w:vMerge w:val="restart"/>
            <w:noWrap w:val="0"/>
            <w:vAlign w:val="center"/>
          </w:tcPr>
          <w:p w14:paraId="58D5B619">
            <w:pPr>
              <w:jc w:val="center"/>
              <w:rPr>
                <w:sz w:val="21"/>
                <w:szCs w:val="21"/>
                <w:highlight w:val="none"/>
              </w:rPr>
            </w:pPr>
            <w:r>
              <w:rPr>
                <w:sz w:val="21"/>
                <w:szCs w:val="21"/>
                <w:highlight w:val="none"/>
              </w:rPr>
              <w:t>水煤浆气化</w:t>
            </w:r>
          </w:p>
        </w:tc>
        <w:tc>
          <w:tcPr>
            <w:tcW w:w="466" w:type="pct"/>
            <w:noWrap w:val="0"/>
            <w:vAlign w:val="center"/>
          </w:tcPr>
          <w:p w14:paraId="1ACB4889">
            <w:pPr>
              <w:jc w:val="center"/>
              <w:rPr>
                <w:sz w:val="21"/>
                <w:szCs w:val="21"/>
                <w:highlight w:val="none"/>
              </w:rPr>
            </w:pPr>
            <w:r>
              <w:rPr>
                <w:sz w:val="21"/>
                <w:szCs w:val="21"/>
                <w:highlight w:val="none"/>
              </w:rPr>
              <w:t>水煤浆气化单元</w:t>
            </w:r>
          </w:p>
        </w:tc>
        <w:tc>
          <w:tcPr>
            <w:tcW w:w="739" w:type="pct"/>
            <w:noWrap w:val="0"/>
            <w:vAlign w:val="center"/>
          </w:tcPr>
          <w:p w14:paraId="50D0AC63">
            <w:pPr>
              <w:jc w:val="center"/>
              <w:rPr>
                <w:sz w:val="21"/>
                <w:szCs w:val="21"/>
                <w:highlight w:val="none"/>
              </w:rPr>
            </w:pPr>
            <w:r>
              <w:rPr>
                <w:sz w:val="21"/>
                <w:szCs w:val="21"/>
                <w:highlight w:val="none"/>
              </w:rPr>
              <w:t>水煤浆气化废渣</w:t>
            </w:r>
          </w:p>
        </w:tc>
        <w:tc>
          <w:tcPr>
            <w:tcW w:w="429" w:type="pct"/>
            <w:noWrap w:val="0"/>
            <w:vAlign w:val="center"/>
          </w:tcPr>
          <w:p w14:paraId="1DDCACA7">
            <w:pPr>
              <w:jc w:val="center"/>
              <w:rPr>
                <w:b/>
                <w:sz w:val="21"/>
                <w:szCs w:val="21"/>
                <w:highlight w:val="none"/>
              </w:rPr>
            </w:pPr>
            <w:r>
              <w:rPr>
                <w:sz w:val="21"/>
                <w:szCs w:val="21"/>
                <w:highlight w:val="none"/>
              </w:rPr>
              <w:t>104800.0</w:t>
            </w:r>
          </w:p>
        </w:tc>
        <w:tc>
          <w:tcPr>
            <w:tcW w:w="887" w:type="pct"/>
            <w:noWrap w:val="0"/>
            <w:vAlign w:val="center"/>
          </w:tcPr>
          <w:p w14:paraId="73650D0F">
            <w:pPr>
              <w:jc w:val="center"/>
              <w:rPr>
                <w:rFonts w:hint="eastAsia" w:eastAsia="宋体"/>
                <w:sz w:val="21"/>
                <w:szCs w:val="21"/>
                <w:highlight w:val="none"/>
                <w:lang w:eastAsia="zh-CN"/>
              </w:rPr>
            </w:pPr>
            <w:r>
              <w:rPr>
                <w:sz w:val="21"/>
                <w:szCs w:val="21"/>
                <w:highlight w:val="none"/>
              </w:rPr>
              <w:t>水35wt%；灰58.2%；残炭6.8%</w:t>
            </w:r>
            <w:r>
              <w:rPr>
                <w:rFonts w:hint="eastAsia"/>
                <w:sz w:val="21"/>
                <w:szCs w:val="21"/>
                <w:highlight w:val="none"/>
                <w:lang w:eastAsia="zh-CN"/>
              </w:rPr>
              <w:t>。</w:t>
            </w:r>
          </w:p>
        </w:tc>
        <w:tc>
          <w:tcPr>
            <w:tcW w:w="380" w:type="pct"/>
            <w:noWrap w:val="0"/>
            <w:vAlign w:val="center"/>
          </w:tcPr>
          <w:p w14:paraId="0C64B38B">
            <w:pPr>
              <w:jc w:val="center"/>
              <w:rPr>
                <w:sz w:val="21"/>
                <w:szCs w:val="21"/>
                <w:highlight w:val="none"/>
              </w:rPr>
            </w:pPr>
            <w:r>
              <w:rPr>
                <w:sz w:val="21"/>
                <w:szCs w:val="21"/>
                <w:highlight w:val="none"/>
              </w:rPr>
              <w:t>一般废物</w:t>
            </w:r>
          </w:p>
        </w:tc>
        <w:tc>
          <w:tcPr>
            <w:tcW w:w="973" w:type="pct"/>
            <w:noWrap w:val="0"/>
            <w:vAlign w:val="center"/>
          </w:tcPr>
          <w:p w14:paraId="752C8DFC">
            <w:pPr>
              <w:jc w:val="center"/>
              <w:rPr>
                <w:sz w:val="21"/>
                <w:szCs w:val="21"/>
                <w:highlight w:val="none"/>
              </w:rPr>
            </w:pPr>
            <w:r>
              <w:rPr>
                <w:sz w:val="21"/>
                <w:szCs w:val="21"/>
                <w:highlight w:val="none"/>
              </w:rPr>
              <w:t>一般废物</w:t>
            </w:r>
          </w:p>
        </w:tc>
        <w:tc>
          <w:tcPr>
            <w:tcW w:w="680" w:type="pct"/>
            <w:vMerge w:val="restart"/>
            <w:noWrap w:val="0"/>
            <w:vAlign w:val="center"/>
          </w:tcPr>
          <w:p w14:paraId="060D9576">
            <w:pPr>
              <w:jc w:val="center"/>
              <w:rPr>
                <w:sz w:val="21"/>
                <w:szCs w:val="21"/>
                <w:highlight w:val="none"/>
              </w:rPr>
            </w:pPr>
            <w:r>
              <w:rPr>
                <w:sz w:val="21"/>
                <w:szCs w:val="21"/>
                <w:highlight w:val="none"/>
              </w:rPr>
              <w:t>园区渣场填埋</w:t>
            </w:r>
          </w:p>
        </w:tc>
      </w:tr>
      <w:tr w14:paraId="66269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F3C2DE8">
            <w:pPr>
              <w:jc w:val="center"/>
              <w:rPr>
                <w:sz w:val="21"/>
                <w:szCs w:val="21"/>
                <w:highlight w:val="none"/>
              </w:rPr>
            </w:pPr>
          </w:p>
        </w:tc>
        <w:tc>
          <w:tcPr>
            <w:tcW w:w="200" w:type="pct"/>
            <w:vMerge w:val="continue"/>
            <w:noWrap w:val="0"/>
            <w:vAlign w:val="center"/>
          </w:tcPr>
          <w:p w14:paraId="7433E29B">
            <w:pPr>
              <w:jc w:val="center"/>
              <w:rPr>
                <w:sz w:val="21"/>
                <w:szCs w:val="21"/>
                <w:highlight w:val="none"/>
              </w:rPr>
            </w:pPr>
          </w:p>
        </w:tc>
        <w:tc>
          <w:tcPr>
            <w:tcW w:w="466" w:type="pct"/>
            <w:noWrap w:val="0"/>
            <w:vAlign w:val="center"/>
          </w:tcPr>
          <w:p w14:paraId="134D584E">
            <w:pPr>
              <w:jc w:val="center"/>
              <w:rPr>
                <w:sz w:val="21"/>
                <w:szCs w:val="21"/>
                <w:highlight w:val="none"/>
              </w:rPr>
            </w:pPr>
            <w:r>
              <w:rPr>
                <w:sz w:val="21"/>
                <w:szCs w:val="21"/>
                <w:highlight w:val="none"/>
              </w:rPr>
              <w:t>水煤浆渣水处理单元</w:t>
            </w:r>
          </w:p>
        </w:tc>
        <w:tc>
          <w:tcPr>
            <w:tcW w:w="739" w:type="pct"/>
            <w:noWrap w:val="0"/>
            <w:vAlign w:val="center"/>
          </w:tcPr>
          <w:p w14:paraId="23D0B234">
            <w:pPr>
              <w:jc w:val="center"/>
              <w:rPr>
                <w:sz w:val="21"/>
                <w:szCs w:val="21"/>
                <w:highlight w:val="none"/>
              </w:rPr>
            </w:pPr>
            <w:r>
              <w:rPr>
                <w:sz w:val="21"/>
                <w:szCs w:val="21"/>
                <w:highlight w:val="none"/>
              </w:rPr>
              <w:t>真空带式过滤机滤饼</w:t>
            </w:r>
          </w:p>
        </w:tc>
        <w:tc>
          <w:tcPr>
            <w:tcW w:w="429" w:type="pct"/>
            <w:noWrap w:val="0"/>
            <w:vAlign w:val="center"/>
          </w:tcPr>
          <w:p w14:paraId="64838F77">
            <w:pPr>
              <w:jc w:val="center"/>
              <w:rPr>
                <w:b/>
                <w:sz w:val="21"/>
                <w:szCs w:val="21"/>
                <w:highlight w:val="none"/>
              </w:rPr>
            </w:pPr>
            <w:r>
              <w:rPr>
                <w:sz w:val="21"/>
                <w:szCs w:val="21"/>
                <w:highlight w:val="none"/>
              </w:rPr>
              <w:t>72880.0</w:t>
            </w:r>
          </w:p>
        </w:tc>
        <w:tc>
          <w:tcPr>
            <w:tcW w:w="887" w:type="pct"/>
            <w:noWrap w:val="0"/>
            <w:vAlign w:val="center"/>
          </w:tcPr>
          <w:p w14:paraId="10709F2A">
            <w:pPr>
              <w:jc w:val="center"/>
              <w:rPr>
                <w:rFonts w:hint="eastAsia" w:eastAsia="宋体"/>
                <w:sz w:val="21"/>
                <w:szCs w:val="21"/>
                <w:highlight w:val="none"/>
                <w:lang w:eastAsia="zh-CN"/>
              </w:rPr>
            </w:pPr>
            <w:r>
              <w:rPr>
                <w:sz w:val="21"/>
                <w:szCs w:val="21"/>
                <w:highlight w:val="none"/>
              </w:rPr>
              <w:t>水50wt%；灰39.6%；残炭10.4%</w:t>
            </w:r>
            <w:r>
              <w:rPr>
                <w:rFonts w:hint="eastAsia"/>
                <w:sz w:val="21"/>
                <w:szCs w:val="21"/>
                <w:highlight w:val="none"/>
                <w:lang w:eastAsia="zh-CN"/>
              </w:rPr>
              <w:t>。</w:t>
            </w:r>
          </w:p>
        </w:tc>
        <w:tc>
          <w:tcPr>
            <w:tcW w:w="380" w:type="pct"/>
            <w:noWrap w:val="0"/>
            <w:vAlign w:val="center"/>
          </w:tcPr>
          <w:p w14:paraId="7995C5FA">
            <w:pPr>
              <w:jc w:val="center"/>
              <w:rPr>
                <w:sz w:val="21"/>
                <w:szCs w:val="21"/>
                <w:highlight w:val="none"/>
              </w:rPr>
            </w:pPr>
            <w:r>
              <w:rPr>
                <w:sz w:val="21"/>
                <w:szCs w:val="21"/>
                <w:highlight w:val="none"/>
              </w:rPr>
              <w:t>一般废物</w:t>
            </w:r>
          </w:p>
        </w:tc>
        <w:tc>
          <w:tcPr>
            <w:tcW w:w="973" w:type="pct"/>
            <w:noWrap w:val="0"/>
            <w:vAlign w:val="center"/>
          </w:tcPr>
          <w:p w14:paraId="5866F044">
            <w:pPr>
              <w:jc w:val="center"/>
              <w:rPr>
                <w:sz w:val="21"/>
                <w:szCs w:val="21"/>
                <w:highlight w:val="none"/>
              </w:rPr>
            </w:pPr>
            <w:r>
              <w:rPr>
                <w:sz w:val="21"/>
                <w:szCs w:val="21"/>
                <w:highlight w:val="none"/>
              </w:rPr>
              <w:t>一般废物</w:t>
            </w:r>
          </w:p>
        </w:tc>
        <w:tc>
          <w:tcPr>
            <w:tcW w:w="680" w:type="pct"/>
            <w:vMerge w:val="continue"/>
            <w:noWrap w:val="0"/>
            <w:vAlign w:val="center"/>
          </w:tcPr>
          <w:p w14:paraId="127F774F">
            <w:pPr>
              <w:jc w:val="center"/>
              <w:rPr>
                <w:sz w:val="21"/>
                <w:szCs w:val="21"/>
                <w:highlight w:val="none"/>
              </w:rPr>
            </w:pPr>
          </w:p>
        </w:tc>
      </w:tr>
      <w:tr w14:paraId="0C05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restart"/>
            <w:noWrap w:val="0"/>
            <w:vAlign w:val="center"/>
          </w:tcPr>
          <w:p w14:paraId="6C4E74E2">
            <w:pPr>
              <w:jc w:val="center"/>
              <w:rPr>
                <w:sz w:val="21"/>
                <w:szCs w:val="21"/>
                <w:highlight w:val="none"/>
              </w:rPr>
            </w:pPr>
            <w:r>
              <w:rPr>
                <w:sz w:val="21"/>
                <w:szCs w:val="21"/>
                <w:highlight w:val="none"/>
              </w:rPr>
              <w:t>净化装置</w:t>
            </w:r>
          </w:p>
        </w:tc>
        <w:tc>
          <w:tcPr>
            <w:tcW w:w="667" w:type="pct"/>
            <w:gridSpan w:val="2"/>
            <w:vMerge w:val="restart"/>
            <w:noWrap w:val="0"/>
            <w:vAlign w:val="center"/>
          </w:tcPr>
          <w:p w14:paraId="53398C78">
            <w:pPr>
              <w:jc w:val="center"/>
              <w:rPr>
                <w:sz w:val="21"/>
                <w:szCs w:val="21"/>
                <w:highlight w:val="none"/>
              </w:rPr>
            </w:pPr>
            <w:r>
              <w:rPr>
                <w:sz w:val="21"/>
                <w:szCs w:val="21"/>
                <w:highlight w:val="none"/>
              </w:rPr>
              <w:t>CO变换单元</w:t>
            </w:r>
          </w:p>
        </w:tc>
        <w:tc>
          <w:tcPr>
            <w:tcW w:w="739" w:type="pct"/>
            <w:noWrap w:val="0"/>
            <w:vAlign w:val="center"/>
          </w:tcPr>
          <w:p w14:paraId="768F58D5">
            <w:pPr>
              <w:jc w:val="center"/>
              <w:rPr>
                <w:sz w:val="21"/>
                <w:szCs w:val="21"/>
                <w:highlight w:val="none"/>
              </w:rPr>
            </w:pPr>
            <w:r>
              <w:rPr>
                <w:sz w:val="21"/>
                <w:szCs w:val="21"/>
                <w:highlight w:val="none"/>
              </w:rPr>
              <w:t>原料气过滤器废吸附剂</w:t>
            </w:r>
          </w:p>
        </w:tc>
        <w:tc>
          <w:tcPr>
            <w:tcW w:w="429" w:type="pct"/>
            <w:noWrap w:val="0"/>
            <w:vAlign w:val="center"/>
          </w:tcPr>
          <w:p w14:paraId="645F36B2">
            <w:pPr>
              <w:jc w:val="center"/>
              <w:rPr>
                <w:sz w:val="21"/>
                <w:szCs w:val="21"/>
                <w:highlight w:val="none"/>
              </w:rPr>
            </w:pPr>
            <w:r>
              <w:rPr>
                <w:sz w:val="21"/>
                <w:szCs w:val="21"/>
                <w:highlight w:val="none"/>
              </w:rPr>
              <w:t>346.4</w:t>
            </w:r>
          </w:p>
        </w:tc>
        <w:tc>
          <w:tcPr>
            <w:tcW w:w="887" w:type="pct"/>
            <w:noWrap w:val="0"/>
            <w:vAlign w:val="center"/>
          </w:tcPr>
          <w:p w14:paraId="5527CC45">
            <w:pPr>
              <w:jc w:val="center"/>
              <w:rPr>
                <w:sz w:val="21"/>
                <w:szCs w:val="21"/>
                <w:highlight w:val="none"/>
              </w:rPr>
            </w:pPr>
            <w:r>
              <w:rPr>
                <w:sz w:val="21"/>
                <w:szCs w:val="21"/>
                <w:highlight w:val="none"/>
              </w:rPr>
              <w:t>Al</w:t>
            </w:r>
            <w:r>
              <w:rPr>
                <w:sz w:val="21"/>
                <w:szCs w:val="21"/>
                <w:highlight w:val="none"/>
                <w:vertAlign w:val="subscript"/>
              </w:rPr>
              <w:t>2</w:t>
            </w:r>
            <w:r>
              <w:rPr>
                <w:sz w:val="21"/>
                <w:szCs w:val="21"/>
                <w:highlight w:val="none"/>
              </w:rPr>
              <w:t>O</w:t>
            </w:r>
            <w:r>
              <w:rPr>
                <w:sz w:val="21"/>
                <w:szCs w:val="21"/>
                <w:highlight w:val="none"/>
                <w:vertAlign w:val="subscript"/>
              </w:rPr>
              <w:t>3</w:t>
            </w:r>
            <w:r>
              <w:rPr>
                <w:sz w:val="21"/>
                <w:szCs w:val="21"/>
                <w:highlight w:val="none"/>
              </w:rPr>
              <w:t>、MgO</w:t>
            </w:r>
          </w:p>
        </w:tc>
        <w:tc>
          <w:tcPr>
            <w:tcW w:w="380" w:type="pct"/>
            <w:vMerge w:val="restart"/>
            <w:noWrap w:val="0"/>
            <w:vAlign w:val="center"/>
          </w:tcPr>
          <w:p w14:paraId="210E0ACC">
            <w:pPr>
              <w:jc w:val="center"/>
              <w:rPr>
                <w:sz w:val="21"/>
                <w:szCs w:val="21"/>
                <w:highlight w:val="none"/>
              </w:rPr>
            </w:pPr>
            <w:r>
              <w:rPr>
                <w:sz w:val="21"/>
                <w:szCs w:val="21"/>
                <w:highlight w:val="none"/>
              </w:rPr>
              <w:t>危险废物</w:t>
            </w:r>
          </w:p>
          <w:p w14:paraId="22DCA77F">
            <w:pPr>
              <w:jc w:val="center"/>
              <w:rPr>
                <w:sz w:val="21"/>
                <w:szCs w:val="21"/>
                <w:highlight w:val="none"/>
              </w:rPr>
            </w:pPr>
            <w:r>
              <w:rPr>
                <w:sz w:val="21"/>
                <w:szCs w:val="21"/>
                <w:highlight w:val="none"/>
              </w:rPr>
              <w:t>HW49</w:t>
            </w:r>
          </w:p>
        </w:tc>
        <w:tc>
          <w:tcPr>
            <w:tcW w:w="973" w:type="pct"/>
            <w:noWrap w:val="0"/>
            <w:vAlign w:val="center"/>
          </w:tcPr>
          <w:p w14:paraId="41478FC5">
            <w:pPr>
              <w:jc w:val="center"/>
              <w:rPr>
                <w:sz w:val="21"/>
                <w:szCs w:val="21"/>
                <w:highlight w:val="none"/>
              </w:rPr>
            </w:pPr>
            <w:r>
              <w:rPr>
                <w:sz w:val="21"/>
                <w:szCs w:val="21"/>
                <w:highlight w:val="none"/>
              </w:rPr>
              <w:t>危险废物（HW49其他废物）</w:t>
            </w:r>
          </w:p>
        </w:tc>
        <w:tc>
          <w:tcPr>
            <w:tcW w:w="680" w:type="pct"/>
            <w:noWrap w:val="0"/>
            <w:vAlign w:val="center"/>
          </w:tcPr>
          <w:p w14:paraId="13E994B6">
            <w:pPr>
              <w:jc w:val="center"/>
              <w:rPr>
                <w:rFonts w:hint="default" w:eastAsia="宋体"/>
                <w:sz w:val="21"/>
                <w:szCs w:val="21"/>
                <w:highlight w:val="none"/>
                <w:lang w:val="en-US" w:eastAsia="zh-CN"/>
              </w:rPr>
            </w:pPr>
            <w:r>
              <w:rPr>
                <w:rFonts w:hint="eastAsia"/>
                <w:sz w:val="21"/>
                <w:szCs w:val="21"/>
                <w:highlight w:val="none"/>
                <w:lang w:val="en-US" w:eastAsia="zh-CN"/>
              </w:rPr>
              <w:t>委托第三方有资质单位处置</w:t>
            </w:r>
          </w:p>
        </w:tc>
      </w:tr>
      <w:tr w14:paraId="1FD6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7F671C15">
            <w:pPr>
              <w:jc w:val="center"/>
              <w:rPr>
                <w:sz w:val="21"/>
                <w:szCs w:val="21"/>
                <w:highlight w:val="none"/>
              </w:rPr>
            </w:pPr>
          </w:p>
        </w:tc>
        <w:tc>
          <w:tcPr>
            <w:tcW w:w="667" w:type="pct"/>
            <w:gridSpan w:val="2"/>
            <w:vMerge w:val="continue"/>
            <w:noWrap w:val="0"/>
            <w:vAlign w:val="center"/>
          </w:tcPr>
          <w:p w14:paraId="2A633268">
            <w:pPr>
              <w:jc w:val="center"/>
              <w:rPr>
                <w:sz w:val="21"/>
                <w:szCs w:val="21"/>
                <w:highlight w:val="none"/>
              </w:rPr>
            </w:pPr>
          </w:p>
        </w:tc>
        <w:tc>
          <w:tcPr>
            <w:tcW w:w="739" w:type="pct"/>
            <w:noWrap w:val="0"/>
            <w:vAlign w:val="center"/>
          </w:tcPr>
          <w:p w14:paraId="3846AE40">
            <w:pPr>
              <w:jc w:val="center"/>
              <w:rPr>
                <w:sz w:val="21"/>
                <w:szCs w:val="21"/>
                <w:highlight w:val="none"/>
              </w:rPr>
            </w:pPr>
            <w:r>
              <w:rPr>
                <w:sz w:val="21"/>
                <w:szCs w:val="21"/>
                <w:highlight w:val="none"/>
              </w:rPr>
              <w:t>第一变换炉废催化剂</w:t>
            </w:r>
          </w:p>
        </w:tc>
        <w:tc>
          <w:tcPr>
            <w:tcW w:w="429" w:type="pct"/>
            <w:noWrap w:val="0"/>
            <w:vAlign w:val="center"/>
          </w:tcPr>
          <w:p w14:paraId="4A9D28CD">
            <w:pPr>
              <w:jc w:val="center"/>
              <w:rPr>
                <w:b/>
                <w:sz w:val="21"/>
                <w:szCs w:val="21"/>
                <w:highlight w:val="none"/>
              </w:rPr>
            </w:pPr>
            <w:r>
              <w:rPr>
                <w:sz w:val="21"/>
                <w:szCs w:val="21"/>
                <w:highlight w:val="none"/>
              </w:rPr>
              <w:t>37.3m</w:t>
            </w:r>
            <w:r>
              <w:rPr>
                <w:sz w:val="21"/>
                <w:szCs w:val="21"/>
                <w:highlight w:val="none"/>
                <w:vertAlign w:val="superscript"/>
              </w:rPr>
              <w:t>3</w:t>
            </w:r>
            <w:r>
              <w:rPr>
                <w:sz w:val="21"/>
                <w:szCs w:val="21"/>
                <w:highlight w:val="none"/>
              </w:rPr>
              <w:t>/a</w:t>
            </w:r>
          </w:p>
        </w:tc>
        <w:tc>
          <w:tcPr>
            <w:tcW w:w="887" w:type="pct"/>
            <w:noWrap w:val="0"/>
            <w:vAlign w:val="center"/>
          </w:tcPr>
          <w:p w14:paraId="66B374E7">
            <w:pPr>
              <w:jc w:val="center"/>
              <w:rPr>
                <w:sz w:val="21"/>
                <w:szCs w:val="21"/>
                <w:highlight w:val="none"/>
              </w:rPr>
            </w:pPr>
            <w:r>
              <w:rPr>
                <w:sz w:val="21"/>
                <w:szCs w:val="21"/>
                <w:highlight w:val="none"/>
              </w:rPr>
              <w:t>Co、Mo氧化物</w:t>
            </w:r>
          </w:p>
        </w:tc>
        <w:tc>
          <w:tcPr>
            <w:tcW w:w="380" w:type="pct"/>
            <w:vMerge w:val="continue"/>
            <w:noWrap w:val="0"/>
            <w:vAlign w:val="center"/>
          </w:tcPr>
          <w:p w14:paraId="19F33671">
            <w:pPr>
              <w:jc w:val="center"/>
              <w:rPr>
                <w:sz w:val="21"/>
                <w:szCs w:val="21"/>
                <w:highlight w:val="none"/>
              </w:rPr>
            </w:pPr>
          </w:p>
        </w:tc>
        <w:tc>
          <w:tcPr>
            <w:tcW w:w="973" w:type="pct"/>
            <w:vMerge w:val="restart"/>
            <w:noWrap w:val="0"/>
            <w:vAlign w:val="center"/>
          </w:tcPr>
          <w:p w14:paraId="61E70E4A">
            <w:pPr>
              <w:jc w:val="center"/>
              <w:rPr>
                <w:sz w:val="21"/>
                <w:szCs w:val="21"/>
                <w:highlight w:val="none"/>
              </w:rPr>
            </w:pPr>
            <w:r>
              <w:rPr>
                <w:sz w:val="21"/>
                <w:szCs w:val="21"/>
                <w:highlight w:val="none"/>
              </w:rPr>
              <w:t>危险废物（HW50废催化剂）</w:t>
            </w:r>
          </w:p>
        </w:tc>
        <w:tc>
          <w:tcPr>
            <w:tcW w:w="680" w:type="pct"/>
            <w:noWrap w:val="0"/>
            <w:vAlign w:val="center"/>
          </w:tcPr>
          <w:p w14:paraId="690950FA">
            <w:pPr>
              <w:jc w:val="center"/>
              <w:rPr>
                <w:sz w:val="21"/>
                <w:szCs w:val="21"/>
                <w:highlight w:val="none"/>
              </w:rPr>
            </w:pPr>
            <w:r>
              <w:rPr>
                <w:sz w:val="21"/>
                <w:szCs w:val="21"/>
                <w:highlight w:val="none"/>
              </w:rPr>
              <w:t>厂家回收</w:t>
            </w:r>
          </w:p>
        </w:tc>
      </w:tr>
      <w:tr w14:paraId="34ED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22A8DEB3">
            <w:pPr>
              <w:jc w:val="center"/>
              <w:rPr>
                <w:sz w:val="21"/>
                <w:szCs w:val="21"/>
                <w:highlight w:val="none"/>
              </w:rPr>
            </w:pPr>
          </w:p>
        </w:tc>
        <w:tc>
          <w:tcPr>
            <w:tcW w:w="667" w:type="pct"/>
            <w:gridSpan w:val="2"/>
            <w:vMerge w:val="continue"/>
            <w:noWrap w:val="0"/>
            <w:vAlign w:val="center"/>
          </w:tcPr>
          <w:p w14:paraId="5F337D32">
            <w:pPr>
              <w:jc w:val="center"/>
              <w:rPr>
                <w:sz w:val="21"/>
                <w:szCs w:val="21"/>
                <w:highlight w:val="none"/>
              </w:rPr>
            </w:pPr>
          </w:p>
        </w:tc>
        <w:tc>
          <w:tcPr>
            <w:tcW w:w="739" w:type="pct"/>
            <w:noWrap w:val="0"/>
            <w:vAlign w:val="center"/>
          </w:tcPr>
          <w:p w14:paraId="0435F4F4">
            <w:pPr>
              <w:jc w:val="center"/>
              <w:rPr>
                <w:sz w:val="21"/>
                <w:szCs w:val="21"/>
                <w:highlight w:val="none"/>
              </w:rPr>
            </w:pPr>
            <w:r>
              <w:rPr>
                <w:sz w:val="21"/>
                <w:szCs w:val="21"/>
                <w:highlight w:val="none"/>
              </w:rPr>
              <w:t>第二变换炉废催化剂</w:t>
            </w:r>
          </w:p>
        </w:tc>
        <w:tc>
          <w:tcPr>
            <w:tcW w:w="429" w:type="pct"/>
            <w:noWrap w:val="0"/>
            <w:vAlign w:val="center"/>
          </w:tcPr>
          <w:p w14:paraId="1CD601AA">
            <w:pPr>
              <w:jc w:val="center"/>
              <w:rPr>
                <w:b/>
                <w:sz w:val="21"/>
                <w:szCs w:val="21"/>
                <w:highlight w:val="none"/>
              </w:rPr>
            </w:pPr>
            <w:r>
              <w:rPr>
                <w:sz w:val="21"/>
                <w:szCs w:val="21"/>
                <w:highlight w:val="none"/>
              </w:rPr>
              <w:t>65m</w:t>
            </w:r>
            <w:r>
              <w:rPr>
                <w:sz w:val="21"/>
                <w:szCs w:val="21"/>
                <w:highlight w:val="none"/>
                <w:vertAlign w:val="superscript"/>
              </w:rPr>
              <w:t>3</w:t>
            </w:r>
            <w:r>
              <w:rPr>
                <w:sz w:val="21"/>
                <w:szCs w:val="21"/>
                <w:highlight w:val="none"/>
              </w:rPr>
              <w:t>/a</w:t>
            </w:r>
          </w:p>
        </w:tc>
        <w:tc>
          <w:tcPr>
            <w:tcW w:w="887" w:type="pct"/>
            <w:noWrap w:val="0"/>
            <w:vAlign w:val="center"/>
          </w:tcPr>
          <w:p w14:paraId="3829189C">
            <w:pPr>
              <w:jc w:val="center"/>
              <w:rPr>
                <w:sz w:val="21"/>
                <w:szCs w:val="21"/>
                <w:highlight w:val="none"/>
              </w:rPr>
            </w:pPr>
            <w:r>
              <w:rPr>
                <w:sz w:val="21"/>
                <w:szCs w:val="21"/>
                <w:highlight w:val="none"/>
              </w:rPr>
              <w:t>Co、Mo氧化物</w:t>
            </w:r>
          </w:p>
        </w:tc>
        <w:tc>
          <w:tcPr>
            <w:tcW w:w="380" w:type="pct"/>
            <w:vMerge w:val="continue"/>
            <w:noWrap w:val="0"/>
            <w:vAlign w:val="center"/>
          </w:tcPr>
          <w:p w14:paraId="6717297A">
            <w:pPr>
              <w:ind w:firstLine="420"/>
              <w:jc w:val="center"/>
              <w:rPr>
                <w:sz w:val="21"/>
                <w:szCs w:val="21"/>
                <w:highlight w:val="none"/>
              </w:rPr>
            </w:pPr>
          </w:p>
        </w:tc>
        <w:tc>
          <w:tcPr>
            <w:tcW w:w="973" w:type="pct"/>
            <w:vMerge w:val="continue"/>
            <w:noWrap w:val="0"/>
            <w:vAlign w:val="center"/>
          </w:tcPr>
          <w:p w14:paraId="6A1C35E9">
            <w:pPr>
              <w:jc w:val="center"/>
              <w:rPr>
                <w:sz w:val="21"/>
                <w:szCs w:val="21"/>
                <w:highlight w:val="none"/>
              </w:rPr>
            </w:pPr>
          </w:p>
        </w:tc>
        <w:tc>
          <w:tcPr>
            <w:tcW w:w="680" w:type="pct"/>
            <w:noWrap w:val="0"/>
            <w:vAlign w:val="center"/>
          </w:tcPr>
          <w:p w14:paraId="7682DAE6">
            <w:pPr>
              <w:jc w:val="center"/>
              <w:rPr>
                <w:sz w:val="21"/>
                <w:szCs w:val="21"/>
                <w:highlight w:val="none"/>
              </w:rPr>
            </w:pPr>
            <w:r>
              <w:rPr>
                <w:sz w:val="21"/>
                <w:szCs w:val="21"/>
                <w:highlight w:val="none"/>
              </w:rPr>
              <w:t>厂家回收</w:t>
            </w:r>
          </w:p>
        </w:tc>
      </w:tr>
      <w:tr w14:paraId="366F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06FC25F9">
            <w:pPr>
              <w:jc w:val="center"/>
              <w:rPr>
                <w:sz w:val="21"/>
                <w:szCs w:val="21"/>
                <w:highlight w:val="none"/>
              </w:rPr>
            </w:pPr>
          </w:p>
        </w:tc>
        <w:tc>
          <w:tcPr>
            <w:tcW w:w="667" w:type="pct"/>
            <w:gridSpan w:val="2"/>
            <w:vMerge w:val="restart"/>
            <w:noWrap w:val="0"/>
            <w:vAlign w:val="center"/>
          </w:tcPr>
          <w:p w14:paraId="59A70DE0">
            <w:pPr>
              <w:jc w:val="center"/>
              <w:rPr>
                <w:sz w:val="21"/>
                <w:szCs w:val="21"/>
                <w:highlight w:val="none"/>
              </w:rPr>
            </w:pPr>
            <w:r>
              <w:rPr>
                <w:sz w:val="21"/>
                <w:szCs w:val="21"/>
                <w:highlight w:val="none"/>
              </w:rPr>
              <w:t>硫回收单元</w:t>
            </w:r>
          </w:p>
        </w:tc>
        <w:tc>
          <w:tcPr>
            <w:tcW w:w="739" w:type="pct"/>
            <w:noWrap w:val="0"/>
            <w:vAlign w:val="center"/>
          </w:tcPr>
          <w:p w14:paraId="7BB5CD52">
            <w:pPr>
              <w:jc w:val="center"/>
              <w:rPr>
                <w:sz w:val="21"/>
                <w:szCs w:val="21"/>
                <w:highlight w:val="none"/>
              </w:rPr>
            </w:pPr>
            <w:r>
              <w:rPr>
                <w:sz w:val="21"/>
                <w:szCs w:val="21"/>
                <w:highlight w:val="none"/>
              </w:rPr>
              <w:t>废克劳斯铝催化剂</w:t>
            </w:r>
          </w:p>
        </w:tc>
        <w:tc>
          <w:tcPr>
            <w:tcW w:w="429" w:type="pct"/>
            <w:noWrap w:val="0"/>
            <w:vAlign w:val="center"/>
          </w:tcPr>
          <w:p w14:paraId="1E349453">
            <w:pPr>
              <w:jc w:val="center"/>
              <w:rPr>
                <w:sz w:val="21"/>
                <w:szCs w:val="21"/>
                <w:highlight w:val="none"/>
              </w:rPr>
            </w:pPr>
            <w:r>
              <w:rPr>
                <w:sz w:val="21"/>
                <w:szCs w:val="21"/>
                <w:highlight w:val="none"/>
              </w:rPr>
              <w:t>3.5m</w:t>
            </w:r>
            <w:r>
              <w:rPr>
                <w:sz w:val="21"/>
                <w:szCs w:val="21"/>
                <w:highlight w:val="none"/>
                <w:vertAlign w:val="superscript"/>
              </w:rPr>
              <w:t>3</w:t>
            </w:r>
            <w:r>
              <w:rPr>
                <w:sz w:val="21"/>
                <w:szCs w:val="21"/>
                <w:highlight w:val="none"/>
              </w:rPr>
              <w:t>/a</w:t>
            </w:r>
          </w:p>
        </w:tc>
        <w:tc>
          <w:tcPr>
            <w:tcW w:w="887" w:type="pct"/>
            <w:noWrap w:val="0"/>
            <w:vAlign w:val="center"/>
          </w:tcPr>
          <w:p w14:paraId="1D7AE3C3">
            <w:pPr>
              <w:jc w:val="center"/>
              <w:rPr>
                <w:sz w:val="21"/>
                <w:szCs w:val="21"/>
                <w:highlight w:val="none"/>
              </w:rPr>
            </w:pPr>
            <w:r>
              <w:rPr>
                <w:sz w:val="21"/>
                <w:szCs w:val="21"/>
                <w:highlight w:val="none"/>
              </w:rPr>
              <w:t>Al</w:t>
            </w:r>
            <w:r>
              <w:rPr>
                <w:sz w:val="21"/>
                <w:szCs w:val="21"/>
                <w:highlight w:val="none"/>
                <w:vertAlign w:val="subscript"/>
              </w:rPr>
              <w:t>2</w:t>
            </w:r>
            <w:r>
              <w:rPr>
                <w:sz w:val="21"/>
                <w:szCs w:val="21"/>
                <w:highlight w:val="none"/>
              </w:rPr>
              <w:t>O</w:t>
            </w:r>
            <w:r>
              <w:rPr>
                <w:sz w:val="21"/>
                <w:szCs w:val="21"/>
                <w:highlight w:val="none"/>
                <w:vertAlign w:val="subscript"/>
              </w:rPr>
              <w:t>3</w:t>
            </w:r>
          </w:p>
        </w:tc>
        <w:tc>
          <w:tcPr>
            <w:tcW w:w="380" w:type="pct"/>
            <w:vMerge w:val="restart"/>
            <w:noWrap w:val="0"/>
            <w:vAlign w:val="center"/>
          </w:tcPr>
          <w:p w14:paraId="018EB880">
            <w:pPr>
              <w:jc w:val="center"/>
              <w:rPr>
                <w:sz w:val="21"/>
                <w:szCs w:val="21"/>
                <w:highlight w:val="none"/>
              </w:rPr>
            </w:pPr>
            <w:r>
              <w:rPr>
                <w:sz w:val="21"/>
                <w:szCs w:val="21"/>
                <w:highlight w:val="none"/>
              </w:rPr>
              <w:t>危险废物</w:t>
            </w:r>
          </w:p>
          <w:p w14:paraId="5417FB0E">
            <w:pPr>
              <w:jc w:val="center"/>
              <w:rPr>
                <w:sz w:val="21"/>
                <w:szCs w:val="21"/>
                <w:highlight w:val="none"/>
              </w:rPr>
            </w:pPr>
            <w:r>
              <w:rPr>
                <w:sz w:val="21"/>
                <w:szCs w:val="21"/>
                <w:highlight w:val="none"/>
              </w:rPr>
              <w:t>HW49</w:t>
            </w:r>
          </w:p>
        </w:tc>
        <w:tc>
          <w:tcPr>
            <w:tcW w:w="973" w:type="pct"/>
            <w:vMerge w:val="restart"/>
            <w:noWrap w:val="0"/>
            <w:vAlign w:val="center"/>
          </w:tcPr>
          <w:p w14:paraId="2FF6E279">
            <w:pPr>
              <w:jc w:val="center"/>
              <w:rPr>
                <w:sz w:val="21"/>
                <w:szCs w:val="21"/>
                <w:highlight w:val="none"/>
              </w:rPr>
            </w:pPr>
            <w:r>
              <w:rPr>
                <w:sz w:val="21"/>
                <w:szCs w:val="21"/>
                <w:highlight w:val="none"/>
              </w:rPr>
              <w:t>危险废物（HW50废催化剂）</w:t>
            </w:r>
          </w:p>
        </w:tc>
        <w:tc>
          <w:tcPr>
            <w:tcW w:w="680" w:type="pct"/>
            <w:noWrap w:val="0"/>
            <w:vAlign w:val="center"/>
          </w:tcPr>
          <w:p w14:paraId="200C2C20">
            <w:pPr>
              <w:jc w:val="center"/>
              <w:rPr>
                <w:sz w:val="21"/>
                <w:szCs w:val="21"/>
                <w:highlight w:val="none"/>
              </w:rPr>
            </w:pPr>
            <w:r>
              <w:rPr>
                <w:rFonts w:hint="eastAsia"/>
                <w:sz w:val="21"/>
                <w:szCs w:val="21"/>
                <w:highlight w:val="none"/>
                <w:lang w:val="en-US" w:eastAsia="zh-CN"/>
              </w:rPr>
              <w:t>委托第三方有资质单位处置</w:t>
            </w:r>
          </w:p>
        </w:tc>
      </w:tr>
      <w:tr w14:paraId="2B6D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03FABD1A">
            <w:pPr>
              <w:jc w:val="center"/>
              <w:rPr>
                <w:sz w:val="21"/>
                <w:szCs w:val="21"/>
                <w:highlight w:val="none"/>
              </w:rPr>
            </w:pPr>
          </w:p>
        </w:tc>
        <w:tc>
          <w:tcPr>
            <w:tcW w:w="667" w:type="pct"/>
            <w:gridSpan w:val="2"/>
            <w:vMerge w:val="continue"/>
            <w:noWrap w:val="0"/>
            <w:vAlign w:val="center"/>
          </w:tcPr>
          <w:p w14:paraId="5B9E8736">
            <w:pPr>
              <w:jc w:val="center"/>
              <w:rPr>
                <w:sz w:val="21"/>
                <w:szCs w:val="21"/>
                <w:highlight w:val="none"/>
              </w:rPr>
            </w:pPr>
          </w:p>
        </w:tc>
        <w:tc>
          <w:tcPr>
            <w:tcW w:w="739" w:type="pct"/>
            <w:noWrap w:val="0"/>
            <w:vAlign w:val="center"/>
          </w:tcPr>
          <w:p w14:paraId="175D9628">
            <w:pPr>
              <w:jc w:val="center"/>
              <w:rPr>
                <w:sz w:val="21"/>
                <w:szCs w:val="21"/>
                <w:highlight w:val="none"/>
              </w:rPr>
            </w:pPr>
            <w:r>
              <w:rPr>
                <w:sz w:val="21"/>
                <w:szCs w:val="21"/>
                <w:highlight w:val="none"/>
              </w:rPr>
              <w:t>废克劳斯钛催化剂</w:t>
            </w:r>
          </w:p>
        </w:tc>
        <w:tc>
          <w:tcPr>
            <w:tcW w:w="429" w:type="pct"/>
            <w:noWrap w:val="0"/>
            <w:vAlign w:val="center"/>
          </w:tcPr>
          <w:p w14:paraId="166337B1">
            <w:pPr>
              <w:jc w:val="center"/>
              <w:rPr>
                <w:sz w:val="21"/>
                <w:szCs w:val="21"/>
                <w:highlight w:val="none"/>
              </w:rPr>
            </w:pPr>
            <w:r>
              <w:rPr>
                <w:sz w:val="21"/>
                <w:szCs w:val="21"/>
                <w:highlight w:val="none"/>
              </w:rPr>
              <w:t>2.7m</w:t>
            </w:r>
            <w:r>
              <w:rPr>
                <w:sz w:val="21"/>
                <w:szCs w:val="21"/>
                <w:highlight w:val="none"/>
                <w:vertAlign w:val="superscript"/>
              </w:rPr>
              <w:t>3</w:t>
            </w:r>
            <w:r>
              <w:rPr>
                <w:sz w:val="21"/>
                <w:szCs w:val="21"/>
                <w:highlight w:val="none"/>
              </w:rPr>
              <w:t>/a</w:t>
            </w:r>
          </w:p>
        </w:tc>
        <w:tc>
          <w:tcPr>
            <w:tcW w:w="887" w:type="pct"/>
            <w:noWrap w:val="0"/>
            <w:vAlign w:val="center"/>
          </w:tcPr>
          <w:p w14:paraId="27757D40">
            <w:pPr>
              <w:jc w:val="center"/>
              <w:rPr>
                <w:sz w:val="21"/>
                <w:szCs w:val="21"/>
                <w:highlight w:val="none"/>
              </w:rPr>
            </w:pPr>
            <w:r>
              <w:rPr>
                <w:sz w:val="21"/>
                <w:szCs w:val="21"/>
                <w:highlight w:val="none"/>
              </w:rPr>
              <w:t>TiO</w:t>
            </w:r>
            <w:r>
              <w:rPr>
                <w:sz w:val="21"/>
                <w:szCs w:val="21"/>
                <w:highlight w:val="none"/>
                <w:vertAlign w:val="subscript"/>
              </w:rPr>
              <w:t>2</w:t>
            </w:r>
          </w:p>
        </w:tc>
        <w:tc>
          <w:tcPr>
            <w:tcW w:w="380" w:type="pct"/>
            <w:vMerge w:val="continue"/>
            <w:noWrap w:val="0"/>
            <w:vAlign w:val="center"/>
          </w:tcPr>
          <w:p w14:paraId="2F4EA377">
            <w:pPr>
              <w:jc w:val="center"/>
              <w:rPr>
                <w:sz w:val="21"/>
                <w:szCs w:val="21"/>
                <w:highlight w:val="none"/>
              </w:rPr>
            </w:pPr>
          </w:p>
        </w:tc>
        <w:tc>
          <w:tcPr>
            <w:tcW w:w="973" w:type="pct"/>
            <w:vMerge w:val="continue"/>
            <w:noWrap w:val="0"/>
            <w:vAlign w:val="center"/>
          </w:tcPr>
          <w:p w14:paraId="59019F53">
            <w:pPr>
              <w:jc w:val="center"/>
              <w:rPr>
                <w:sz w:val="21"/>
                <w:szCs w:val="21"/>
                <w:highlight w:val="none"/>
              </w:rPr>
            </w:pPr>
          </w:p>
        </w:tc>
        <w:tc>
          <w:tcPr>
            <w:tcW w:w="680" w:type="pct"/>
            <w:noWrap w:val="0"/>
            <w:vAlign w:val="center"/>
          </w:tcPr>
          <w:p w14:paraId="48D1ECB8">
            <w:pPr>
              <w:jc w:val="center"/>
              <w:rPr>
                <w:sz w:val="21"/>
                <w:szCs w:val="21"/>
                <w:highlight w:val="none"/>
              </w:rPr>
            </w:pPr>
            <w:r>
              <w:rPr>
                <w:sz w:val="21"/>
                <w:szCs w:val="21"/>
                <w:highlight w:val="none"/>
              </w:rPr>
              <w:t>厂家回收</w:t>
            </w:r>
          </w:p>
        </w:tc>
      </w:tr>
      <w:tr w14:paraId="7ED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restart"/>
            <w:noWrap w:val="0"/>
            <w:vAlign w:val="center"/>
          </w:tcPr>
          <w:p w14:paraId="600B3130">
            <w:pPr>
              <w:jc w:val="center"/>
              <w:rPr>
                <w:sz w:val="21"/>
                <w:szCs w:val="21"/>
                <w:highlight w:val="none"/>
              </w:rPr>
            </w:pPr>
            <w:r>
              <w:rPr>
                <w:sz w:val="21"/>
                <w:szCs w:val="21"/>
                <w:highlight w:val="none"/>
              </w:rPr>
              <w:t>化学品</w:t>
            </w:r>
          </w:p>
          <w:p w14:paraId="2A0019CC">
            <w:pPr>
              <w:jc w:val="center"/>
              <w:rPr>
                <w:sz w:val="21"/>
                <w:szCs w:val="21"/>
                <w:highlight w:val="none"/>
              </w:rPr>
            </w:pPr>
            <w:r>
              <w:rPr>
                <w:sz w:val="21"/>
                <w:szCs w:val="21"/>
                <w:highlight w:val="none"/>
              </w:rPr>
              <w:t>合成装置</w:t>
            </w:r>
          </w:p>
        </w:tc>
        <w:tc>
          <w:tcPr>
            <w:tcW w:w="667" w:type="pct"/>
            <w:gridSpan w:val="2"/>
            <w:vMerge w:val="restart"/>
            <w:noWrap w:val="0"/>
            <w:vAlign w:val="center"/>
          </w:tcPr>
          <w:p w14:paraId="7109B4B4">
            <w:pPr>
              <w:jc w:val="center"/>
              <w:rPr>
                <w:sz w:val="21"/>
                <w:szCs w:val="21"/>
                <w:highlight w:val="none"/>
              </w:rPr>
            </w:pPr>
            <w:r>
              <w:rPr>
                <w:sz w:val="21"/>
                <w:szCs w:val="21"/>
                <w:highlight w:val="none"/>
              </w:rPr>
              <w:t>精脱硫单元</w:t>
            </w:r>
          </w:p>
        </w:tc>
        <w:tc>
          <w:tcPr>
            <w:tcW w:w="739" w:type="pct"/>
            <w:noWrap w:val="0"/>
            <w:vAlign w:val="center"/>
          </w:tcPr>
          <w:p w14:paraId="4B25CFD7">
            <w:pPr>
              <w:jc w:val="center"/>
              <w:rPr>
                <w:sz w:val="21"/>
                <w:szCs w:val="21"/>
                <w:highlight w:val="none"/>
              </w:rPr>
            </w:pPr>
            <w:r>
              <w:rPr>
                <w:sz w:val="21"/>
                <w:szCs w:val="21"/>
                <w:highlight w:val="none"/>
              </w:rPr>
              <w:t>精脱硫单元废包装袋</w:t>
            </w:r>
          </w:p>
        </w:tc>
        <w:tc>
          <w:tcPr>
            <w:tcW w:w="429" w:type="pct"/>
            <w:noWrap w:val="0"/>
            <w:vAlign w:val="center"/>
          </w:tcPr>
          <w:p w14:paraId="173C9DED">
            <w:pPr>
              <w:jc w:val="center"/>
              <w:rPr>
                <w:sz w:val="21"/>
                <w:szCs w:val="21"/>
                <w:highlight w:val="none"/>
              </w:rPr>
            </w:pPr>
            <w:r>
              <w:rPr>
                <w:sz w:val="21"/>
                <w:szCs w:val="21"/>
                <w:highlight w:val="none"/>
              </w:rPr>
              <w:t>0.33</w:t>
            </w:r>
          </w:p>
        </w:tc>
        <w:tc>
          <w:tcPr>
            <w:tcW w:w="887" w:type="pct"/>
            <w:noWrap w:val="0"/>
            <w:vAlign w:val="center"/>
          </w:tcPr>
          <w:p w14:paraId="4C6FA08B">
            <w:pPr>
              <w:jc w:val="center"/>
              <w:rPr>
                <w:sz w:val="21"/>
                <w:szCs w:val="21"/>
                <w:highlight w:val="none"/>
              </w:rPr>
            </w:pPr>
            <w:r>
              <w:rPr>
                <w:sz w:val="21"/>
                <w:szCs w:val="21"/>
                <w:highlight w:val="none"/>
              </w:rPr>
              <w:t>聚乙烯包装袋残留氧化锌</w:t>
            </w:r>
          </w:p>
        </w:tc>
        <w:tc>
          <w:tcPr>
            <w:tcW w:w="380" w:type="pct"/>
            <w:noWrap w:val="0"/>
            <w:vAlign w:val="center"/>
          </w:tcPr>
          <w:p w14:paraId="494557E3">
            <w:pPr>
              <w:jc w:val="center"/>
              <w:rPr>
                <w:sz w:val="21"/>
                <w:szCs w:val="21"/>
                <w:highlight w:val="none"/>
              </w:rPr>
            </w:pPr>
            <w:r>
              <w:rPr>
                <w:sz w:val="21"/>
                <w:szCs w:val="21"/>
                <w:highlight w:val="none"/>
              </w:rPr>
              <w:t>危险废物HW49</w:t>
            </w:r>
          </w:p>
        </w:tc>
        <w:tc>
          <w:tcPr>
            <w:tcW w:w="973" w:type="pct"/>
            <w:noWrap w:val="0"/>
            <w:vAlign w:val="center"/>
          </w:tcPr>
          <w:p w14:paraId="5F73EF3E">
            <w:pPr>
              <w:jc w:val="center"/>
              <w:rPr>
                <w:sz w:val="21"/>
                <w:szCs w:val="21"/>
                <w:highlight w:val="none"/>
              </w:rPr>
            </w:pPr>
            <w:r>
              <w:rPr>
                <w:sz w:val="21"/>
                <w:szCs w:val="21"/>
                <w:highlight w:val="none"/>
              </w:rPr>
              <w:t>危险废物（HW49其他废物）</w:t>
            </w:r>
          </w:p>
        </w:tc>
        <w:tc>
          <w:tcPr>
            <w:tcW w:w="680" w:type="pct"/>
            <w:noWrap w:val="0"/>
            <w:vAlign w:val="center"/>
          </w:tcPr>
          <w:p w14:paraId="017B095A">
            <w:pPr>
              <w:jc w:val="center"/>
              <w:rPr>
                <w:sz w:val="21"/>
                <w:szCs w:val="21"/>
                <w:highlight w:val="none"/>
              </w:rPr>
            </w:pPr>
            <w:r>
              <w:rPr>
                <w:rFonts w:hint="eastAsia"/>
                <w:sz w:val="21"/>
                <w:szCs w:val="21"/>
                <w:highlight w:val="none"/>
                <w:lang w:val="en-US" w:eastAsia="zh-CN"/>
              </w:rPr>
              <w:t>委托第三方有资质单位处置</w:t>
            </w:r>
          </w:p>
        </w:tc>
      </w:tr>
      <w:tr w14:paraId="4057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0BEED447">
            <w:pPr>
              <w:ind w:firstLine="420"/>
              <w:jc w:val="center"/>
              <w:rPr>
                <w:sz w:val="21"/>
                <w:szCs w:val="21"/>
                <w:highlight w:val="none"/>
              </w:rPr>
            </w:pPr>
          </w:p>
        </w:tc>
        <w:tc>
          <w:tcPr>
            <w:tcW w:w="667" w:type="pct"/>
            <w:gridSpan w:val="2"/>
            <w:vMerge w:val="continue"/>
            <w:noWrap w:val="0"/>
            <w:vAlign w:val="center"/>
          </w:tcPr>
          <w:p w14:paraId="79A504FE">
            <w:pPr>
              <w:jc w:val="center"/>
              <w:rPr>
                <w:sz w:val="21"/>
                <w:szCs w:val="21"/>
                <w:highlight w:val="none"/>
              </w:rPr>
            </w:pPr>
          </w:p>
        </w:tc>
        <w:tc>
          <w:tcPr>
            <w:tcW w:w="739" w:type="pct"/>
            <w:noWrap w:val="0"/>
            <w:vAlign w:val="center"/>
          </w:tcPr>
          <w:p w14:paraId="00EB051B">
            <w:pPr>
              <w:jc w:val="center"/>
              <w:rPr>
                <w:sz w:val="21"/>
                <w:szCs w:val="21"/>
                <w:highlight w:val="none"/>
              </w:rPr>
            </w:pPr>
            <w:r>
              <w:rPr>
                <w:sz w:val="21"/>
                <w:szCs w:val="21"/>
                <w:highlight w:val="none"/>
              </w:rPr>
              <w:t>废催化剂x-6b</w:t>
            </w:r>
          </w:p>
        </w:tc>
        <w:tc>
          <w:tcPr>
            <w:tcW w:w="429" w:type="pct"/>
            <w:noWrap w:val="0"/>
            <w:vAlign w:val="center"/>
          </w:tcPr>
          <w:p w14:paraId="153C7394">
            <w:pPr>
              <w:jc w:val="center"/>
              <w:rPr>
                <w:sz w:val="21"/>
                <w:szCs w:val="21"/>
                <w:highlight w:val="none"/>
              </w:rPr>
            </w:pPr>
            <w:r>
              <w:rPr>
                <w:sz w:val="21"/>
                <w:szCs w:val="21"/>
                <w:highlight w:val="none"/>
              </w:rPr>
              <w:t>90t/3a</w:t>
            </w:r>
          </w:p>
        </w:tc>
        <w:tc>
          <w:tcPr>
            <w:tcW w:w="887" w:type="pct"/>
            <w:noWrap w:val="0"/>
            <w:vAlign w:val="center"/>
          </w:tcPr>
          <w:p w14:paraId="666703A0">
            <w:pPr>
              <w:jc w:val="center"/>
              <w:rPr>
                <w:sz w:val="21"/>
                <w:szCs w:val="21"/>
                <w:highlight w:val="none"/>
              </w:rPr>
            </w:pPr>
            <w:r>
              <w:rPr>
                <w:sz w:val="21"/>
                <w:szCs w:val="21"/>
                <w:highlight w:val="none"/>
              </w:rPr>
              <w:t>Al</w:t>
            </w:r>
            <w:r>
              <w:rPr>
                <w:sz w:val="21"/>
                <w:szCs w:val="21"/>
                <w:highlight w:val="none"/>
                <w:vertAlign w:val="subscript"/>
              </w:rPr>
              <w:t>2</w:t>
            </w:r>
            <w:r>
              <w:rPr>
                <w:sz w:val="21"/>
                <w:szCs w:val="21"/>
                <w:highlight w:val="none"/>
              </w:rPr>
              <w:t>O</w:t>
            </w:r>
            <w:r>
              <w:rPr>
                <w:sz w:val="21"/>
                <w:szCs w:val="21"/>
                <w:highlight w:val="none"/>
                <w:vertAlign w:val="subscript"/>
              </w:rPr>
              <w:t>3</w:t>
            </w:r>
          </w:p>
        </w:tc>
        <w:tc>
          <w:tcPr>
            <w:tcW w:w="380" w:type="pct"/>
            <w:noWrap w:val="0"/>
            <w:vAlign w:val="center"/>
          </w:tcPr>
          <w:p w14:paraId="75C96618">
            <w:pPr>
              <w:jc w:val="center"/>
              <w:rPr>
                <w:sz w:val="21"/>
                <w:szCs w:val="21"/>
                <w:highlight w:val="none"/>
              </w:rPr>
            </w:pPr>
            <w:r>
              <w:rPr>
                <w:sz w:val="21"/>
                <w:szCs w:val="21"/>
                <w:highlight w:val="none"/>
              </w:rPr>
              <w:t>危险废物</w:t>
            </w:r>
          </w:p>
          <w:p w14:paraId="0A1F3222">
            <w:pPr>
              <w:jc w:val="center"/>
              <w:rPr>
                <w:sz w:val="21"/>
                <w:szCs w:val="21"/>
                <w:highlight w:val="none"/>
              </w:rPr>
            </w:pPr>
            <w:r>
              <w:rPr>
                <w:sz w:val="21"/>
                <w:szCs w:val="21"/>
                <w:highlight w:val="none"/>
              </w:rPr>
              <w:t>HW23</w:t>
            </w:r>
          </w:p>
        </w:tc>
        <w:tc>
          <w:tcPr>
            <w:tcW w:w="973" w:type="pct"/>
            <w:noWrap w:val="0"/>
            <w:vAlign w:val="center"/>
          </w:tcPr>
          <w:p w14:paraId="5DE19F26">
            <w:pPr>
              <w:jc w:val="center"/>
              <w:rPr>
                <w:sz w:val="21"/>
                <w:szCs w:val="21"/>
                <w:highlight w:val="none"/>
              </w:rPr>
            </w:pPr>
            <w:r>
              <w:rPr>
                <w:sz w:val="21"/>
                <w:szCs w:val="21"/>
                <w:highlight w:val="none"/>
              </w:rPr>
              <w:t>危险废物（HW23含锌废物）</w:t>
            </w:r>
          </w:p>
        </w:tc>
        <w:tc>
          <w:tcPr>
            <w:tcW w:w="680" w:type="pct"/>
            <w:noWrap w:val="0"/>
            <w:vAlign w:val="center"/>
          </w:tcPr>
          <w:p w14:paraId="1CE8440E">
            <w:pPr>
              <w:jc w:val="center"/>
              <w:rPr>
                <w:sz w:val="21"/>
                <w:szCs w:val="21"/>
                <w:highlight w:val="none"/>
              </w:rPr>
            </w:pPr>
            <w:r>
              <w:rPr>
                <w:sz w:val="21"/>
                <w:szCs w:val="21"/>
                <w:highlight w:val="none"/>
              </w:rPr>
              <w:t>厂家回收</w:t>
            </w:r>
          </w:p>
        </w:tc>
      </w:tr>
      <w:tr w14:paraId="0AC3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0B30F73D">
            <w:pPr>
              <w:ind w:firstLine="420"/>
              <w:jc w:val="center"/>
              <w:rPr>
                <w:sz w:val="21"/>
                <w:szCs w:val="21"/>
                <w:highlight w:val="none"/>
              </w:rPr>
            </w:pPr>
          </w:p>
        </w:tc>
        <w:tc>
          <w:tcPr>
            <w:tcW w:w="667" w:type="pct"/>
            <w:gridSpan w:val="2"/>
            <w:vMerge w:val="continue"/>
            <w:noWrap w:val="0"/>
            <w:vAlign w:val="center"/>
          </w:tcPr>
          <w:p w14:paraId="001C086F">
            <w:pPr>
              <w:jc w:val="center"/>
              <w:rPr>
                <w:sz w:val="21"/>
                <w:szCs w:val="21"/>
                <w:highlight w:val="none"/>
              </w:rPr>
            </w:pPr>
          </w:p>
        </w:tc>
        <w:tc>
          <w:tcPr>
            <w:tcW w:w="739" w:type="pct"/>
            <w:noWrap w:val="0"/>
            <w:vAlign w:val="center"/>
          </w:tcPr>
          <w:p w14:paraId="7D3F3685">
            <w:pPr>
              <w:jc w:val="center"/>
              <w:rPr>
                <w:sz w:val="21"/>
                <w:szCs w:val="21"/>
                <w:highlight w:val="none"/>
              </w:rPr>
            </w:pPr>
            <w:r>
              <w:rPr>
                <w:sz w:val="21"/>
                <w:szCs w:val="21"/>
                <w:highlight w:val="none"/>
              </w:rPr>
              <w:t>废催化剂x-4b</w:t>
            </w:r>
          </w:p>
        </w:tc>
        <w:tc>
          <w:tcPr>
            <w:tcW w:w="429" w:type="pct"/>
            <w:noWrap w:val="0"/>
            <w:vAlign w:val="center"/>
          </w:tcPr>
          <w:p w14:paraId="2A3FE8E3">
            <w:pPr>
              <w:jc w:val="center"/>
              <w:rPr>
                <w:sz w:val="21"/>
                <w:szCs w:val="21"/>
                <w:highlight w:val="none"/>
              </w:rPr>
            </w:pPr>
            <w:r>
              <w:rPr>
                <w:sz w:val="21"/>
                <w:szCs w:val="21"/>
                <w:highlight w:val="none"/>
              </w:rPr>
              <w:t>168t/3a</w:t>
            </w:r>
          </w:p>
        </w:tc>
        <w:tc>
          <w:tcPr>
            <w:tcW w:w="887" w:type="pct"/>
            <w:noWrap w:val="0"/>
            <w:vAlign w:val="center"/>
          </w:tcPr>
          <w:p w14:paraId="4C1EA934">
            <w:pPr>
              <w:jc w:val="center"/>
              <w:rPr>
                <w:sz w:val="21"/>
                <w:szCs w:val="21"/>
                <w:highlight w:val="none"/>
              </w:rPr>
            </w:pPr>
            <w:r>
              <w:rPr>
                <w:sz w:val="21"/>
                <w:szCs w:val="21"/>
                <w:highlight w:val="none"/>
              </w:rPr>
              <w:t>ZnO、CuO</w:t>
            </w:r>
          </w:p>
        </w:tc>
        <w:tc>
          <w:tcPr>
            <w:tcW w:w="380" w:type="pct"/>
            <w:noWrap w:val="0"/>
            <w:vAlign w:val="center"/>
          </w:tcPr>
          <w:p w14:paraId="1579E121">
            <w:pPr>
              <w:jc w:val="center"/>
              <w:rPr>
                <w:sz w:val="21"/>
                <w:szCs w:val="21"/>
                <w:highlight w:val="none"/>
              </w:rPr>
            </w:pPr>
            <w:r>
              <w:rPr>
                <w:sz w:val="21"/>
                <w:szCs w:val="21"/>
                <w:highlight w:val="none"/>
              </w:rPr>
              <w:t>危险废物</w:t>
            </w:r>
          </w:p>
          <w:p w14:paraId="650B6837">
            <w:pPr>
              <w:jc w:val="center"/>
              <w:rPr>
                <w:sz w:val="21"/>
                <w:szCs w:val="21"/>
                <w:highlight w:val="none"/>
              </w:rPr>
            </w:pPr>
            <w:r>
              <w:rPr>
                <w:sz w:val="21"/>
                <w:szCs w:val="21"/>
                <w:highlight w:val="none"/>
              </w:rPr>
              <w:t>HW23</w:t>
            </w:r>
          </w:p>
        </w:tc>
        <w:tc>
          <w:tcPr>
            <w:tcW w:w="973" w:type="pct"/>
            <w:noWrap w:val="0"/>
            <w:vAlign w:val="center"/>
          </w:tcPr>
          <w:p w14:paraId="5F97814A">
            <w:pPr>
              <w:jc w:val="center"/>
              <w:rPr>
                <w:sz w:val="21"/>
                <w:szCs w:val="21"/>
                <w:highlight w:val="none"/>
              </w:rPr>
            </w:pPr>
            <w:r>
              <w:rPr>
                <w:sz w:val="21"/>
                <w:szCs w:val="21"/>
                <w:highlight w:val="none"/>
              </w:rPr>
              <w:t>危险废物（HW23含锌废物）</w:t>
            </w:r>
          </w:p>
        </w:tc>
        <w:tc>
          <w:tcPr>
            <w:tcW w:w="680" w:type="pct"/>
            <w:noWrap w:val="0"/>
            <w:vAlign w:val="center"/>
          </w:tcPr>
          <w:p w14:paraId="6113D9CC">
            <w:pPr>
              <w:jc w:val="center"/>
              <w:rPr>
                <w:sz w:val="21"/>
                <w:szCs w:val="21"/>
                <w:highlight w:val="none"/>
              </w:rPr>
            </w:pPr>
            <w:r>
              <w:rPr>
                <w:sz w:val="21"/>
                <w:szCs w:val="21"/>
                <w:highlight w:val="none"/>
              </w:rPr>
              <w:t>厂家回收</w:t>
            </w:r>
          </w:p>
        </w:tc>
      </w:tr>
      <w:tr w14:paraId="20A92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93769D7">
            <w:pPr>
              <w:ind w:firstLine="420"/>
              <w:jc w:val="center"/>
              <w:rPr>
                <w:sz w:val="21"/>
                <w:szCs w:val="21"/>
                <w:highlight w:val="none"/>
              </w:rPr>
            </w:pPr>
          </w:p>
        </w:tc>
        <w:tc>
          <w:tcPr>
            <w:tcW w:w="667" w:type="pct"/>
            <w:gridSpan w:val="2"/>
            <w:vMerge w:val="continue"/>
            <w:noWrap w:val="0"/>
            <w:vAlign w:val="center"/>
          </w:tcPr>
          <w:p w14:paraId="782E6C13">
            <w:pPr>
              <w:jc w:val="center"/>
              <w:rPr>
                <w:sz w:val="21"/>
                <w:szCs w:val="21"/>
                <w:highlight w:val="none"/>
              </w:rPr>
            </w:pPr>
          </w:p>
        </w:tc>
        <w:tc>
          <w:tcPr>
            <w:tcW w:w="739" w:type="pct"/>
            <w:noWrap w:val="0"/>
            <w:vAlign w:val="center"/>
          </w:tcPr>
          <w:p w14:paraId="75240585">
            <w:pPr>
              <w:jc w:val="center"/>
              <w:rPr>
                <w:sz w:val="21"/>
                <w:szCs w:val="21"/>
                <w:highlight w:val="none"/>
              </w:rPr>
            </w:pPr>
            <w:r>
              <w:rPr>
                <w:sz w:val="21"/>
                <w:szCs w:val="21"/>
                <w:highlight w:val="none"/>
              </w:rPr>
              <w:t>废瓷球</w:t>
            </w:r>
          </w:p>
        </w:tc>
        <w:tc>
          <w:tcPr>
            <w:tcW w:w="429" w:type="pct"/>
            <w:noWrap w:val="0"/>
            <w:vAlign w:val="center"/>
          </w:tcPr>
          <w:p w14:paraId="77019165">
            <w:pPr>
              <w:jc w:val="center"/>
              <w:rPr>
                <w:sz w:val="21"/>
                <w:szCs w:val="21"/>
                <w:highlight w:val="none"/>
              </w:rPr>
            </w:pPr>
            <w:r>
              <w:rPr>
                <w:sz w:val="21"/>
                <w:szCs w:val="21"/>
                <w:highlight w:val="none"/>
              </w:rPr>
              <w:t>67t/3a</w:t>
            </w:r>
          </w:p>
        </w:tc>
        <w:tc>
          <w:tcPr>
            <w:tcW w:w="887" w:type="pct"/>
            <w:noWrap w:val="0"/>
            <w:vAlign w:val="center"/>
          </w:tcPr>
          <w:p w14:paraId="20AC5AD0">
            <w:pPr>
              <w:jc w:val="center"/>
              <w:rPr>
                <w:sz w:val="21"/>
                <w:szCs w:val="21"/>
                <w:highlight w:val="none"/>
              </w:rPr>
            </w:pPr>
            <w:r>
              <w:rPr>
                <w:sz w:val="21"/>
                <w:szCs w:val="21"/>
                <w:highlight w:val="none"/>
              </w:rPr>
              <w:t>Al</w:t>
            </w:r>
            <w:r>
              <w:rPr>
                <w:sz w:val="21"/>
                <w:szCs w:val="21"/>
                <w:highlight w:val="none"/>
                <w:vertAlign w:val="subscript"/>
              </w:rPr>
              <w:t>2</w:t>
            </w:r>
            <w:r>
              <w:rPr>
                <w:sz w:val="21"/>
                <w:szCs w:val="21"/>
                <w:highlight w:val="none"/>
              </w:rPr>
              <w:t>O</w:t>
            </w:r>
            <w:r>
              <w:rPr>
                <w:sz w:val="21"/>
                <w:szCs w:val="21"/>
                <w:highlight w:val="none"/>
                <w:vertAlign w:val="subscript"/>
              </w:rPr>
              <w:t>3</w:t>
            </w:r>
          </w:p>
        </w:tc>
        <w:tc>
          <w:tcPr>
            <w:tcW w:w="380" w:type="pct"/>
            <w:noWrap w:val="0"/>
            <w:vAlign w:val="center"/>
          </w:tcPr>
          <w:p w14:paraId="0A055809">
            <w:pPr>
              <w:jc w:val="center"/>
              <w:rPr>
                <w:sz w:val="21"/>
                <w:szCs w:val="21"/>
                <w:highlight w:val="none"/>
              </w:rPr>
            </w:pPr>
            <w:r>
              <w:rPr>
                <w:sz w:val="21"/>
                <w:szCs w:val="21"/>
                <w:highlight w:val="none"/>
              </w:rPr>
              <w:t>危险废物</w:t>
            </w:r>
          </w:p>
          <w:p w14:paraId="7D2AC32C">
            <w:pPr>
              <w:jc w:val="center"/>
              <w:rPr>
                <w:sz w:val="21"/>
                <w:szCs w:val="21"/>
                <w:highlight w:val="none"/>
              </w:rPr>
            </w:pPr>
            <w:r>
              <w:rPr>
                <w:sz w:val="21"/>
                <w:szCs w:val="21"/>
                <w:highlight w:val="none"/>
              </w:rPr>
              <w:t>HW06</w:t>
            </w:r>
          </w:p>
        </w:tc>
        <w:tc>
          <w:tcPr>
            <w:tcW w:w="973" w:type="pct"/>
            <w:noWrap w:val="0"/>
            <w:vAlign w:val="center"/>
          </w:tcPr>
          <w:p w14:paraId="1E0D9B3E">
            <w:pPr>
              <w:jc w:val="center"/>
              <w:rPr>
                <w:sz w:val="21"/>
                <w:szCs w:val="21"/>
                <w:highlight w:val="none"/>
              </w:rPr>
            </w:pPr>
            <w:r>
              <w:rPr>
                <w:sz w:val="21"/>
                <w:szCs w:val="21"/>
                <w:highlight w:val="none"/>
              </w:rPr>
              <w:t>危险废物（HW49其他废物）</w:t>
            </w:r>
          </w:p>
        </w:tc>
        <w:tc>
          <w:tcPr>
            <w:tcW w:w="680" w:type="pct"/>
            <w:noWrap w:val="0"/>
            <w:vAlign w:val="center"/>
          </w:tcPr>
          <w:p w14:paraId="593F3012">
            <w:pPr>
              <w:jc w:val="center"/>
              <w:rPr>
                <w:sz w:val="21"/>
                <w:szCs w:val="21"/>
                <w:highlight w:val="none"/>
              </w:rPr>
            </w:pPr>
            <w:r>
              <w:rPr>
                <w:rFonts w:hint="eastAsia"/>
                <w:sz w:val="21"/>
                <w:szCs w:val="21"/>
                <w:highlight w:val="none"/>
                <w:lang w:val="en-US" w:eastAsia="zh-CN"/>
              </w:rPr>
              <w:t>委托第三方有资质单位处置</w:t>
            </w:r>
          </w:p>
        </w:tc>
      </w:tr>
      <w:tr w14:paraId="0FC5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44E4405C">
            <w:pPr>
              <w:jc w:val="center"/>
              <w:rPr>
                <w:sz w:val="21"/>
                <w:szCs w:val="21"/>
                <w:highlight w:val="none"/>
              </w:rPr>
            </w:pPr>
          </w:p>
        </w:tc>
        <w:tc>
          <w:tcPr>
            <w:tcW w:w="667" w:type="pct"/>
            <w:gridSpan w:val="2"/>
            <w:noWrap w:val="0"/>
            <w:vAlign w:val="center"/>
          </w:tcPr>
          <w:p w14:paraId="5598162F">
            <w:pPr>
              <w:jc w:val="center"/>
              <w:rPr>
                <w:sz w:val="21"/>
                <w:szCs w:val="21"/>
                <w:highlight w:val="none"/>
              </w:rPr>
            </w:pPr>
            <w:r>
              <w:rPr>
                <w:sz w:val="21"/>
                <w:szCs w:val="21"/>
                <w:highlight w:val="none"/>
              </w:rPr>
              <w:t>蜡过滤单元</w:t>
            </w:r>
          </w:p>
        </w:tc>
        <w:tc>
          <w:tcPr>
            <w:tcW w:w="739" w:type="pct"/>
            <w:noWrap w:val="0"/>
            <w:vAlign w:val="center"/>
          </w:tcPr>
          <w:p w14:paraId="1651FF9B">
            <w:pPr>
              <w:jc w:val="center"/>
              <w:rPr>
                <w:sz w:val="21"/>
                <w:szCs w:val="21"/>
                <w:highlight w:val="none"/>
              </w:rPr>
            </w:pPr>
            <w:r>
              <w:rPr>
                <w:sz w:val="21"/>
                <w:szCs w:val="21"/>
                <w:highlight w:val="none"/>
              </w:rPr>
              <w:t>滤饼</w:t>
            </w:r>
          </w:p>
        </w:tc>
        <w:tc>
          <w:tcPr>
            <w:tcW w:w="429" w:type="pct"/>
            <w:noWrap w:val="0"/>
            <w:vAlign w:val="center"/>
          </w:tcPr>
          <w:p w14:paraId="76DAEF25">
            <w:pPr>
              <w:jc w:val="center"/>
              <w:rPr>
                <w:sz w:val="21"/>
                <w:szCs w:val="21"/>
                <w:highlight w:val="none"/>
              </w:rPr>
            </w:pPr>
            <w:r>
              <w:rPr>
                <w:sz w:val="21"/>
                <w:szCs w:val="21"/>
                <w:highlight w:val="none"/>
              </w:rPr>
              <w:t>2529.6</w:t>
            </w:r>
          </w:p>
        </w:tc>
        <w:tc>
          <w:tcPr>
            <w:tcW w:w="887" w:type="pct"/>
            <w:noWrap w:val="0"/>
            <w:vAlign w:val="center"/>
          </w:tcPr>
          <w:p w14:paraId="0D76A389">
            <w:pPr>
              <w:jc w:val="center"/>
              <w:rPr>
                <w:sz w:val="21"/>
                <w:szCs w:val="21"/>
                <w:highlight w:val="none"/>
              </w:rPr>
            </w:pPr>
            <w:r>
              <w:rPr>
                <w:sz w:val="21"/>
                <w:szCs w:val="21"/>
                <w:highlight w:val="none"/>
              </w:rPr>
              <w:t>废催化剂、硅藻土、白土、蜡</w:t>
            </w:r>
          </w:p>
        </w:tc>
        <w:tc>
          <w:tcPr>
            <w:tcW w:w="380" w:type="pct"/>
            <w:noWrap w:val="0"/>
            <w:vAlign w:val="center"/>
          </w:tcPr>
          <w:p w14:paraId="66977965">
            <w:pPr>
              <w:jc w:val="center"/>
              <w:rPr>
                <w:sz w:val="21"/>
                <w:szCs w:val="21"/>
                <w:highlight w:val="none"/>
              </w:rPr>
            </w:pPr>
            <w:r>
              <w:rPr>
                <w:sz w:val="21"/>
                <w:szCs w:val="21"/>
                <w:highlight w:val="none"/>
              </w:rPr>
              <w:t>危险废物</w:t>
            </w:r>
          </w:p>
          <w:p w14:paraId="238FC6D3">
            <w:pPr>
              <w:jc w:val="center"/>
              <w:rPr>
                <w:sz w:val="21"/>
                <w:szCs w:val="21"/>
                <w:highlight w:val="none"/>
              </w:rPr>
            </w:pPr>
            <w:r>
              <w:rPr>
                <w:sz w:val="21"/>
                <w:szCs w:val="21"/>
                <w:highlight w:val="none"/>
              </w:rPr>
              <w:t>HW06</w:t>
            </w:r>
          </w:p>
        </w:tc>
        <w:tc>
          <w:tcPr>
            <w:tcW w:w="973" w:type="pct"/>
            <w:noWrap w:val="0"/>
            <w:vAlign w:val="center"/>
          </w:tcPr>
          <w:p w14:paraId="30EE853A">
            <w:pPr>
              <w:jc w:val="center"/>
              <w:rPr>
                <w:sz w:val="21"/>
                <w:szCs w:val="21"/>
                <w:highlight w:val="none"/>
              </w:rPr>
            </w:pPr>
            <w:r>
              <w:rPr>
                <w:sz w:val="21"/>
                <w:szCs w:val="21"/>
                <w:highlight w:val="none"/>
              </w:rPr>
              <w:t>危险废物（HW06废有机溶剂与含有机溶剂</w:t>
            </w:r>
            <w:r>
              <w:rPr>
                <w:rFonts w:hint="eastAsia"/>
                <w:sz w:val="21"/>
                <w:szCs w:val="21"/>
                <w:highlight w:val="none"/>
                <w:lang w:eastAsia="zh-CN"/>
              </w:rPr>
              <w:t>的</w:t>
            </w:r>
            <w:r>
              <w:rPr>
                <w:sz w:val="21"/>
                <w:szCs w:val="21"/>
                <w:highlight w:val="none"/>
              </w:rPr>
              <w:t>废物）</w:t>
            </w:r>
          </w:p>
        </w:tc>
        <w:tc>
          <w:tcPr>
            <w:tcW w:w="680" w:type="pct"/>
            <w:noWrap w:val="0"/>
            <w:vAlign w:val="center"/>
          </w:tcPr>
          <w:p w14:paraId="549DBB7E">
            <w:pPr>
              <w:jc w:val="center"/>
              <w:rPr>
                <w:rFonts w:hint="eastAsia" w:eastAsia="宋体"/>
                <w:sz w:val="21"/>
                <w:szCs w:val="21"/>
                <w:highlight w:val="none"/>
                <w:lang w:eastAsia="zh-CN"/>
              </w:rPr>
            </w:pPr>
            <w:r>
              <w:rPr>
                <w:rFonts w:hint="eastAsia"/>
                <w:sz w:val="21"/>
                <w:szCs w:val="21"/>
                <w:highlight w:val="none"/>
                <w:lang w:val="en-US" w:eastAsia="zh-CN"/>
              </w:rPr>
              <w:t>自行利用</w:t>
            </w:r>
          </w:p>
        </w:tc>
      </w:tr>
      <w:tr w14:paraId="62F3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6E2AC2F">
            <w:pPr>
              <w:jc w:val="center"/>
              <w:rPr>
                <w:sz w:val="21"/>
                <w:szCs w:val="21"/>
                <w:highlight w:val="none"/>
              </w:rPr>
            </w:pPr>
          </w:p>
        </w:tc>
        <w:tc>
          <w:tcPr>
            <w:tcW w:w="667" w:type="pct"/>
            <w:gridSpan w:val="2"/>
            <w:vMerge w:val="restart"/>
            <w:noWrap w:val="0"/>
            <w:vAlign w:val="center"/>
          </w:tcPr>
          <w:p w14:paraId="4AA6F9B0">
            <w:pPr>
              <w:jc w:val="center"/>
              <w:rPr>
                <w:sz w:val="21"/>
                <w:szCs w:val="21"/>
                <w:highlight w:val="none"/>
              </w:rPr>
            </w:pPr>
            <w:r>
              <w:rPr>
                <w:sz w:val="21"/>
                <w:szCs w:val="21"/>
                <w:highlight w:val="none"/>
              </w:rPr>
              <w:t>尾气脱碳单元</w:t>
            </w:r>
          </w:p>
        </w:tc>
        <w:tc>
          <w:tcPr>
            <w:tcW w:w="739" w:type="pct"/>
            <w:noWrap w:val="0"/>
            <w:vAlign w:val="center"/>
          </w:tcPr>
          <w:p w14:paraId="18E71A92">
            <w:pPr>
              <w:jc w:val="center"/>
              <w:rPr>
                <w:sz w:val="21"/>
                <w:szCs w:val="21"/>
                <w:highlight w:val="none"/>
              </w:rPr>
            </w:pPr>
            <w:r>
              <w:rPr>
                <w:sz w:val="21"/>
                <w:szCs w:val="21"/>
                <w:highlight w:val="none"/>
              </w:rPr>
              <w:t>活性炭过滤器</w:t>
            </w:r>
            <w:r>
              <w:rPr>
                <w:rFonts w:hint="eastAsia"/>
                <w:sz w:val="21"/>
                <w:szCs w:val="21"/>
                <w:highlight w:val="none"/>
                <w:lang w:eastAsia="zh-CN"/>
              </w:rPr>
              <w:t>产生的</w:t>
            </w:r>
            <w:r>
              <w:rPr>
                <w:sz w:val="21"/>
                <w:szCs w:val="21"/>
                <w:highlight w:val="none"/>
              </w:rPr>
              <w:t>废活性炭</w:t>
            </w:r>
          </w:p>
        </w:tc>
        <w:tc>
          <w:tcPr>
            <w:tcW w:w="429" w:type="pct"/>
            <w:noWrap w:val="0"/>
            <w:vAlign w:val="center"/>
          </w:tcPr>
          <w:p w14:paraId="74B44895">
            <w:pPr>
              <w:jc w:val="center"/>
              <w:rPr>
                <w:sz w:val="21"/>
                <w:szCs w:val="21"/>
                <w:highlight w:val="none"/>
              </w:rPr>
            </w:pPr>
            <w:r>
              <w:rPr>
                <w:sz w:val="21"/>
                <w:szCs w:val="21"/>
                <w:highlight w:val="none"/>
              </w:rPr>
              <w:t>84</w:t>
            </w:r>
          </w:p>
        </w:tc>
        <w:tc>
          <w:tcPr>
            <w:tcW w:w="887" w:type="pct"/>
            <w:noWrap w:val="0"/>
            <w:vAlign w:val="center"/>
          </w:tcPr>
          <w:p w14:paraId="403AB0F1">
            <w:pPr>
              <w:jc w:val="center"/>
              <w:rPr>
                <w:sz w:val="21"/>
                <w:szCs w:val="21"/>
                <w:highlight w:val="none"/>
              </w:rPr>
            </w:pPr>
            <w:r>
              <w:rPr>
                <w:sz w:val="21"/>
                <w:szCs w:val="21"/>
                <w:highlight w:val="none"/>
              </w:rPr>
              <w:t>活性炭、油</w:t>
            </w:r>
          </w:p>
        </w:tc>
        <w:tc>
          <w:tcPr>
            <w:tcW w:w="380" w:type="pct"/>
            <w:noWrap w:val="0"/>
            <w:vAlign w:val="center"/>
          </w:tcPr>
          <w:p w14:paraId="2CD8A997">
            <w:pPr>
              <w:jc w:val="center"/>
              <w:rPr>
                <w:sz w:val="21"/>
                <w:szCs w:val="21"/>
                <w:highlight w:val="none"/>
              </w:rPr>
            </w:pPr>
            <w:r>
              <w:rPr>
                <w:sz w:val="21"/>
                <w:szCs w:val="21"/>
                <w:highlight w:val="none"/>
              </w:rPr>
              <w:t>危险废物</w:t>
            </w:r>
          </w:p>
          <w:p w14:paraId="72DCCA4A">
            <w:pPr>
              <w:jc w:val="center"/>
              <w:rPr>
                <w:sz w:val="21"/>
                <w:szCs w:val="21"/>
                <w:highlight w:val="none"/>
              </w:rPr>
            </w:pPr>
            <w:r>
              <w:rPr>
                <w:sz w:val="21"/>
                <w:szCs w:val="21"/>
                <w:highlight w:val="none"/>
              </w:rPr>
              <w:t>HW49</w:t>
            </w:r>
          </w:p>
        </w:tc>
        <w:tc>
          <w:tcPr>
            <w:tcW w:w="973" w:type="pct"/>
            <w:noWrap w:val="0"/>
            <w:vAlign w:val="center"/>
          </w:tcPr>
          <w:p w14:paraId="18DC6559">
            <w:pPr>
              <w:jc w:val="center"/>
              <w:rPr>
                <w:sz w:val="21"/>
                <w:szCs w:val="21"/>
                <w:highlight w:val="none"/>
              </w:rPr>
            </w:pPr>
            <w:r>
              <w:rPr>
                <w:sz w:val="21"/>
                <w:szCs w:val="21"/>
                <w:highlight w:val="none"/>
              </w:rPr>
              <w:t>危险废物（HW49其他废物）</w:t>
            </w:r>
          </w:p>
        </w:tc>
        <w:tc>
          <w:tcPr>
            <w:tcW w:w="680" w:type="pct"/>
            <w:noWrap w:val="0"/>
            <w:vAlign w:val="center"/>
          </w:tcPr>
          <w:p w14:paraId="1850C12E">
            <w:pPr>
              <w:jc w:val="center"/>
              <w:rPr>
                <w:rFonts w:hint="eastAsia" w:eastAsia="宋体"/>
                <w:sz w:val="21"/>
                <w:szCs w:val="21"/>
                <w:highlight w:val="none"/>
                <w:lang w:eastAsia="zh-CN"/>
              </w:rPr>
            </w:pPr>
            <w:r>
              <w:rPr>
                <w:rFonts w:hint="eastAsia"/>
                <w:sz w:val="21"/>
                <w:szCs w:val="21"/>
                <w:highlight w:val="none"/>
                <w:lang w:val="en-US" w:eastAsia="zh-CN"/>
              </w:rPr>
              <w:t>自行利用</w:t>
            </w:r>
          </w:p>
        </w:tc>
      </w:tr>
      <w:tr w14:paraId="57D7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43978BB2">
            <w:pPr>
              <w:jc w:val="center"/>
              <w:rPr>
                <w:sz w:val="21"/>
                <w:szCs w:val="21"/>
                <w:highlight w:val="none"/>
              </w:rPr>
            </w:pPr>
          </w:p>
        </w:tc>
        <w:tc>
          <w:tcPr>
            <w:tcW w:w="667" w:type="pct"/>
            <w:gridSpan w:val="2"/>
            <w:vMerge w:val="continue"/>
            <w:noWrap w:val="0"/>
            <w:vAlign w:val="center"/>
          </w:tcPr>
          <w:p w14:paraId="63001288">
            <w:pPr>
              <w:jc w:val="center"/>
              <w:rPr>
                <w:sz w:val="21"/>
                <w:szCs w:val="21"/>
                <w:highlight w:val="none"/>
              </w:rPr>
            </w:pPr>
          </w:p>
        </w:tc>
        <w:tc>
          <w:tcPr>
            <w:tcW w:w="739" w:type="pct"/>
            <w:noWrap w:val="0"/>
            <w:vAlign w:val="center"/>
          </w:tcPr>
          <w:p w14:paraId="5D1AFB36">
            <w:pPr>
              <w:jc w:val="center"/>
              <w:rPr>
                <w:sz w:val="21"/>
                <w:szCs w:val="21"/>
                <w:highlight w:val="none"/>
              </w:rPr>
            </w:pPr>
            <w:r>
              <w:rPr>
                <w:sz w:val="21"/>
                <w:szCs w:val="21"/>
                <w:highlight w:val="none"/>
              </w:rPr>
              <w:t>K</w:t>
            </w:r>
            <w:r>
              <w:rPr>
                <w:sz w:val="21"/>
                <w:szCs w:val="21"/>
                <w:highlight w:val="none"/>
                <w:vertAlign w:val="subscript"/>
              </w:rPr>
              <w:t>2</w:t>
            </w:r>
            <w:r>
              <w:rPr>
                <w:sz w:val="21"/>
                <w:szCs w:val="21"/>
                <w:highlight w:val="none"/>
              </w:rPr>
              <w:t>CO</w:t>
            </w:r>
            <w:r>
              <w:rPr>
                <w:sz w:val="21"/>
                <w:szCs w:val="21"/>
                <w:highlight w:val="none"/>
                <w:vertAlign w:val="subscript"/>
              </w:rPr>
              <w:t>3</w:t>
            </w:r>
            <w:r>
              <w:rPr>
                <w:sz w:val="21"/>
                <w:szCs w:val="21"/>
                <w:highlight w:val="none"/>
              </w:rPr>
              <w:t>包装袋</w:t>
            </w:r>
          </w:p>
        </w:tc>
        <w:tc>
          <w:tcPr>
            <w:tcW w:w="429" w:type="pct"/>
            <w:noWrap w:val="0"/>
            <w:vAlign w:val="center"/>
          </w:tcPr>
          <w:p w14:paraId="7467CB58">
            <w:pPr>
              <w:jc w:val="center"/>
              <w:rPr>
                <w:sz w:val="21"/>
                <w:szCs w:val="21"/>
                <w:highlight w:val="none"/>
              </w:rPr>
            </w:pPr>
            <w:r>
              <w:rPr>
                <w:sz w:val="21"/>
                <w:szCs w:val="21"/>
                <w:highlight w:val="none"/>
              </w:rPr>
              <w:t>2000个</w:t>
            </w:r>
          </w:p>
        </w:tc>
        <w:tc>
          <w:tcPr>
            <w:tcW w:w="887" w:type="pct"/>
            <w:noWrap w:val="0"/>
            <w:vAlign w:val="center"/>
          </w:tcPr>
          <w:p w14:paraId="796BCADA">
            <w:pPr>
              <w:jc w:val="center"/>
              <w:rPr>
                <w:sz w:val="21"/>
                <w:szCs w:val="21"/>
                <w:highlight w:val="none"/>
              </w:rPr>
            </w:pPr>
            <w:r>
              <w:rPr>
                <w:sz w:val="21"/>
                <w:szCs w:val="21"/>
                <w:highlight w:val="none"/>
              </w:rPr>
              <w:t>聚乙烯包装袋</w:t>
            </w:r>
            <w:r>
              <w:rPr>
                <w:rFonts w:hint="eastAsia"/>
                <w:sz w:val="21"/>
                <w:szCs w:val="21"/>
                <w:highlight w:val="none"/>
                <w:lang w:val="en-US" w:eastAsia="zh-CN"/>
              </w:rPr>
              <w:t>上</w:t>
            </w:r>
            <w:r>
              <w:rPr>
                <w:sz w:val="21"/>
                <w:szCs w:val="21"/>
                <w:highlight w:val="none"/>
              </w:rPr>
              <w:t>残留K</w:t>
            </w:r>
            <w:r>
              <w:rPr>
                <w:sz w:val="21"/>
                <w:szCs w:val="21"/>
                <w:highlight w:val="none"/>
                <w:vertAlign w:val="subscript"/>
              </w:rPr>
              <w:t>2</w:t>
            </w:r>
            <w:r>
              <w:rPr>
                <w:sz w:val="21"/>
                <w:szCs w:val="21"/>
                <w:highlight w:val="none"/>
              </w:rPr>
              <w:t>CO</w:t>
            </w:r>
            <w:r>
              <w:rPr>
                <w:sz w:val="21"/>
                <w:szCs w:val="21"/>
                <w:highlight w:val="none"/>
                <w:vertAlign w:val="subscript"/>
              </w:rPr>
              <w:t>3</w:t>
            </w:r>
          </w:p>
        </w:tc>
        <w:tc>
          <w:tcPr>
            <w:tcW w:w="380" w:type="pct"/>
            <w:vMerge w:val="restart"/>
            <w:noWrap w:val="0"/>
            <w:vAlign w:val="center"/>
          </w:tcPr>
          <w:p w14:paraId="6960A337">
            <w:pPr>
              <w:jc w:val="center"/>
              <w:rPr>
                <w:sz w:val="21"/>
                <w:szCs w:val="21"/>
                <w:highlight w:val="none"/>
              </w:rPr>
            </w:pPr>
            <w:r>
              <w:rPr>
                <w:sz w:val="21"/>
                <w:szCs w:val="21"/>
                <w:highlight w:val="none"/>
              </w:rPr>
              <w:t>危险废物</w:t>
            </w:r>
          </w:p>
          <w:p w14:paraId="3DE9532C">
            <w:pPr>
              <w:jc w:val="center"/>
              <w:rPr>
                <w:sz w:val="21"/>
                <w:szCs w:val="21"/>
                <w:highlight w:val="none"/>
              </w:rPr>
            </w:pPr>
            <w:r>
              <w:rPr>
                <w:sz w:val="21"/>
                <w:szCs w:val="21"/>
                <w:highlight w:val="none"/>
              </w:rPr>
              <w:t>HW49</w:t>
            </w:r>
          </w:p>
        </w:tc>
        <w:tc>
          <w:tcPr>
            <w:tcW w:w="973" w:type="pct"/>
            <w:vMerge w:val="restart"/>
            <w:noWrap w:val="0"/>
            <w:vAlign w:val="center"/>
          </w:tcPr>
          <w:p w14:paraId="36FB8167">
            <w:pPr>
              <w:jc w:val="center"/>
              <w:rPr>
                <w:sz w:val="21"/>
                <w:szCs w:val="21"/>
                <w:highlight w:val="none"/>
              </w:rPr>
            </w:pPr>
            <w:r>
              <w:rPr>
                <w:sz w:val="21"/>
                <w:szCs w:val="21"/>
                <w:highlight w:val="none"/>
              </w:rPr>
              <w:t>危险废物（HW49其他废物）</w:t>
            </w:r>
          </w:p>
        </w:tc>
        <w:tc>
          <w:tcPr>
            <w:tcW w:w="680" w:type="pct"/>
            <w:shd w:val="clear" w:color="auto" w:fill="auto"/>
            <w:noWrap w:val="0"/>
            <w:vAlign w:val="center"/>
          </w:tcPr>
          <w:p w14:paraId="39A7C7C9">
            <w:pPr>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委托第三方有资质单位处置</w:t>
            </w:r>
          </w:p>
        </w:tc>
      </w:tr>
      <w:tr w14:paraId="17A7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363472D">
            <w:pPr>
              <w:jc w:val="center"/>
              <w:rPr>
                <w:sz w:val="21"/>
                <w:szCs w:val="21"/>
                <w:highlight w:val="none"/>
              </w:rPr>
            </w:pPr>
          </w:p>
        </w:tc>
        <w:tc>
          <w:tcPr>
            <w:tcW w:w="667" w:type="pct"/>
            <w:gridSpan w:val="2"/>
            <w:vMerge w:val="continue"/>
            <w:noWrap w:val="0"/>
            <w:vAlign w:val="center"/>
          </w:tcPr>
          <w:p w14:paraId="53255AD4">
            <w:pPr>
              <w:jc w:val="center"/>
              <w:rPr>
                <w:sz w:val="21"/>
                <w:szCs w:val="21"/>
                <w:highlight w:val="none"/>
              </w:rPr>
            </w:pPr>
          </w:p>
        </w:tc>
        <w:tc>
          <w:tcPr>
            <w:tcW w:w="739" w:type="pct"/>
            <w:noWrap w:val="0"/>
            <w:vAlign w:val="center"/>
          </w:tcPr>
          <w:p w14:paraId="1E3C2563">
            <w:pPr>
              <w:jc w:val="center"/>
              <w:rPr>
                <w:sz w:val="21"/>
                <w:szCs w:val="21"/>
                <w:highlight w:val="none"/>
              </w:rPr>
            </w:pPr>
            <w:r>
              <w:rPr>
                <w:sz w:val="21"/>
                <w:szCs w:val="21"/>
                <w:highlight w:val="none"/>
              </w:rPr>
              <w:t>活化剂包装袋</w:t>
            </w:r>
          </w:p>
        </w:tc>
        <w:tc>
          <w:tcPr>
            <w:tcW w:w="429" w:type="pct"/>
            <w:noWrap w:val="0"/>
            <w:vAlign w:val="center"/>
          </w:tcPr>
          <w:p w14:paraId="6699F988">
            <w:pPr>
              <w:jc w:val="center"/>
              <w:rPr>
                <w:sz w:val="21"/>
                <w:szCs w:val="21"/>
                <w:highlight w:val="none"/>
              </w:rPr>
            </w:pPr>
            <w:r>
              <w:rPr>
                <w:sz w:val="21"/>
                <w:szCs w:val="21"/>
                <w:highlight w:val="none"/>
              </w:rPr>
              <w:t>500个</w:t>
            </w:r>
          </w:p>
        </w:tc>
        <w:tc>
          <w:tcPr>
            <w:tcW w:w="887" w:type="pct"/>
            <w:noWrap w:val="0"/>
            <w:vAlign w:val="center"/>
          </w:tcPr>
          <w:p w14:paraId="38CF006A">
            <w:pPr>
              <w:jc w:val="center"/>
              <w:rPr>
                <w:sz w:val="21"/>
                <w:szCs w:val="21"/>
                <w:highlight w:val="none"/>
              </w:rPr>
            </w:pPr>
            <w:r>
              <w:rPr>
                <w:sz w:val="21"/>
                <w:szCs w:val="21"/>
                <w:highlight w:val="none"/>
              </w:rPr>
              <w:t>聚乙烯包装袋残留活化剂</w:t>
            </w:r>
          </w:p>
        </w:tc>
        <w:tc>
          <w:tcPr>
            <w:tcW w:w="380" w:type="pct"/>
            <w:vMerge w:val="continue"/>
            <w:noWrap w:val="0"/>
            <w:vAlign w:val="center"/>
          </w:tcPr>
          <w:p w14:paraId="301B720C">
            <w:pPr>
              <w:ind w:firstLine="420"/>
              <w:jc w:val="center"/>
              <w:rPr>
                <w:sz w:val="21"/>
                <w:szCs w:val="21"/>
                <w:highlight w:val="none"/>
              </w:rPr>
            </w:pPr>
          </w:p>
        </w:tc>
        <w:tc>
          <w:tcPr>
            <w:tcW w:w="973" w:type="pct"/>
            <w:vMerge w:val="continue"/>
            <w:noWrap w:val="0"/>
            <w:vAlign w:val="center"/>
          </w:tcPr>
          <w:p w14:paraId="404424DA">
            <w:pPr>
              <w:jc w:val="center"/>
              <w:rPr>
                <w:sz w:val="21"/>
                <w:szCs w:val="21"/>
                <w:highlight w:val="none"/>
              </w:rPr>
            </w:pPr>
          </w:p>
        </w:tc>
        <w:tc>
          <w:tcPr>
            <w:tcW w:w="680" w:type="pct"/>
            <w:shd w:val="clear" w:color="auto" w:fill="auto"/>
            <w:noWrap w:val="0"/>
            <w:vAlign w:val="center"/>
          </w:tcPr>
          <w:p w14:paraId="10B5CC1E">
            <w:pPr>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委托第三方有资质单位处置</w:t>
            </w:r>
          </w:p>
        </w:tc>
      </w:tr>
      <w:tr w14:paraId="75F28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DCC628F">
            <w:pPr>
              <w:jc w:val="center"/>
              <w:rPr>
                <w:sz w:val="21"/>
                <w:szCs w:val="21"/>
                <w:highlight w:val="none"/>
              </w:rPr>
            </w:pPr>
          </w:p>
        </w:tc>
        <w:tc>
          <w:tcPr>
            <w:tcW w:w="667" w:type="pct"/>
            <w:gridSpan w:val="2"/>
            <w:vMerge w:val="continue"/>
            <w:noWrap w:val="0"/>
            <w:vAlign w:val="center"/>
          </w:tcPr>
          <w:p w14:paraId="0750865E">
            <w:pPr>
              <w:jc w:val="center"/>
              <w:rPr>
                <w:sz w:val="21"/>
                <w:szCs w:val="21"/>
                <w:highlight w:val="none"/>
              </w:rPr>
            </w:pPr>
          </w:p>
        </w:tc>
        <w:tc>
          <w:tcPr>
            <w:tcW w:w="739" w:type="pct"/>
            <w:noWrap w:val="0"/>
            <w:vAlign w:val="center"/>
          </w:tcPr>
          <w:p w14:paraId="05CB1DD6">
            <w:pPr>
              <w:jc w:val="center"/>
              <w:rPr>
                <w:sz w:val="21"/>
                <w:szCs w:val="21"/>
                <w:highlight w:val="none"/>
              </w:rPr>
            </w:pPr>
            <w:r>
              <w:rPr>
                <w:sz w:val="21"/>
                <w:szCs w:val="21"/>
                <w:highlight w:val="none"/>
              </w:rPr>
              <w:t>消泡剂1包装桶</w:t>
            </w:r>
          </w:p>
        </w:tc>
        <w:tc>
          <w:tcPr>
            <w:tcW w:w="429" w:type="pct"/>
            <w:noWrap w:val="0"/>
            <w:vAlign w:val="center"/>
          </w:tcPr>
          <w:p w14:paraId="0C33B5DE">
            <w:pPr>
              <w:jc w:val="center"/>
              <w:rPr>
                <w:sz w:val="21"/>
                <w:szCs w:val="21"/>
                <w:highlight w:val="none"/>
              </w:rPr>
            </w:pPr>
            <w:r>
              <w:rPr>
                <w:sz w:val="21"/>
                <w:szCs w:val="21"/>
                <w:highlight w:val="none"/>
              </w:rPr>
              <w:t>5个</w:t>
            </w:r>
          </w:p>
        </w:tc>
        <w:tc>
          <w:tcPr>
            <w:tcW w:w="887" w:type="pct"/>
            <w:noWrap w:val="0"/>
            <w:vAlign w:val="center"/>
          </w:tcPr>
          <w:p w14:paraId="5C61AD26">
            <w:pPr>
              <w:jc w:val="center"/>
              <w:rPr>
                <w:sz w:val="21"/>
                <w:szCs w:val="21"/>
                <w:highlight w:val="none"/>
              </w:rPr>
            </w:pPr>
            <w:r>
              <w:rPr>
                <w:sz w:val="21"/>
                <w:szCs w:val="21"/>
                <w:highlight w:val="none"/>
              </w:rPr>
              <w:t>包装桶残留消泡剂</w:t>
            </w:r>
          </w:p>
        </w:tc>
        <w:tc>
          <w:tcPr>
            <w:tcW w:w="380" w:type="pct"/>
            <w:vMerge w:val="continue"/>
            <w:noWrap w:val="0"/>
            <w:vAlign w:val="center"/>
          </w:tcPr>
          <w:p w14:paraId="5C41B229">
            <w:pPr>
              <w:ind w:firstLine="420"/>
              <w:jc w:val="center"/>
              <w:rPr>
                <w:sz w:val="21"/>
                <w:szCs w:val="21"/>
                <w:highlight w:val="none"/>
              </w:rPr>
            </w:pPr>
          </w:p>
        </w:tc>
        <w:tc>
          <w:tcPr>
            <w:tcW w:w="973" w:type="pct"/>
            <w:vMerge w:val="continue"/>
            <w:noWrap w:val="0"/>
            <w:vAlign w:val="center"/>
          </w:tcPr>
          <w:p w14:paraId="75C49C1B">
            <w:pPr>
              <w:jc w:val="center"/>
              <w:rPr>
                <w:sz w:val="21"/>
                <w:szCs w:val="21"/>
                <w:highlight w:val="none"/>
              </w:rPr>
            </w:pPr>
          </w:p>
        </w:tc>
        <w:tc>
          <w:tcPr>
            <w:tcW w:w="680" w:type="pct"/>
            <w:noWrap w:val="0"/>
            <w:vAlign w:val="center"/>
          </w:tcPr>
          <w:p w14:paraId="5F180DC2">
            <w:pPr>
              <w:jc w:val="center"/>
              <w:rPr>
                <w:sz w:val="21"/>
                <w:szCs w:val="21"/>
                <w:highlight w:val="none"/>
              </w:rPr>
            </w:pPr>
            <w:r>
              <w:rPr>
                <w:sz w:val="21"/>
                <w:szCs w:val="21"/>
                <w:highlight w:val="none"/>
              </w:rPr>
              <w:t>厂家回收</w:t>
            </w:r>
          </w:p>
        </w:tc>
      </w:tr>
      <w:tr w14:paraId="219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D6603B0">
            <w:pPr>
              <w:jc w:val="center"/>
              <w:rPr>
                <w:sz w:val="21"/>
                <w:szCs w:val="21"/>
                <w:highlight w:val="none"/>
              </w:rPr>
            </w:pPr>
          </w:p>
        </w:tc>
        <w:tc>
          <w:tcPr>
            <w:tcW w:w="667" w:type="pct"/>
            <w:gridSpan w:val="2"/>
            <w:vMerge w:val="continue"/>
            <w:noWrap w:val="0"/>
            <w:vAlign w:val="center"/>
          </w:tcPr>
          <w:p w14:paraId="0674E61B">
            <w:pPr>
              <w:jc w:val="center"/>
              <w:rPr>
                <w:sz w:val="21"/>
                <w:szCs w:val="21"/>
                <w:highlight w:val="none"/>
              </w:rPr>
            </w:pPr>
          </w:p>
        </w:tc>
        <w:tc>
          <w:tcPr>
            <w:tcW w:w="739" w:type="pct"/>
            <w:noWrap w:val="0"/>
            <w:vAlign w:val="center"/>
          </w:tcPr>
          <w:p w14:paraId="3E5A2D7F">
            <w:pPr>
              <w:jc w:val="center"/>
              <w:rPr>
                <w:sz w:val="21"/>
                <w:szCs w:val="21"/>
                <w:highlight w:val="none"/>
              </w:rPr>
            </w:pPr>
            <w:r>
              <w:rPr>
                <w:sz w:val="21"/>
                <w:szCs w:val="21"/>
                <w:highlight w:val="none"/>
              </w:rPr>
              <w:t>消泡剂2包装桶</w:t>
            </w:r>
          </w:p>
        </w:tc>
        <w:tc>
          <w:tcPr>
            <w:tcW w:w="429" w:type="pct"/>
            <w:noWrap w:val="0"/>
            <w:vAlign w:val="center"/>
          </w:tcPr>
          <w:p w14:paraId="4DAC7ED8">
            <w:pPr>
              <w:jc w:val="center"/>
              <w:rPr>
                <w:sz w:val="21"/>
                <w:szCs w:val="21"/>
                <w:highlight w:val="none"/>
              </w:rPr>
            </w:pPr>
            <w:r>
              <w:rPr>
                <w:sz w:val="21"/>
                <w:szCs w:val="21"/>
                <w:highlight w:val="none"/>
              </w:rPr>
              <w:t>5个</w:t>
            </w:r>
          </w:p>
        </w:tc>
        <w:tc>
          <w:tcPr>
            <w:tcW w:w="887" w:type="pct"/>
            <w:noWrap w:val="0"/>
            <w:vAlign w:val="center"/>
          </w:tcPr>
          <w:p w14:paraId="758B06A0">
            <w:pPr>
              <w:jc w:val="center"/>
              <w:rPr>
                <w:sz w:val="21"/>
                <w:szCs w:val="21"/>
                <w:highlight w:val="none"/>
              </w:rPr>
            </w:pPr>
            <w:r>
              <w:rPr>
                <w:sz w:val="21"/>
                <w:szCs w:val="21"/>
                <w:highlight w:val="none"/>
              </w:rPr>
              <w:t>包装桶残留消泡剂</w:t>
            </w:r>
          </w:p>
        </w:tc>
        <w:tc>
          <w:tcPr>
            <w:tcW w:w="380" w:type="pct"/>
            <w:vMerge w:val="continue"/>
            <w:noWrap w:val="0"/>
            <w:vAlign w:val="center"/>
          </w:tcPr>
          <w:p w14:paraId="5B5A0EE9">
            <w:pPr>
              <w:jc w:val="center"/>
              <w:rPr>
                <w:sz w:val="21"/>
                <w:szCs w:val="21"/>
                <w:highlight w:val="none"/>
              </w:rPr>
            </w:pPr>
          </w:p>
        </w:tc>
        <w:tc>
          <w:tcPr>
            <w:tcW w:w="973" w:type="pct"/>
            <w:vMerge w:val="continue"/>
            <w:noWrap w:val="0"/>
            <w:vAlign w:val="center"/>
          </w:tcPr>
          <w:p w14:paraId="0CBC7D18">
            <w:pPr>
              <w:jc w:val="center"/>
              <w:rPr>
                <w:sz w:val="21"/>
                <w:szCs w:val="21"/>
                <w:highlight w:val="none"/>
              </w:rPr>
            </w:pPr>
          </w:p>
        </w:tc>
        <w:tc>
          <w:tcPr>
            <w:tcW w:w="680" w:type="pct"/>
            <w:noWrap w:val="0"/>
            <w:vAlign w:val="center"/>
          </w:tcPr>
          <w:p w14:paraId="79F8C35C">
            <w:pPr>
              <w:jc w:val="center"/>
              <w:rPr>
                <w:sz w:val="21"/>
                <w:szCs w:val="21"/>
                <w:highlight w:val="none"/>
              </w:rPr>
            </w:pPr>
            <w:r>
              <w:rPr>
                <w:sz w:val="21"/>
                <w:szCs w:val="21"/>
                <w:highlight w:val="none"/>
              </w:rPr>
              <w:t>厂家回收</w:t>
            </w:r>
          </w:p>
        </w:tc>
      </w:tr>
      <w:tr w14:paraId="6008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C9934EE">
            <w:pPr>
              <w:jc w:val="center"/>
              <w:rPr>
                <w:sz w:val="21"/>
                <w:szCs w:val="21"/>
                <w:highlight w:val="none"/>
              </w:rPr>
            </w:pPr>
          </w:p>
        </w:tc>
        <w:tc>
          <w:tcPr>
            <w:tcW w:w="667" w:type="pct"/>
            <w:gridSpan w:val="2"/>
            <w:vMerge w:val="continue"/>
            <w:noWrap w:val="0"/>
            <w:vAlign w:val="center"/>
          </w:tcPr>
          <w:p w14:paraId="46DCE2DE">
            <w:pPr>
              <w:jc w:val="center"/>
              <w:rPr>
                <w:sz w:val="21"/>
                <w:szCs w:val="21"/>
                <w:highlight w:val="none"/>
              </w:rPr>
            </w:pPr>
          </w:p>
        </w:tc>
        <w:tc>
          <w:tcPr>
            <w:tcW w:w="739" w:type="pct"/>
            <w:noWrap w:val="0"/>
            <w:vAlign w:val="center"/>
          </w:tcPr>
          <w:p w14:paraId="52F33986">
            <w:pPr>
              <w:jc w:val="center"/>
              <w:rPr>
                <w:sz w:val="21"/>
                <w:szCs w:val="21"/>
                <w:highlight w:val="none"/>
              </w:rPr>
            </w:pPr>
            <w:r>
              <w:rPr>
                <w:sz w:val="21"/>
                <w:szCs w:val="21"/>
                <w:highlight w:val="none"/>
              </w:rPr>
              <w:t>活性炭包装袋</w:t>
            </w:r>
          </w:p>
        </w:tc>
        <w:tc>
          <w:tcPr>
            <w:tcW w:w="429" w:type="pct"/>
            <w:noWrap w:val="0"/>
            <w:vAlign w:val="center"/>
          </w:tcPr>
          <w:p w14:paraId="070495E8">
            <w:pPr>
              <w:jc w:val="center"/>
              <w:rPr>
                <w:sz w:val="21"/>
                <w:szCs w:val="21"/>
                <w:highlight w:val="none"/>
              </w:rPr>
            </w:pPr>
            <w:r>
              <w:rPr>
                <w:sz w:val="21"/>
                <w:szCs w:val="21"/>
                <w:highlight w:val="none"/>
              </w:rPr>
              <w:t>2400个/月</w:t>
            </w:r>
          </w:p>
        </w:tc>
        <w:tc>
          <w:tcPr>
            <w:tcW w:w="887" w:type="pct"/>
            <w:noWrap w:val="0"/>
            <w:vAlign w:val="center"/>
          </w:tcPr>
          <w:p w14:paraId="3F5131F6">
            <w:pPr>
              <w:jc w:val="center"/>
              <w:rPr>
                <w:sz w:val="21"/>
                <w:szCs w:val="21"/>
                <w:highlight w:val="none"/>
              </w:rPr>
            </w:pPr>
            <w:r>
              <w:rPr>
                <w:sz w:val="21"/>
                <w:szCs w:val="21"/>
                <w:highlight w:val="none"/>
              </w:rPr>
              <w:t>聚乙烯包装袋残留活性炭</w:t>
            </w:r>
          </w:p>
        </w:tc>
        <w:tc>
          <w:tcPr>
            <w:tcW w:w="380" w:type="pct"/>
            <w:vMerge w:val="continue"/>
            <w:noWrap w:val="0"/>
            <w:vAlign w:val="center"/>
          </w:tcPr>
          <w:p w14:paraId="3DB94171">
            <w:pPr>
              <w:jc w:val="center"/>
              <w:rPr>
                <w:sz w:val="21"/>
                <w:szCs w:val="21"/>
                <w:highlight w:val="none"/>
              </w:rPr>
            </w:pPr>
          </w:p>
        </w:tc>
        <w:tc>
          <w:tcPr>
            <w:tcW w:w="973" w:type="pct"/>
            <w:vMerge w:val="continue"/>
            <w:noWrap w:val="0"/>
            <w:vAlign w:val="center"/>
          </w:tcPr>
          <w:p w14:paraId="67BA04CD">
            <w:pPr>
              <w:jc w:val="center"/>
              <w:rPr>
                <w:sz w:val="21"/>
                <w:szCs w:val="21"/>
                <w:highlight w:val="none"/>
              </w:rPr>
            </w:pPr>
          </w:p>
        </w:tc>
        <w:tc>
          <w:tcPr>
            <w:tcW w:w="680" w:type="pct"/>
            <w:vMerge w:val="restart"/>
            <w:shd w:val="clear" w:color="auto" w:fill="auto"/>
            <w:noWrap w:val="0"/>
            <w:vAlign w:val="center"/>
          </w:tcPr>
          <w:p w14:paraId="682999EB">
            <w:pPr>
              <w:jc w:val="center"/>
              <w:rPr>
                <w:sz w:val="21"/>
                <w:szCs w:val="21"/>
                <w:highlight w:val="none"/>
              </w:rPr>
            </w:pPr>
            <w:r>
              <w:rPr>
                <w:rFonts w:hint="eastAsia"/>
                <w:sz w:val="21"/>
                <w:szCs w:val="21"/>
                <w:highlight w:val="none"/>
                <w:lang w:val="en-US" w:eastAsia="zh-CN"/>
              </w:rPr>
              <w:t>委托第三方有资质单位处置</w:t>
            </w:r>
          </w:p>
        </w:tc>
      </w:tr>
      <w:tr w14:paraId="5DC4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3C48FDBA">
            <w:pPr>
              <w:jc w:val="center"/>
              <w:rPr>
                <w:sz w:val="21"/>
                <w:szCs w:val="21"/>
                <w:highlight w:val="none"/>
              </w:rPr>
            </w:pPr>
          </w:p>
        </w:tc>
        <w:tc>
          <w:tcPr>
            <w:tcW w:w="667" w:type="pct"/>
            <w:gridSpan w:val="2"/>
            <w:vMerge w:val="continue"/>
            <w:noWrap w:val="0"/>
            <w:vAlign w:val="center"/>
          </w:tcPr>
          <w:p w14:paraId="21FF4262">
            <w:pPr>
              <w:jc w:val="center"/>
              <w:rPr>
                <w:sz w:val="21"/>
                <w:szCs w:val="21"/>
                <w:highlight w:val="none"/>
              </w:rPr>
            </w:pPr>
          </w:p>
        </w:tc>
        <w:tc>
          <w:tcPr>
            <w:tcW w:w="739" w:type="pct"/>
            <w:noWrap w:val="0"/>
            <w:vAlign w:val="center"/>
          </w:tcPr>
          <w:p w14:paraId="572A7289">
            <w:pPr>
              <w:jc w:val="center"/>
              <w:rPr>
                <w:sz w:val="21"/>
                <w:szCs w:val="21"/>
                <w:highlight w:val="none"/>
              </w:rPr>
            </w:pPr>
            <w:r>
              <w:rPr>
                <w:sz w:val="21"/>
                <w:szCs w:val="21"/>
                <w:highlight w:val="none"/>
              </w:rPr>
              <w:t>V</w:t>
            </w:r>
            <w:r>
              <w:rPr>
                <w:sz w:val="21"/>
                <w:szCs w:val="21"/>
                <w:highlight w:val="none"/>
                <w:vertAlign w:val="subscript"/>
              </w:rPr>
              <w:t>2</w:t>
            </w:r>
            <w:r>
              <w:rPr>
                <w:sz w:val="21"/>
                <w:szCs w:val="21"/>
                <w:highlight w:val="none"/>
              </w:rPr>
              <w:t>O</w:t>
            </w:r>
            <w:r>
              <w:rPr>
                <w:sz w:val="21"/>
                <w:szCs w:val="21"/>
                <w:highlight w:val="none"/>
                <w:vertAlign w:val="subscript"/>
              </w:rPr>
              <w:t>5</w:t>
            </w:r>
            <w:r>
              <w:rPr>
                <w:sz w:val="21"/>
                <w:szCs w:val="21"/>
                <w:highlight w:val="none"/>
              </w:rPr>
              <w:t>包装桶</w:t>
            </w:r>
          </w:p>
        </w:tc>
        <w:tc>
          <w:tcPr>
            <w:tcW w:w="429" w:type="pct"/>
            <w:noWrap w:val="0"/>
            <w:vAlign w:val="center"/>
          </w:tcPr>
          <w:p w14:paraId="14039F87">
            <w:pPr>
              <w:jc w:val="center"/>
              <w:rPr>
                <w:sz w:val="21"/>
                <w:szCs w:val="21"/>
                <w:highlight w:val="none"/>
              </w:rPr>
            </w:pPr>
            <w:r>
              <w:rPr>
                <w:sz w:val="21"/>
                <w:szCs w:val="21"/>
                <w:highlight w:val="none"/>
              </w:rPr>
              <w:t>200个</w:t>
            </w:r>
          </w:p>
        </w:tc>
        <w:tc>
          <w:tcPr>
            <w:tcW w:w="887" w:type="pct"/>
            <w:noWrap w:val="0"/>
            <w:vAlign w:val="center"/>
          </w:tcPr>
          <w:p w14:paraId="19C21A7B">
            <w:pPr>
              <w:jc w:val="center"/>
              <w:rPr>
                <w:sz w:val="21"/>
                <w:szCs w:val="21"/>
                <w:highlight w:val="none"/>
              </w:rPr>
            </w:pPr>
            <w:r>
              <w:rPr>
                <w:sz w:val="21"/>
                <w:szCs w:val="21"/>
                <w:highlight w:val="none"/>
              </w:rPr>
              <w:t>包装桶残留V</w:t>
            </w:r>
            <w:r>
              <w:rPr>
                <w:sz w:val="21"/>
                <w:szCs w:val="21"/>
                <w:highlight w:val="none"/>
                <w:vertAlign w:val="subscript"/>
              </w:rPr>
              <w:t>2</w:t>
            </w:r>
            <w:r>
              <w:rPr>
                <w:sz w:val="21"/>
                <w:szCs w:val="21"/>
                <w:highlight w:val="none"/>
              </w:rPr>
              <w:t>O</w:t>
            </w:r>
            <w:r>
              <w:rPr>
                <w:sz w:val="21"/>
                <w:szCs w:val="21"/>
                <w:highlight w:val="none"/>
                <w:vertAlign w:val="subscript"/>
              </w:rPr>
              <w:t>5</w:t>
            </w:r>
          </w:p>
        </w:tc>
        <w:tc>
          <w:tcPr>
            <w:tcW w:w="380" w:type="pct"/>
            <w:vMerge w:val="continue"/>
            <w:noWrap w:val="0"/>
            <w:vAlign w:val="center"/>
          </w:tcPr>
          <w:p w14:paraId="54614517">
            <w:pPr>
              <w:jc w:val="center"/>
              <w:rPr>
                <w:sz w:val="21"/>
                <w:szCs w:val="21"/>
                <w:highlight w:val="none"/>
              </w:rPr>
            </w:pPr>
          </w:p>
        </w:tc>
        <w:tc>
          <w:tcPr>
            <w:tcW w:w="973" w:type="pct"/>
            <w:vMerge w:val="continue"/>
            <w:noWrap w:val="0"/>
            <w:vAlign w:val="center"/>
          </w:tcPr>
          <w:p w14:paraId="36B57CD3">
            <w:pPr>
              <w:jc w:val="center"/>
              <w:rPr>
                <w:sz w:val="21"/>
                <w:szCs w:val="21"/>
                <w:highlight w:val="none"/>
              </w:rPr>
            </w:pPr>
          </w:p>
        </w:tc>
        <w:tc>
          <w:tcPr>
            <w:tcW w:w="680" w:type="pct"/>
            <w:vMerge w:val="continue"/>
            <w:noWrap w:val="0"/>
            <w:vAlign w:val="center"/>
          </w:tcPr>
          <w:p w14:paraId="35EA84FF">
            <w:pPr>
              <w:jc w:val="center"/>
              <w:rPr>
                <w:sz w:val="21"/>
                <w:szCs w:val="21"/>
                <w:highlight w:val="none"/>
              </w:rPr>
            </w:pPr>
          </w:p>
        </w:tc>
      </w:tr>
      <w:tr w14:paraId="4BE1F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7137BF1F">
            <w:pPr>
              <w:jc w:val="center"/>
              <w:rPr>
                <w:sz w:val="21"/>
                <w:szCs w:val="21"/>
                <w:highlight w:val="none"/>
              </w:rPr>
            </w:pPr>
          </w:p>
        </w:tc>
        <w:tc>
          <w:tcPr>
            <w:tcW w:w="667" w:type="pct"/>
            <w:gridSpan w:val="2"/>
            <w:vMerge w:val="continue"/>
            <w:noWrap w:val="0"/>
            <w:vAlign w:val="center"/>
          </w:tcPr>
          <w:p w14:paraId="3A625F77">
            <w:pPr>
              <w:jc w:val="center"/>
              <w:rPr>
                <w:sz w:val="21"/>
                <w:szCs w:val="21"/>
                <w:highlight w:val="none"/>
              </w:rPr>
            </w:pPr>
          </w:p>
        </w:tc>
        <w:tc>
          <w:tcPr>
            <w:tcW w:w="739" w:type="pct"/>
            <w:noWrap w:val="0"/>
            <w:vAlign w:val="center"/>
          </w:tcPr>
          <w:p w14:paraId="308F0803">
            <w:pPr>
              <w:jc w:val="center"/>
              <w:rPr>
                <w:sz w:val="21"/>
                <w:szCs w:val="21"/>
                <w:highlight w:val="none"/>
              </w:rPr>
            </w:pPr>
            <w:r>
              <w:rPr>
                <w:sz w:val="21"/>
                <w:szCs w:val="21"/>
                <w:highlight w:val="none"/>
              </w:rPr>
              <w:t>草酸包装袋</w:t>
            </w:r>
          </w:p>
        </w:tc>
        <w:tc>
          <w:tcPr>
            <w:tcW w:w="429" w:type="pct"/>
            <w:noWrap w:val="0"/>
            <w:vAlign w:val="center"/>
          </w:tcPr>
          <w:p w14:paraId="02A36586">
            <w:pPr>
              <w:jc w:val="center"/>
              <w:rPr>
                <w:sz w:val="21"/>
                <w:szCs w:val="21"/>
                <w:highlight w:val="none"/>
              </w:rPr>
            </w:pPr>
            <w:r>
              <w:rPr>
                <w:sz w:val="21"/>
                <w:szCs w:val="21"/>
                <w:highlight w:val="none"/>
              </w:rPr>
              <w:t>1200个/车</w:t>
            </w:r>
          </w:p>
        </w:tc>
        <w:tc>
          <w:tcPr>
            <w:tcW w:w="887" w:type="pct"/>
            <w:noWrap w:val="0"/>
            <w:vAlign w:val="center"/>
          </w:tcPr>
          <w:p w14:paraId="1F63912F">
            <w:pPr>
              <w:jc w:val="center"/>
              <w:rPr>
                <w:sz w:val="21"/>
                <w:szCs w:val="21"/>
                <w:highlight w:val="none"/>
              </w:rPr>
            </w:pPr>
            <w:r>
              <w:rPr>
                <w:sz w:val="21"/>
                <w:szCs w:val="21"/>
                <w:highlight w:val="none"/>
              </w:rPr>
              <w:t>聚乙烯包装袋残留草酸</w:t>
            </w:r>
          </w:p>
        </w:tc>
        <w:tc>
          <w:tcPr>
            <w:tcW w:w="380" w:type="pct"/>
            <w:vMerge w:val="continue"/>
            <w:noWrap w:val="0"/>
            <w:vAlign w:val="center"/>
          </w:tcPr>
          <w:p w14:paraId="13CE47F0">
            <w:pPr>
              <w:jc w:val="center"/>
              <w:rPr>
                <w:sz w:val="21"/>
                <w:szCs w:val="21"/>
                <w:highlight w:val="none"/>
              </w:rPr>
            </w:pPr>
          </w:p>
        </w:tc>
        <w:tc>
          <w:tcPr>
            <w:tcW w:w="973" w:type="pct"/>
            <w:vMerge w:val="continue"/>
            <w:noWrap w:val="0"/>
            <w:vAlign w:val="center"/>
          </w:tcPr>
          <w:p w14:paraId="70C18D9B">
            <w:pPr>
              <w:jc w:val="center"/>
              <w:rPr>
                <w:sz w:val="21"/>
                <w:szCs w:val="21"/>
                <w:highlight w:val="none"/>
              </w:rPr>
            </w:pPr>
          </w:p>
        </w:tc>
        <w:tc>
          <w:tcPr>
            <w:tcW w:w="680" w:type="pct"/>
            <w:vMerge w:val="continue"/>
            <w:noWrap w:val="0"/>
            <w:vAlign w:val="center"/>
          </w:tcPr>
          <w:p w14:paraId="33008898">
            <w:pPr>
              <w:jc w:val="center"/>
              <w:rPr>
                <w:sz w:val="21"/>
                <w:szCs w:val="21"/>
                <w:highlight w:val="none"/>
              </w:rPr>
            </w:pPr>
          </w:p>
        </w:tc>
      </w:tr>
      <w:tr w14:paraId="2563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05466567">
            <w:pPr>
              <w:jc w:val="center"/>
              <w:rPr>
                <w:sz w:val="21"/>
                <w:szCs w:val="21"/>
                <w:highlight w:val="none"/>
              </w:rPr>
            </w:pPr>
          </w:p>
        </w:tc>
        <w:tc>
          <w:tcPr>
            <w:tcW w:w="667" w:type="pct"/>
            <w:gridSpan w:val="2"/>
            <w:vMerge w:val="continue"/>
            <w:noWrap w:val="0"/>
            <w:vAlign w:val="center"/>
          </w:tcPr>
          <w:p w14:paraId="780AB3BA">
            <w:pPr>
              <w:jc w:val="center"/>
              <w:rPr>
                <w:sz w:val="21"/>
                <w:szCs w:val="21"/>
                <w:highlight w:val="none"/>
              </w:rPr>
            </w:pPr>
          </w:p>
        </w:tc>
        <w:tc>
          <w:tcPr>
            <w:tcW w:w="739" w:type="pct"/>
            <w:noWrap w:val="0"/>
            <w:vAlign w:val="center"/>
          </w:tcPr>
          <w:p w14:paraId="30CFEE61">
            <w:pPr>
              <w:jc w:val="center"/>
              <w:rPr>
                <w:sz w:val="21"/>
                <w:szCs w:val="21"/>
                <w:highlight w:val="none"/>
              </w:rPr>
            </w:pPr>
            <w:r>
              <w:rPr>
                <w:sz w:val="21"/>
                <w:szCs w:val="21"/>
                <w:highlight w:val="none"/>
              </w:rPr>
              <w:t>NaOH包装袋</w:t>
            </w:r>
          </w:p>
        </w:tc>
        <w:tc>
          <w:tcPr>
            <w:tcW w:w="429" w:type="pct"/>
            <w:noWrap w:val="0"/>
            <w:vAlign w:val="center"/>
          </w:tcPr>
          <w:p w14:paraId="1E45E302">
            <w:pPr>
              <w:jc w:val="center"/>
              <w:rPr>
                <w:sz w:val="21"/>
                <w:szCs w:val="21"/>
                <w:highlight w:val="none"/>
              </w:rPr>
            </w:pPr>
            <w:r>
              <w:rPr>
                <w:sz w:val="21"/>
                <w:szCs w:val="21"/>
                <w:highlight w:val="none"/>
              </w:rPr>
              <w:t>3200个/车</w:t>
            </w:r>
          </w:p>
        </w:tc>
        <w:tc>
          <w:tcPr>
            <w:tcW w:w="887" w:type="pct"/>
            <w:noWrap w:val="0"/>
            <w:vAlign w:val="center"/>
          </w:tcPr>
          <w:p w14:paraId="62DBD92C">
            <w:pPr>
              <w:jc w:val="center"/>
              <w:rPr>
                <w:sz w:val="21"/>
                <w:szCs w:val="21"/>
                <w:highlight w:val="none"/>
              </w:rPr>
            </w:pPr>
            <w:r>
              <w:rPr>
                <w:sz w:val="21"/>
                <w:szCs w:val="21"/>
                <w:highlight w:val="none"/>
              </w:rPr>
              <w:t>聚乙烯包装袋残留NaOH</w:t>
            </w:r>
          </w:p>
        </w:tc>
        <w:tc>
          <w:tcPr>
            <w:tcW w:w="380" w:type="pct"/>
            <w:vMerge w:val="continue"/>
            <w:noWrap w:val="0"/>
            <w:vAlign w:val="center"/>
          </w:tcPr>
          <w:p w14:paraId="00EC9024">
            <w:pPr>
              <w:jc w:val="center"/>
              <w:rPr>
                <w:sz w:val="21"/>
                <w:szCs w:val="21"/>
                <w:highlight w:val="none"/>
              </w:rPr>
            </w:pPr>
          </w:p>
        </w:tc>
        <w:tc>
          <w:tcPr>
            <w:tcW w:w="973" w:type="pct"/>
            <w:vMerge w:val="continue"/>
            <w:noWrap w:val="0"/>
            <w:vAlign w:val="center"/>
          </w:tcPr>
          <w:p w14:paraId="50C1B44C">
            <w:pPr>
              <w:jc w:val="center"/>
              <w:rPr>
                <w:sz w:val="21"/>
                <w:szCs w:val="21"/>
                <w:highlight w:val="none"/>
              </w:rPr>
            </w:pPr>
          </w:p>
        </w:tc>
        <w:tc>
          <w:tcPr>
            <w:tcW w:w="680" w:type="pct"/>
            <w:vMerge w:val="continue"/>
            <w:noWrap w:val="0"/>
            <w:vAlign w:val="center"/>
          </w:tcPr>
          <w:p w14:paraId="2ECDF209">
            <w:pPr>
              <w:jc w:val="center"/>
              <w:rPr>
                <w:sz w:val="21"/>
                <w:szCs w:val="21"/>
                <w:highlight w:val="none"/>
              </w:rPr>
            </w:pPr>
          </w:p>
        </w:tc>
      </w:tr>
      <w:tr w14:paraId="18B52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restart"/>
            <w:noWrap w:val="0"/>
            <w:vAlign w:val="center"/>
          </w:tcPr>
          <w:p w14:paraId="150A6F95">
            <w:pPr>
              <w:jc w:val="center"/>
              <w:rPr>
                <w:sz w:val="21"/>
                <w:szCs w:val="21"/>
                <w:highlight w:val="none"/>
              </w:rPr>
            </w:pPr>
            <w:r>
              <w:rPr>
                <w:sz w:val="21"/>
                <w:szCs w:val="21"/>
                <w:highlight w:val="none"/>
              </w:rPr>
              <w:t>化学品加工装置</w:t>
            </w:r>
          </w:p>
        </w:tc>
        <w:tc>
          <w:tcPr>
            <w:tcW w:w="667" w:type="pct"/>
            <w:gridSpan w:val="2"/>
            <w:vMerge w:val="restart"/>
            <w:noWrap w:val="0"/>
            <w:vAlign w:val="center"/>
          </w:tcPr>
          <w:p w14:paraId="13EF6332">
            <w:pPr>
              <w:jc w:val="center"/>
              <w:rPr>
                <w:sz w:val="21"/>
                <w:szCs w:val="21"/>
                <w:highlight w:val="none"/>
              </w:rPr>
            </w:pPr>
            <w:r>
              <w:rPr>
                <w:sz w:val="21"/>
                <w:szCs w:val="21"/>
                <w:highlight w:val="none"/>
              </w:rPr>
              <w:t>加氢精制单元</w:t>
            </w:r>
          </w:p>
        </w:tc>
        <w:tc>
          <w:tcPr>
            <w:tcW w:w="739" w:type="pct"/>
            <w:noWrap w:val="0"/>
            <w:vAlign w:val="center"/>
          </w:tcPr>
          <w:p w14:paraId="09398D4A">
            <w:pPr>
              <w:jc w:val="center"/>
              <w:rPr>
                <w:sz w:val="21"/>
                <w:szCs w:val="21"/>
                <w:highlight w:val="none"/>
              </w:rPr>
            </w:pPr>
            <w:r>
              <w:rPr>
                <w:sz w:val="21"/>
                <w:szCs w:val="21"/>
                <w:highlight w:val="none"/>
              </w:rPr>
              <w:t>精制反应器废催化剂</w:t>
            </w:r>
          </w:p>
        </w:tc>
        <w:tc>
          <w:tcPr>
            <w:tcW w:w="429" w:type="pct"/>
            <w:noWrap w:val="0"/>
            <w:vAlign w:val="center"/>
          </w:tcPr>
          <w:p w14:paraId="27071977">
            <w:pPr>
              <w:jc w:val="center"/>
              <w:rPr>
                <w:sz w:val="21"/>
                <w:szCs w:val="21"/>
                <w:highlight w:val="none"/>
              </w:rPr>
            </w:pPr>
            <w:r>
              <w:rPr>
                <w:sz w:val="21"/>
                <w:szCs w:val="21"/>
                <w:highlight w:val="none"/>
              </w:rPr>
              <w:t>38.4t/6a</w:t>
            </w:r>
          </w:p>
        </w:tc>
        <w:tc>
          <w:tcPr>
            <w:tcW w:w="887" w:type="pct"/>
            <w:noWrap w:val="0"/>
            <w:vAlign w:val="center"/>
          </w:tcPr>
          <w:p w14:paraId="1D324368">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MoO</w:t>
            </w:r>
            <w:r>
              <w:rPr>
                <w:sz w:val="21"/>
                <w:szCs w:val="21"/>
                <w:highlight w:val="none"/>
                <w:vertAlign w:val="subscript"/>
                <w:lang w:val="pt-BR"/>
              </w:rPr>
              <w:t>3</w:t>
            </w:r>
            <w:r>
              <w:rPr>
                <w:sz w:val="21"/>
                <w:szCs w:val="21"/>
                <w:highlight w:val="none"/>
                <w:lang w:val="pt-BR"/>
              </w:rPr>
              <w:t>、WO</w:t>
            </w:r>
            <w:r>
              <w:rPr>
                <w:sz w:val="21"/>
                <w:szCs w:val="21"/>
                <w:highlight w:val="none"/>
                <w:vertAlign w:val="subscript"/>
                <w:lang w:val="pt-BR"/>
              </w:rPr>
              <w:t>3</w:t>
            </w:r>
            <w:r>
              <w:rPr>
                <w:sz w:val="21"/>
                <w:szCs w:val="21"/>
                <w:highlight w:val="none"/>
              </w:rPr>
              <w:t>、</w:t>
            </w:r>
            <w:r>
              <w:rPr>
                <w:sz w:val="21"/>
                <w:szCs w:val="21"/>
                <w:highlight w:val="none"/>
                <w:lang w:val="pt-BR"/>
              </w:rPr>
              <w:t>NiO</w:t>
            </w:r>
            <w:r>
              <w:rPr>
                <w:sz w:val="21"/>
                <w:szCs w:val="21"/>
                <w:highlight w:val="none"/>
              </w:rPr>
              <w:t>、油</w:t>
            </w:r>
          </w:p>
        </w:tc>
        <w:tc>
          <w:tcPr>
            <w:tcW w:w="380" w:type="pct"/>
            <w:vMerge w:val="restart"/>
            <w:noWrap w:val="0"/>
            <w:vAlign w:val="center"/>
          </w:tcPr>
          <w:p w14:paraId="1631C0F3">
            <w:pPr>
              <w:jc w:val="center"/>
              <w:rPr>
                <w:sz w:val="21"/>
                <w:szCs w:val="21"/>
                <w:highlight w:val="none"/>
              </w:rPr>
            </w:pPr>
            <w:r>
              <w:rPr>
                <w:sz w:val="21"/>
                <w:szCs w:val="21"/>
                <w:highlight w:val="none"/>
              </w:rPr>
              <w:t>危险废物</w:t>
            </w:r>
          </w:p>
          <w:p w14:paraId="468FD7D1">
            <w:pPr>
              <w:jc w:val="center"/>
              <w:rPr>
                <w:sz w:val="21"/>
                <w:szCs w:val="21"/>
                <w:highlight w:val="none"/>
                <w:lang w:val="pt-BR"/>
              </w:rPr>
            </w:pPr>
            <w:r>
              <w:rPr>
                <w:sz w:val="21"/>
                <w:szCs w:val="21"/>
                <w:highlight w:val="none"/>
              </w:rPr>
              <w:t>HW46</w:t>
            </w:r>
          </w:p>
        </w:tc>
        <w:tc>
          <w:tcPr>
            <w:tcW w:w="973" w:type="pct"/>
            <w:vMerge w:val="restart"/>
            <w:noWrap w:val="0"/>
            <w:vAlign w:val="center"/>
          </w:tcPr>
          <w:p w14:paraId="1DBF878F">
            <w:pPr>
              <w:jc w:val="center"/>
              <w:rPr>
                <w:sz w:val="21"/>
                <w:szCs w:val="21"/>
                <w:highlight w:val="none"/>
              </w:rPr>
            </w:pPr>
            <w:r>
              <w:rPr>
                <w:sz w:val="21"/>
                <w:szCs w:val="21"/>
                <w:highlight w:val="none"/>
              </w:rPr>
              <w:t>危险废物（HW46含镍废物）</w:t>
            </w:r>
          </w:p>
        </w:tc>
        <w:tc>
          <w:tcPr>
            <w:tcW w:w="680" w:type="pct"/>
            <w:noWrap w:val="0"/>
            <w:vAlign w:val="center"/>
          </w:tcPr>
          <w:p w14:paraId="1D1D4925">
            <w:pPr>
              <w:jc w:val="center"/>
              <w:rPr>
                <w:sz w:val="21"/>
                <w:szCs w:val="21"/>
                <w:highlight w:val="none"/>
              </w:rPr>
            </w:pPr>
            <w:r>
              <w:rPr>
                <w:sz w:val="21"/>
                <w:szCs w:val="21"/>
                <w:highlight w:val="none"/>
              </w:rPr>
              <w:t>厂家回收</w:t>
            </w:r>
          </w:p>
        </w:tc>
      </w:tr>
      <w:tr w14:paraId="69F0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25781D16">
            <w:pPr>
              <w:jc w:val="center"/>
              <w:rPr>
                <w:sz w:val="21"/>
                <w:szCs w:val="21"/>
                <w:highlight w:val="none"/>
              </w:rPr>
            </w:pPr>
          </w:p>
        </w:tc>
        <w:tc>
          <w:tcPr>
            <w:tcW w:w="667" w:type="pct"/>
            <w:gridSpan w:val="2"/>
            <w:vMerge w:val="continue"/>
            <w:noWrap w:val="0"/>
            <w:vAlign w:val="center"/>
          </w:tcPr>
          <w:p w14:paraId="2BB48A2B">
            <w:pPr>
              <w:jc w:val="center"/>
              <w:rPr>
                <w:sz w:val="21"/>
                <w:szCs w:val="21"/>
                <w:highlight w:val="none"/>
              </w:rPr>
            </w:pPr>
          </w:p>
        </w:tc>
        <w:tc>
          <w:tcPr>
            <w:tcW w:w="739" w:type="pct"/>
            <w:noWrap w:val="0"/>
            <w:vAlign w:val="center"/>
          </w:tcPr>
          <w:p w14:paraId="161BBFFE">
            <w:pPr>
              <w:jc w:val="center"/>
              <w:rPr>
                <w:sz w:val="21"/>
                <w:szCs w:val="21"/>
                <w:highlight w:val="none"/>
              </w:rPr>
            </w:pPr>
            <w:r>
              <w:rPr>
                <w:sz w:val="21"/>
                <w:szCs w:val="21"/>
                <w:highlight w:val="none"/>
              </w:rPr>
              <w:t>精制反应器废保护剂</w:t>
            </w:r>
          </w:p>
        </w:tc>
        <w:tc>
          <w:tcPr>
            <w:tcW w:w="429" w:type="pct"/>
            <w:noWrap w:val="0"/>
            <w:vAlign w:val="center"/>
          </w:tcPr>
          <w:p w14:paraId="283218B9">
            <w:pPr>
              <w:jc w:val="center"/>
              <w:rPr>
                <w:sz w:val="21"/>
                <w:szCs w:val="21"/>
                <w:highlight w:val="none"/>
              </w:rPr>
            </w:pPr>
            <w:r>
              <w:rPr>
                <w:sz w:val="21"/>
                <w:szCs w:val="21"/>
                <w:highlight w:val="none"/>
              </w:rPr>
              <w:t>18.24t/3a</w:t>
            </w:r>
          </w:p>
        </w:tc>
        <w:tc>
          <w:tcPr>
            <w:tcW w:w="887" w:type="pct"/>
            <w:noWrap w:val="0"/>
            <w:vAlign w:val="center"/>
          </w:tcPr>
          <w:p w14:paraId="0A9BE0C6">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MoO</w:t>
            </w:r>
            <w:r>
              <w:rPr>
                <w:sz w:val="21"/>
                <w:szCs w:val="21"/>
                <w:highlight w:val="none"/>
                <w:vertAlign w:val="subscript"/>
                <w:lang w:val="pt-BR"/>
              </w:rPr>
              <w:t>3</w:t>
            </w:r>
            <w:r>
              <w:rPr>
                <w:sz w:val="21"/>
                <w:szCs w:val="21"/>
                <w:highlight w:val="none"/>
                <w:lang w:val="pt-BR"/>
              </w:rPr>
              <w:t>、WO</w:t>
            </w:r>
            <w:r>
              <w:rPr>
                <w:sz w:val="21"/>
                <w:szCs w:val="21"/>
                <w:highlight w:val="none"/>
                <w:vertAlign w:val="subscript"/>
                <w:lang w:val="pt-BR"/>
              </w:rPr>
              <w:t>3</w:t>
            </w:r>
            <w:r>
              <w:rPr>
                <w:sz w:val="21"/>
                <w:szCs w:val="21"/>
                <w:highlight w:val="none"/>
              </w:rPr>
              <w:t>、</w:t>
            </w:r>
            <w:r>
              <w:rPr>
                <w:sz w:val="21"/>
                <w:szCs w:val="21"/>
                <w:highlight w:val="none"/>
                <w:lang w:val="pt-BR"/>
              </w:rPr>
              <w:t>NiO</w:t>
            </w:r>
            <w:r>
              <w:rPr>
                <w:sz w:val="21"/>
                <w:szCs w:val="21"/>
                <w:highlight w:val="none"/>
              </w:rPr>
              <w:t>、油</w:t>
            </w:r>
          </w:p>
        </w:tc>
        <w:tc>
          <w:tcPr>
            <w:tcW w:w="380" w:type="pct"/>
            <w:vMerge w:val="continue"/>
            <w:noWrap w:val="0"/>
            <w:vAlign w:val="center"/>
          </w:tcPr>
          <w:p w14:paraId="5D89B60C">
            <w:pPr>
              <w:jc w:val="center"/>
              <w:rPr>
                <w:sz w:val="21"/>
                <w:szCs w:val="21"/>
                <w:highlight w:val="none"/>
                <w:lang w:val="pt-BR"/>
              </w:rPr>
            </w:pPr>
          </w:p>
        </w:tc>
        <w:tc>
          <w:tcPr>
            <w:tcW w:w="973" w:type="pct"/>
            <w:vMerge w:val="continue"/>
            <w:noWrap w:val="0"/>
            <w:vAlign w:val="center"/>
          </w:tcPr>
          <w:p w14:paraId="64992A08">
            <w:pPr>
              <w:jc w:val="center"/>
              <w:rPr>
                <w:sz w:val="21"/>
                <w:szCs w:val="21"/>
                <w:highlight w:val="none"/>
              </w:rPr>
            </w:pPr>
          </w:p>
        </w:tc>
        <w:tc>
          <w:tcPr>
            <w:tcW w:w="680" w:type="pct"/>
            <w:noWrap w:val="0"/>
            <w:vAlign w:val="center"/>
          </w:tcPr>
          <w:p w14:paraId="3BB07417">
            <w:pPr>
              <w:jc w:val="center"/>
              <w:rPr>
                <w:sz w:val="21"/>
                <w:szCs w:val="21"/>
                <w:highlight w:val="none"/>
              </w:rPr>
            </w:pPr>
            <w:r>
              <w:rPr>
                <w:sz w:val="21"/>
                <w:szCs w:val="21"/>
                <w:highlight w:val="none"/>
              </w:rPr>
              <w:t>厂家回收</w:t>
            </w:r>
          </w:p>
        </w:tc>
      </w:tr>
      <w:tr w14:paraId="70384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65B3C734">
            <w:pPr>
              <w:jc w:val="center"/>
              <w:rPr>
                <w:sz w:val="21"/>
                <w:szCs w:val="21"/>
                <w:highlight w:val="none"/>
                <w:lang w:val="pt-BR"/>
              </w:rPr>
            </w:pPr>
          </w:p>
        </w:tc>
        <w:tc>
          <w:tcPr>
            <w:tcW w:w="667" w:type="pct"/>
            <w:gridSpan w:val="2"/>
            <w:vMerge w:val="continue"/>
            <w:noWrap w:val="0"/>
            <w:vAlign w:val="center"/>
          </w:tcPr>
          <w:p w14:paraId="5CF9609F">
            <w:pPr>
              <w:jc w:val="center"/>
              <w:rPr>
                <w:sz w:val="21"/>
                <w:szCs w:val="21"/>
                <w:highlight w:val="none"/>
                <w:lang w:val="pt-BR"/>
              </w:rPr>
            </w:pPr>
          </w:p>
        </w:tc>
        <w:tc>
          <w:tcPr>
            <w:tcW w:w="739" w:type="pct"/>
            <w:noWrap w:val="0"/>
            <w:vAlign w:val="center"/>
          </w:tcPr>
          <w:p w14:paraId="398CE49C">
            <w:pPr>
              <w:jc w:val="center"/>
              <w:rPr>
                <w:sz w:val="21"/>
                <w:szCs w:val="21"/>
                <w:highlight w:val="none"/>
              </w:rPr>
            </w:pPr>
            <w:r>
              <w:rPr>
                <w:sz w:val="21"/>
                <w:szCs w:val="21"/>
                <w:highlight w:val="none"/>
              </w:rPr>
              <w:t>精制反应器废瓷球</w:t>
            </w:r>
          </w:p>
        </w:tc>
        <w:tc>
          <w:tcPr>
            <w:tcW w:w="429" w:type="pct"/>
            <w:noWrap w:val="0"/>
            <w:vAlign w:val="center"/>
          </w:tcPr>
          <w:p w14:paraId="01FE087A">
            <w:pPr>
              <w:jc w:val="center"/>
              <w:rPr>
                <w:sz w:val="21"/>
                <w:szCs w:val="21"/>
                <w:highlight w:val="none"/>
              </w:rPr>
            </w:pPr>
            <w:r>
              <w:rPr>
                <w:sz w:val="21"/>
                <w:szCs w:val="21"/>
                <w:highlight w:val="none"/>
              </w:rPr>
              <w:t>27.78t/3a</w:t>
            </w:r>
          </w:p>
        </w:tc>
        <w:tc>
          <w:tcPr>
            <w:tcW w:w="887" w:type="pct"/>
            <w:noWrap w:val="0"/>
            <w:vAlign w:val="center"/>
          </w:tcPr>
          <w:p w14:paraId="41568551">
            <w:pPr>
              <w:jc w:val="center"/>
              <w:rPr>
                <w:sz w:val="21"/>
                <w:szCs w:val="21"/>
                <w:highlight w:val="none"/>
              </w:rPr>
            </w:pPr>
            <w:r>
              <w:rPr>
                <w:sz w:val="21"/>
                <w:szCs w:val="21"/>
                <w:highlight w:val="none"/>
              </w:rPr>
              <w:t>A1</w:t>
            </w:r>
            <w:r>
              <w:rPr>
                <w:sz w:val="21"/>
                <w:szCs w:val="21"/>
                <w:highlight w:val="none"/>
                <w:vertAlign w:val="subscript"/>
              </w:rPr>
              <w:t>2</w:t>
            </w:r>
            <w:r>
              <w:rPr>
                <w:sz w:val="21"/>
                <w:szCs w:val="21"/>
                <w:highlight w:val="none"/>
              </w:rPr>
              <w:t>O</w:t>
            </w:r>
            <w:r>
              <w:rPr>
                <w:sz w:val="21"/>
                <w:szCs w:val="21"/>
                <w:highlight w:val="none"/>
                <w:vertAlign w:val="subscript"/>
              </w:rPr>
              <w:t>3</w:t>
            </w:r>
            <w:r>
              <w:rPr>
                <w:sz w:val="21"/>
                <w:szCs w:val="21"/>
                <w:highlight w:val="none"/>
              </w:rPr>
              <w:t>、油</w:t>
            </w:r>
          </w:p>
        </w:tc>
        <w:tc>
          <w:tcPr>
            <w:tcW w:w="380" w:type="pct"/>
            <w:noWrap w:val="0"/>
            <w:vAlign w:val="center"/>
          </w:tcPr>
          <w:p w14:paraId="17EBF5F7">
            <w:pPr>
              <w:jc w:val="center"/>
              <w:rPr>
                <w:sz w:val="21"/>
                <w:szCs w:val="21"/>
                <w:highlight w:val="none"/>
              </w:rPr>
            </w:pPr>
            <w:r>
              <w:rPr>
                <w:sz w:val="21"/>
                <w:szCs w:val="21"/>
                <w:highlight w:val="none"/>
              </w:rPr>
              <w:t>危险废物</w:t>
            </w:r>
          </w:p>
          <w:p w14:paraId="29BA85CA">
            <w:pPr>
              <w:jc w:val="center"/>
              <w:rPr>
                <w:sz w:val="21"/>
                <w:szCs w:val="21"/>
                <w:highlight w:val="none"/>
              </w:rPr>
            </w:pPr>
            <w:r>
              <w:rPr>
                <w:sz w:val="21"/>
                <w:szCs w:val="21"/>
                <w:highlight w:val="none"/>
              </w:rPr>
              <w:t>HW06</w:t>
            </w:r>
          </w:p>
        </w:tc>
        <w:tc>
          <w:tcPr>
            <w:tcW w:w="973" w:type="pct"/>
            <w:noWrap w:val="0"/>
            <w:vAlign w:val="center"/>
          </w:tcPr>
          <w:p w14:paraId="68477924">
            <w:pPr>
              <w:jc w:val="center"/>
              <w:rPr>
                <w:sz w:val="21"/>
                <w:szCs w:val="21"/>
                <w:highlight w:val="none"/>
              </w:rPr>
            </w:pPr>
            <w:r>
              <w:rPr>
                <w:sz w:val="21"/>
                <w:szCs w:val="21"/>
                <w:highlight w:val="none"/>
              </w:rPr>
              <w:t>危险废物（HW06废有机溶剂与含有机溶剂</w:t>
            </w:r>
            <w:r>
              <w:rPr>
                <w:rFonts w:hint="eastAsia"/>
                <w:sz w:val="21"/>
                <w:szCs w:val="21"/>
                <w:highlight w:val="none"/>
                <w:lang w:eastAsia="zh-CN"/>
              </w:rPr>
              <w:t>的</w:t>
            </w:r>
            <w:r>
              <w:rPr>
                <w:sz w:val="21"/>
                <w:szCs w:val="21"/>
                <w:highlight w:val="none"/>
              </w:rPr>
              <w:t>废物）</w:t>
            </w:r>
          </w:p>
        </w:tc>
        <w:tc>
          <w:tcPr>
            <w:tcW w:w="680" w:type="pct"/>
            <w:vMerge w:val="restart"/>
            <w:shd w:val="clear" w:color="auto" w:fill="auto"/>
            <w:noWrap w:val="0"/>
            <w:vAlign w:val="center"/>
          </w:tcPr>
          <w:p w14:paraId="54EC8FF1">
            <w:pPr>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委托第三方有资质单位处置</w:t>
            </w:r>
          </w:p>
        </w:tc>
      </w:tr>
      <w:tr w14:paraId="4041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473D9E25">
            <w:pPr>
              <w:jc w:val="center"/>
              <w:rPr>
                <w:sz w:val="21"/>
                <w:szCs w:val="21"/>
                <w:highlight w:val="none"/>
              </w:rPr>
            </w:pPr>
          </w:p>
        </w:tc>
        <w:tc>
          <w:tcPr>
            <w:tcW w:w="667" w:type="pct"/>
            <w:gridSpan w:val="2"/>
            <w:vMerge w:val="continue"/>
            <w:noWrap w:val="0"/>
            <w:vAlign w:val="center"/>
          </w:tcPr>
          <w:p w14:paraId="0C7A8BF4">
            <w:pPr>
              <w:jc w:val="center"/>
              <w:rPr>
                <w:sz w:val="21"/>
                <w:szCs w:val="21"/>
                <w:highlight w:val="none"/>
              </w:rPr>
            </w:pPr>
          </w:p>
        </w:tc>
        <w:tc>
          <w:tcPr>
            <w:tcW w:w="739" w:type="pct"/>
            <w:noWrap w:val="0"/>
            <w:vAlign w:val="center"/>
          </w:tcPr>
          <w:p w14:paraId="506F96E2">
            <w:pPr>
              <w:jc w:val="center"/>
              <w:rPr>
                <w:sz w:val="21"/>
                <w:szCs w:val="21"/>
                <w:highlight w:val="none"/>
              </w:rPr>
            </w:pPr>
            <w:r>
              <w:rPr>
                <w:sz w:val="21"/>
                <w:szCs w:val="21"/>
                <w:highlight w:val="none"/>
              </w:rPr>
              <w:t>重质原料过滤器废布袋过滤器</w:t>
            </w:r>
          </w:p>
        </w:tc>
        <w:tc>
          <w:tcPr>
            <w:tcW w:w="429" w:type="pct"/>
            <w:noWrap w:val="0"/>
            <w:vAlign w:val="center"/>
          </w:tcPr>
          <w:p w14:paraId="40F408E5">
            <w:pPr>
              <w:jc w:val="center"/>
              <w:rPr>
                <w:sz w:val="21"/>
                <w:szCs w:val="21"/>
                <w:highlight w:val="none"/>
              </w:rPr>
            </w:pPr>
            <w:r>
              <w:rPr>
                <w:sz w:val="21"/>
                <w:szCs w:val="21"/>
                <w:highlight w:val="none"/>
              </w:rPr>
              <w:t>0.1</w:t>
            </w:r>
          </w:p>
        </w:tc>
        <w:tc>
          <w:tcPr>
            <w:tcW w:w="887" w:type="pct"/>
            <w:noWrap w:val="0"/>
            <w:vAlign w:val="center"/>
          </w:tcPr>
          <w:p w14:paraId="6092242C">
            <w:pPr>
              <w:jc w:val="center"/>
              <w:rPr>
                <w:sz w:val="21"/>
                <w:szCs w:val="21"/>
                <w:highlight w:val="none"/>
              </w:rPr>
            </w:pPr>
            <w:r>
              <w:rPr>
                <w:sz w:val="21"/>
                <w:szCs w:val="21"/>
                <w:highlight w:val="none"/>
              </w:rPr>
              <w:t>特氟龙、蜡、油</w:t>
            </w:r>
          </w:p>
        </w:tc>
        <w:tc>
          <w:tcPr>
            <w:tcW w:w="380" w:type="pct"/>
            <w:noWrap w:val="0"/>
            <w:vAlign w:val="center"/>
          </w:tcPr>
          <w:p w14:paraId="375A05DF">
            <w:pPr>
              <w:jc w:val="center"/>
              <w:rPr>
                <w:sz w:val="21"/>
                <w:szCs w:val="21"/>
                <w:highlight w:val="none"/>
              </w:rPr>
            </w:pPr>
            <w:r>
              <w:rPr>
                <w:sz w:val="21"/>
                <w:szCs w:val="21"/>
                <w:highlight w:val="none"/>
              </w:rPr>
              <w:t>危险废物</w:t>
            </w:r>
          </w:p>
          <w:p w14:paraId="41A1E84D">
            <w:pPr>
              <w:jc w:val="center"/>
              <w:rPr>
                <w:sz w:val="21"/>
                <w:szCs w:val="21"/>
                <w:highlight w:val="none"/>
              </w:rPr>
            </w:pPr>
            <w:r>
              <w:rPr>
                <w:sz w:val="21"/>
                <w:szCs w:val="21"/>
                <w:highlight w:val="none"/>
              </w:rPr>
              <w:t>HW46</w:t>
            </w:r>
          </w:p>
        </w:tc>
        <w:tc>
          <w:tcPr>
            <w:tcW w:w="973" w:type="pct"/>
            <w:noWrap w:val="0"/>
            <w:vAlign w:val="center"/>
          </w:tcPr>
          <w:p w14:paraId="137C6DDD">
            <w:pPr>
              <w:jc w:val="center"/>
              <w:rPr>
                <w:sz w:val="21"/>
                <w:szCs w:val="21"/>
                <w:highlight w:val="none"/>
              </w:rPr>
            </w:pPr>
            <w:r>
              <w:rPr>
                <w:sz w:val="21"/>
                <w:szCs w:val="21"/>
                <w:highlight w:val="none"/>
              </w:rPr>
              <w:t>危险废物（HW46含镍废物）</w:t>
            </w:r>
          </w:p>
        </w:tc>
        <w:tc>
          <w:tcPr>
            <w:tcW w:w="680" w:type="pct"/>
            <w:vMerge w:val="continue"/>
            <w:noWrap w:val="0"/>
            <w:vAlign w:val="center"/>
          </w:tcPr>
          <w:p w14:paraId="148C221A">
            <w:pPr>
              <w:jc w:val="center"/>
              <w:rPr>
                <w:sz w:val="21"/>
                <w:szCs w:val="21"/>
                <w:highlight w:val="none"/>
              </w:rPr>
            </w:pPr>
          </w:p>
        </w:tc>
      </w:tr>
      <w:tr w14:paraId="6051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22359D66">
            <w:pPr>
              <w:jc w:val="center"/>
              <w:rPr>
                <w:sz w:val="21"/>
                <w:szCs w:val="21"/>
                <w:highlight w:val="none"/>
              </w:rPr>
            </w:pPr>
          </w:p>
        </w:tc>
        <w:tc>
          <w:tcPr>
            <w:tcW w:w="667" w:type="pct"/>
            <w:gridSpan w:val="2"/>
            <w:vMerge w:val="restart"/>
            <w:noWrap w:val="0"/>
            <w:vAlign w:val="center"/>
          </w:tcPr>
          <w:p w14:paraId="3FC06C83">
            <w:pPr>
              <w:jc w:val="center"/>
              <w:rPr>
                <w:sz w:val="21"/>
                <w:szCs w:val="21"/>
                <w:highlight w:val="none"/>
              </w:rPr>
            </w:pPr>
            <w:r>
              <w:rPr>
                <w:sz w:val="21"/>
                <w:szCs w:val="21"/>
                <w:highlight w:val="none"/>
              </w:rPr>
              <w:t>加氢裂化单元</w:t>
            </w:r>
          </w:p>
        </w:tc>
        <w:tc>
          <w:tcPr>
            <w:tcW w:w="739" w:type="pct"/>
            <w:noWrap w:val="0"/>
            <w:vAlign w:val="center"/>
          </w:tcPr>
          <w:p w14:paraId="758A6A30">
            <w:pPr>
              <w:jc w:val="center"/>
              <w:rPr>
                <w:sz w:val="21"/>
                <w:szCs w:val="21"/>
                <w:highlight w:val="none"/>
              </w:rPr>
            </w:pPr>
            <w:r>
              <w:rPr>
                <w:sz w:val="21"/>
                <w:szCs w:val="21"/>
                <w:highlight w:val="none"/>
              </w:rPr>
              <w:t>裂化/降凝反应器废瓷球</w:t>
            </w:r>
          </w:p>
        </w:tc>
        <w:tc>
          <w:tcPr>
            <w:tcW w:w="429" w:type="pct"/>
            <w:noWrap w:val="0"/>
            <w:vAlign w:val="center"/>
          </w:tcPr>
          <w:p w14:paraId="5A393EF7">
            <w:pPr>
              <w:jc w:val="center"/>
              <w:rPr>
                <w:sz w:val="21"/>
                <w:szCs w:val="21"/>
                <w:highlight w:val="none"/>
              </w:rPr>
            </w:pPr>
            <w:r>
              <w:rPr>
                <w:sz w:val="21"/>
                <w:szCs w:val="21"/>
                <w:highlight w:val="none"/>
              </w:rPr>
              <w:t>47.16t/3a</w:t>
            </w:r>
          </w:p>
        </w:tc>
        <w:tc>
          <w:tcPr>
            <w:tcW w:w="887" w:type="pct"/>
            <w:noWrap w:val="0"/>
            <w:vAlign w:val="center"/>
          </w:tcPr>
          <w:p w14:paraId="332A56AC">
            <w:pPr>
              <w:jc w:val="center"/>
              <w:rPr>
                <w:sz w:val="21"/>
                <w:szCs w:val="21"/>
                <w:highlight w:val="none"/>
              </w:rPr>
            </w:pPr>
            <w:r>
              <w:rPr>
                <w:sz w:val="21"/>
                <w:szCs w:val="21"/>
                <w:highlight w:val="none"/>
              </w:rPr>
              <w:t>A1</w:t>
            </w:r>
            <w:r>
              <w:rPr>
                <w:sz w:val="21"/>
                <w:szCs w:val="21"/>
                <w:highlight w:val="none"/>
                <w:vertAlign w:val="subscript"/>
              </w:rPr>
              <w:t>2</w:t>
            </w:r>
            <w:r>
              <w:rPr>
                <w:sz w:val="21"/>
                <w:szCs w:val="21"/>
                <w:highlight w:val="none"/>
              </w:rPr>
              <w:t>O</w:t>
            </w:r>
            <w:r>
              <w:rPr>
                <w:sz w:val="21"/>
                <w:szCs w:val="21"/>
                <w:highlight w:val="none"/>
                <w:vertAlign w:val="subscript"/>
              </w:rPr>
              <w:t>3</w:t>
            </w:r>
            <w:r>
              <w:rPr>
                <w:sz w:val="21"/>
                <w:szCs w:val="21"/>
                <w:highlight w:val="none"/>
              </w:rPr>
              <w:t>、油</w:t>
            </w:r>
          </w:p>
        </w:tc>
        <w:tc>
          <w:tcPr>
            <w:tcW w:w="380" w:type="pct"/>
            <w:noWrap w:val="0"/>
            <w:vAlign w:val="center"/>
          </w:tcPr>
          <w:p w14:paraId="1D8A2475">
            <w:pPr>
              <w:jc w:val="center"/>
              <w:rPr>
                <w:sz w:val="21"/>
                <w:szCs w:val="21"/>
                <w:highlight w:val="none"/>
              </w:rPr>
            </w:pPr>
            <w:r>
              <w:rPr>
                <w:sz w:val="21"/>
                <w:szCs w:val="21"/>
                <w:highlight w:val="none"/>
              </w:rPr>
              <w:t>危险废物</w:t>
            </w:r>
          </w:p>
          <w:p w14:paraId="4C7022C2">
            <w:pPr>
              <w:jc w:val="center"/>
              <w:rPr>
                <w:sz w:val="21"/>
                <w:szCs w:val="21"/>
                <w:highlight w:val="none"/>
              </w:rPr>
            </w:pPr>
            <w:r>
              <w:rPr>
                <w:sz w:val="21"/>
                <w:szCs w:val="21"/>
                <w:highlight w:val="none"/>
              </w:rPr>
              <w:t>HW06</w:t>
            </w:r>
          </w:p>
        </w:tc>
        <w:tc>
          <w:tcPr>
            <w:tcW w:w="973" w:type="pct"/>
            <w:noWrap w:val="0"/>
            <w:vAlign w:val="center"/>
          </w:tcPr>
          <w:p w14:paraId="06548204">
            <w:pPr>
              <w:jc w:val="center"/>
              <w:rPr>
                <w:sz w:val="21"/>
                <w:szCs w:val="21"/>
                <w:highlight w:val="none"/>
              </w:rPr>
            </w:pPr>
            <w:r>
              <w:rPr>
                <w:sz w:val="21"/>
                <w:szCs w:val="21"/>
                <w:highlight w:val="none"/>
              </w:rPr>
              <w:t>危险废物（HW06废有机溶剂与含有机溶剂</w:t>
            </w:r>
            <w:r>
              <w:rPr>
                <w:rFonts w:hint="eastAsia"/>
                <w:sz w:val="21"/>
                <w:szCs w:val="21"/>
                <w:highlight w:val="none"/>
                <w:lang w:eastAsia="zh-CN"/>
              </w:rPr>
              <w:t>的</w:t>
            </w:r>
            <w:r>
              <w:rPr>
                <w:sz w:val="21"/>
                <w:szCs w:val="21"/>
                <w:highlight w:val="none"/>
              </w:rPr>
              <w:t>废物）</w:t>
            </w:r>
          </w:p>
        </w:tc>
        <w:tc>
          <w:tcPr>
            <w:tcW w:w="680" w:type="pct"/>
            <w:vMerge w:val="continue"/>
            <w:noWrap w:val="0"/>
            <w:vAlign w:val="center"/>
          </w:tcPr>
          <w:p w14:paraId="1336DA35">
            <w:pPr>
              <w:jc w:val="center"/>
              <w:rPr>
                <w:sz w:val="21"/>
                <w:szCs w:val="21"/>
                <w:highlight w:val="none"/>
              </w:rPr>
            </w:pPr>
          </w:p>
        </w:tc>
      </w:tr>
      <w:tr w14:paraId="6094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4D25A7A0">
            <w:pPr>
              <w:jc w:val="center"/>
              <w:rPr>
                <w:sz w:val="21"/>
                <w:szCs w:val="21"/>
                <w:highlight w:val="none"/>
                <w:lang w:val="pt-BR"/>
              </w:rPr>
            </w:pPr>
          </w:p>
        </w:tc>
        <w:tc>
          <w:tcPr>
            <w:tcW w:w="667" w:type="pct"/>
            <w:gridSpan w:val="2"/>
            <w:vMerge w:val="continue"/>
            <w:noWrap w:val="0"/>
            <w:vAlign w:val="center"/>
          </w:tcPr>
          <w:p w14:paraId="171C37E4">
            <w:pPr>
              <w:jc w:val="center"/>
              <w:rPr>
                <w:sz w:val="21"/>
                <w:szCs w:val="21"/>
                <w:highlight w:val="none"/>
                <w:lang w:val="pt-BR"/>
              </w:rPr>
            </w:pPr>
          </w:p>
        </w:tc>
        <w:tc>
          <w:tcPr>
            <w:tcW w:w="739" w:type="pct"/>
            <w:noWrap w:val="0"/>
            <w:vAlign w:val="center"/>
          </w:tcPr>
          <w:p w14:paraId="2C0BE2A0">
            <w:pPr>
              <w:jc w:val="center"/>
              <w:rPr>
                <w:sz w:val="21"/>
                <w:szCs w:val="21"/>
                <w:highlight w:val="none"/>
              </w:rPr>
            </w:pPr>
            <w:r>
              <w:rPr>
                <w:sz w:val="21"/>
                <w:szCs w:val="21"/>
                <w:highlight w:val="none"/>
              </w:rPr>
              <w:t>裂化反应器废催化剂</w:t>
            </w:r>
          </w:p>
        </w:tc>
        <w:tc>
          <w:tcPr>
            <w:tcW w:w="429" w:type="pct"/>
            <w:noWrap w:val="0"/>
            <w:vAlign w:val="center"/>
          </w:tcPr>
          <w:p w14:paraId="6D6F093C">
            <w:pPr>
              <w:jc w:val="center"/>
              <w:rPr>
                <w:sz w:val="21"/>
                <w:szCs w:val="21"/>
                <w:highlight w:val="none"/>
              </w:rPr>
            </w:pPr>
            <w:r>
              <w:rPr>
                <w:sz w:val="21"/>
                <w:szCs w:val="21"/>
                <w:highlight w:val="none"/>
              </w:rPr>
              <w:t>109.74t/6a</w:t>
            </w:r>
          </w:p>
        </w:tc>
        <w:tc>
          <w:tcPr>
            <w:tcW w:w="887" w:type="pct"/>
            <w:noWrap w:val="0"/>
            <w:vAlign w:val="center"/>
          </w:tcPr>
          <w:p w14:paraId="6CE1C57D">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MoO</w:t>
            </w:r>
            <w:r>
              <w:rPr>
                <w:sz w:val="21"/>
                <w:szCs w:val="21"/>
                <w:highlight w:val="none"/>
                <w:vertAlign w:val="subscript"/>
                <w:lang w:val="pt-BR"/>
              </w:rPr>
              <w:t>3</w:t>
            </w:r>
            <w:r>
              <w:rPr>
                <w:sz w:val="21"/>
                <w:szCs w:val="21"/>
                <w:highlight w:val="none"/>
                <w:lang w:val="pt-BR"/>
              </w:rPr>
              <w:t>、WO</w:t>
            </w:r>
            <w:r>
              <w:rPr>
                <w:sz w:val="21"/>
                <w:szCs w:val="21"/>
                <w:highlight w:val="none"/>
                <w:vertAlign w:val="subscript"/>
                <w:lang w:val="pt-BR"/>
              </w:rPr>
              <w:t>3</w:t>
            </w:r>
            <w:r>
              <w:rPr>
                <w:sz w:val="21"/>
                <w:szCs w:val="21"/>
                <w:highlight w:val="none"/>
              </w:rPr>
              <w:t>、</w:t>
            </w:r>
            <w:r>
              <w:rPr>
                <w:sz w:val="21"/>
                <w:szCs w:val="21"/>
                <w:highlight w:val="none"/>
                <w:lang w:val="pt-BR"/>
              </w:rPr>
              <w:t>NiO</w:t>
            </w:r>
            <w:r>
              <w:rPr>
                <w:sz w:val="21"/>
                <w:szCs w:val="21"/>
                <w:highlight w:val="none"/>
              </w:rPr>
              <w:t>、油</w:t>
            </w:r>
          </w:p>
        </w:tc>
        <w:tc>
          <w:tcPr>
            <w:tcW w:w="380" w:type="pct"/>
            <w:vMerge w:val="restart"/>
            <w:noWrap w:val="0"/>
            <w:vAlign w:val="center"/>
          </w:tcPr>
          <w:p w14:paraId="42CD718B">
            <w:pPr>
              <w:jc w:val="center"/>
              <w:rPr>
                <w:sz w:val="21"/>
                <w:szCs w:val="21"/>
                <w:highlight w:val="none"/>
              </w:rPr>
            </w:pPr>
            <w:r>
              <w:rPr>
                <w:sz w:val="21"/>
                <w:szCs w:val="21"/>
                <w:highlight w:val="none"/>
              </w:rPr>
              <w:t>危险废物</w:t>
            </w:r>
          </w:p>
          <w:p w14:paraId="5E5D4F94">
            <w:pPr>
              <w:jc w:val="center"/>
              <w:rPr>
                <w:sz w:val="21"/>
                <w:szCs w:val="21"/>
                <w:highlight w:val="none"/>
              </w:rPr>
            </w:pPr>
            <w:r>
              <w:rPr>
                <w:sz w:val="21"/>
                <w:szCs w:val="21"/>
                <w:highlight w:val="none"/>
              </w:rPr>
              <w:t>HW46</w:t>
            </w:r>
          </w:p>
        </w:tc>
        <w:tc>
          <w:tcPr>
            <w:tcW w:w="973" w:type="pct"/>
            <w:vMerge w:val="restart"/>
            <w:noWrap w:val="0"/>
            <w:vAlign w:val="center"/>
          </w:tcPr>
          <w:p w14:paraId="748351E5">
            <w:pPr>
              <w:jc w:val="center"/>
              <w:rPr>
                <w:sz w:val="21"/>
                <w:szCs w:val="21"/>
                <w:highlight w:val="none"/>
              </w:rPr>
            </w:pPr>
            <w:r>
              <w:rPr>
                <w:sz w:val="21"/>
                <w:szCs w:val="21"/>
                <w:highlight w:val="none"/>
              </w:rPr>
              <w:t>危险废物（HW46含镍废物）</w:t>
            </w:r>
          </w:p>
        </w:tc>
        <w:tc>
          <w:tcPr>
            <w:tcW w:w="680" w:type="pct"/>
            <w:noWrap w:val="0"/>
            <w:vAlign w:val="center"/>
          </w:tcPr>
          <w:p w14:paraId="66BD8167">
            <w:pPr>
              <w:jc w:val="center"/>
              <w:rPr>
                <w:sz w:val="21"/>
                <w:szCs w:val="21"/>
                <w:highlight w:val="none"/>
              </w:rPr>
            </w:pPr>
            <w:r>
              <w:rPr>
                <w:sz w:val="21"/>
                <w:szCs w:val="21"/>
                <w:highlight w:val="none"/>
              </w:rPr>
              <w:t>厂家回收</w:t>
            </w:r>
          </w:p>
        </w:tc>
      </w:tr>
      <w:tr w14:paraId="6C81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02AFC9C6">
            <w:pPr>
              <w:jc w:val="center"/>
              <w:rPr>
                <w:sz w:val="21"/>
                <w:szCs w:val="21"/>
                <w:highlight w:val="none"/>
                <w:lang w:val="pt-BR"/>
              </w:rPr>
            </w:pPr>
          </w:p>
        </w:tc>
        <w:tc>
          <w:tcPr>
            <w:tcW w:w="667" w:type="pct"/>
            <w:gridSpan w:val="2"/>
            <w:vMerge w:val="continue"/>
            <w:noWrap w:val="0"/>
            <w:vAlign w:val="center"/>
          </w:tcPr>
          <w:p w14:paraId="16340BF1">
            <w:pPr>
              <w:jc w:val="center"/>
              <w:rPr>
                <w:sz w:val="21"/>
                <w:szCs w:val="21"/>
                <w:highlight w:val="none"/>
                <w:lang w:val="pt-BR"/>
              </w:rPr>
            </w:pPr>
          </w:p>
        </w:tc>
        <w:tc>
          <w:tcPr>
            <w:tcW w:w="739" w:type="pct"/>
            <w:noWrap w:val="0"/>
            <w:vAlign w:val="center"/>
          </w:tcPr>
          <w:p w14:paraId="7BF34C78">
            <w:pPr>
              <w:jc w:val="center"/>
              <w:rPr>
                <w:sz w:val="21"/>
                <w:szCs w:val="21"/>
                <w:highlight w:val="none"/>
              </w:rPr>
            </w:pPr>
            <w:r>
              <w:rPr>
                <w:sz w:val="21"/>
                <w:szCs w:val="21"/>
                <w:highlight w:val="none"/>
              </w:rPr>
              <w:t>裂化反应器废保护剂</w:t>
            </w:r>
          </w:p>
        </w:tc>
        <w:tc>
          <w:tcPr>
            <w:tcW w:w="429" w:type="pct"/>
            <w:noWrap w:val="0"/>
            <w:vAlign w:val="center"/>
          </w:tcPr>
          <w:p w14:paraId="07496506">
            <w:pPr>
              <w:jc w:val="center"/>
              <w:rPr>
                <w:sz w:val="21"/>
                <w:szCs w:val="21"/>
                <w:highlight w:val="none"/>
              </w:rPr>
            </w:pPr>
            <w:r>
              <w:rPr>
                <w:sz w:val="21"/>
                <w:szCs w:val="21"/>
                <w:highlight w:val="none"/>
              </w:rPr>
              <w:t>19.38/3a</w:t>
            </w:r>
          </w:p>
        </w:tc>
        <w:tc>
          <w:tcPr>
            <w:tcW w:w="887" w:type="pct"/>
            <w:noWrap w:val="0"/>
            <w:vAlign w:val="center"/>
          </w:tcPr>
          <w:p w14:paraId="3EF56D58">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MoO</w:t>
            </w:r>
            <w:r>
              <w:rPr>
                <w:sz w:val="21"/>
                <w:szCs w:val="21"/>
                <w:highlight w:val="none"/>
                <w:vertAlign w:val="subscript"/>
                <w:lang w:val="pt-BR"/>
              </w:rPr>
              <w:t>3</w:t>
            </w:r>
            <w:r>
              <w:rPr>
                <w:sz w:val="21"/>
                <w:szCs w:val="21"/>
                <w:highlight w:val="none"/>
                <w:lang w:val="pt-BR"/>
              </w:rPr>
              <w:t>、WO</w:t>
            </w:r>
            <w:r>
              <w:rPr>
                <w:sz w:val="21"/>
                <w:szCs w:val="21"/>
                <w:highlight w:val="none"/>
                <w:vertAlign w:val="subscript"/>
                <w:lang w:val="pt-BR"/>
              </w:rPr>
              <w:t>3</w:t>
            </w:r>
            <w:r>
              <w:rPr>
                <w:sz w:val="21"/>
                <w:szCs w:val="21"/>
                <w:highlight w:val="none"/>
              </w:rPr>
              <w:t>、</w:t>
            </w:r>
            <w:r>
              <w:rPr>
                <w:sz w:val="21"/>
                <w:szCs w:val="21"/>
                <w:highlight w:val="none"/>
                <w:lang w:val="pt-BR"/>
              </w:rPr>
              <w:t>NiO</w:t>
            </w:r>
            <w:r>
              <w:rPr>
                <w:sz w:val="21"/>
                <w:szCs w:val="21"/>
                <w:highlight w:val="none"/>
              </w:rPr>
              <w:t>、油</w:t>
            </w:r>
          </w:p>
        </w:tc>
        <w:tc>
          <w:tcPr>
            <w:tcW w:w="380" w:type="pct"/>
            <w:vMerge w:val="continue"/>
            <w:noWrap w:val="0"/>
            <w:vAlign w:val="center"/>
          </w:tcPr>
          <w:p w14:paraId="6FA768FF">
            <w:pPr>
              <w:ind w:firstLine="420"/>
              <w:jc w:val="center"/>
              <w:rPr>
                <w:sz w:val="21"/>
                <w:szCs w:val="21"/>
                <w:highlight w:val="none"/>
                <w:lang w:val="pt-BR"/>
              </w:rPr>
            </w:pPr>
          </w:p>
        </w:tc>
        <w:tc>
          <w:tcPr>
            <w:tcW w:w="973" w:type="pct"/>
            <w:vMerge w:val="continue"/>
            <w:noWrap w:val="0"/>
            <w:vAlign w:val="center"/>
          </w:tcPr>
          <w:p w14:paraId="55541538">
            <w:pPr>
              <w:jc w:val="center"/>
              <w:rPr>
                <w:sz w:val="21"/>
                <w:szCs w:val="21"/>
                <w:highlight w:val="none"/>
              </w:rPr>
            </w:pPr>
          </w:p>
        </w:tc>
        <w:tc>
          <w:tcPr>
            <w:tcW w:w="680" w:type="pct"/>
            <w:noWrap w:val="0"/>
            <w:vAlign w:val="center"/>
          </w:tcPr>
          <w:p w14:paraId="048D5F13">
            <w:pPr>
              <w:jc w:val="center"/>
              <w:rPr>
                <w:sz w:val="21"/>
                <w:szCs w:val="21"/>
                <w:highlight w:val="none"/>
              </w:rPr>
            </w:pPr>
            <w:r>
              <w:rPr>
                <w:sz w:val="21"/>
                <w:szCs w:val="21"/>
                <w:highlight w:val="none"/>
              </w:rPr>
              <w:t>厂家回收</w:t>
            </w:r>
          </w:p>
        </w:tc>
      </w:tr>
      <w:tr w14:paraId="6FCB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1732894A">
            <w:pPr>
              <w:jc w:val="center"/>
              <w:rPr>
                <w:sz w:val="21"/>
                <w:szCs w:val="21"/>
                <w:highlight w:val="none"/>
                <w:lang w:val="pt-BR"/>
              </w:rPr>
            </w:pPr>
          </w:p>
        </w:tc>
        <w:tc>
          <w:tcPr>
            <w:tcW w:w="667" w:type="pct"/>
            <w:gridSpan w:val="2"/>
            <w:vMerge w:val="continue"/>
            <w:noWrap w:val="0"/>
            <w:vAlign w:val="center"/>
          </w:tcPr>
          <w:p w14:paraId="10EBFF52">
            <w:pPr>
              <w:jc w:val="center"/>
              <w:rPr>
                <w:sz w:val="21"/>
                <w:szCs w:val="21"/>
                <w:highlight w:val="none"/>
                <w:lang w:val="pt-BR"/>
              </w:rPr>
            </w:pPr>
          </w:p>
        </w:tc>
        <w:tc>
          <w:tcPr>
            <w:tcW w:w="739" w:type="pct"/>
            <w:noWrap w:val="0"/>
            <w:vAlign w:val="center"/>
          </w:tcPr>
          <w:p w14:paraId="5AFB1809">
            <w:pPr>
              <w:jc w:val="center"/>
              <w:rPr>
                <w:sz w:val="21"/>
                <w:szCs w:val="21"/>
                <w:highlight w:val="none"/>
              </w:rPr>
            </w:pPr>
            <w:r>
              <w:rPr>
                <w:sz w:val="21"/>
                <w:szCs w:val="21"/>
                <w:highlight w:val="none"/>
              </w:rPr>
              <w:t>降凝反应器废催化剂</w:t>
            </w:r>
          </w:p>
        </w:tc>
        <w:tc>
          <w:tcPr>
            <w:tcW w:w="429" w:type="pct"/>
            <w:noWrap w:val="0"/>
            <w:vAlign w:val="center"/>
          </w:tcPr>
          <w:p w14:paraId="451046BB">
            <w:pPr>
              <w:jc w:val="center"/>
              <w:rPr>
                <w:sz w:val="21"/>
                <w:szCs w:val="21"/>
                <w:highlight w:val="none"/>
              </w:rPr>
            </w:pPr>
            <w:r>
              <w:rPr>
                <w:sz w:val="21"/>
                <w:szCs w:val="21"/>
                <w:highlight w:val="none"/>
              </w:rPr>
              <w:t>22.2t/6a</w:t>
            </w:r>
          </w:p>
        </w:tc>
        <w:tc>
          <w:tcPr>
            <w:tcW w:w="887" w:type="pct"/>
            <w:noWrap w:val="0"/>
            <w:vAlign w:val="center"/>
          </w:tcPr>
          <w:p w14:paraId="6B5DE673">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MoO</w:t>
            </w:r>
            <w:r>
              <w:rPr>
                <w:sz w:val="21"/>
                <w:szCs w:val="21"/>
                <w:highlight w:val="none"/>
                <w:vertAlign w:val="subscript"/>
                <w:lang w:val="pt-BR"/>
              </w:rPr>
              <w:t>3</w:t>
            </w:r>
            <w:r>
              <w:rPr>
                <w:sz w:val="21"/>
                <w:szCs w:val="21"/>
                <w:highlight w:val="none"/>
                <w:lang w:val="pt-BR"/>
              </w:rPr>
              <w:t>、WO</w:t>
            </w:r>
            <w:r>
              <w:rPr>
                <w:sz w:val="21"/>
                <w:szCs w:val="21"/>
                <w:highlight w:val="none"/>
                <w:vertAlign w:val="subscript"/>
                <w:lang w:val="pt-BR"/>
              </w:rPr>
              <w:t>3</w:t>
            </w:r>
            <w:r>
              <w:rPr>
                <w:sz w:val="21"/>
                <w:szCs w:val="21"/>
                <w:highlight w:val="none"/>
              </w:rPr>
              <w:t>、</w:t>
            </w:r>
            <w:r>
              <w:rPr>
                <w:sz w:val="21"/>
                <w:szCs w:val="21"/>
                <w:highlight w:val="none"/>
                <w:lang w:val="pt-BR"/>
              </w:rPr>
              <w:t>NiO</w:t>
            </w:r>
            <w:r>
              <w:rPr>
                <w:sz w:val="21"/>
                <w:szCs w:val="21"/>
                <w:highlight w:val="none"/>
              </w:rPr>
              <w:t>、油</w:t>
            </w:r>
          </w:p>
        </w:tc>
        <w:tc>
          <w:tcPr>
            <w:tcW w:w="380" w:type="pct"/>
            <w:vMerge w:val="continue"/>
            <w:noWrap w:val="0"/>
            <w:vAlign w:val="center"/>
          </w:tcPr>
          <w:p w14:paraId="1EADF3E1">
            <w:pPr>
              <w:ind w:firstLine="420"/>
              <w:jc w:val="center"/>
              <w:rPr>
                <w:sz w:val="21"/>
                <w:szCs w:val="21"/>
                <w:highlight w:val="none"/>
                <w:lang w:val="pt-BR"/>
              </w:rPr>
            </w:pPr>
          </w:p>
        </w:tc>
        <w:tc>
          <w:tcPr>
            <w:tcW w:w="973" w:type="pct"/>
            <w:vMerge w:val="continue"/>
            <w:noWrap w:val="0"/>
            <w:vAlign w:val="center"/>
          </w:tcPr>
          <w:p w14:paraId="307B86A6">
            <w:pPr>
              <w:jc w:val="center"/>
              <w:rPr>
                <w:sz w:val="21"/>
                <w:szCs w:val="21"/>
                <w:highlight w:val="none"/>
              </w:rPr>
            </w:pPr>
          </w:p>
        </w:tc>
        <w:tc>
          <w:tcPr>
            <w:tcW w:w="680" w:type="pct"/>
            <w:noWrap w:val="0"/>
            <w:vAlign w:val="center"/>
          </w:tcPr>
          <w:p w14:paraId="1A5B247A">
            <w:pPr>
              <w:jc w:val="center"/>
              <w:rPr>
                <w:sz w:val="21"/>
                <w:szCs w:val="21"/>
                <w:highlight w:val="none"/>
              </w:rPr>
            </w:pPr>
            <w:r>
              <w:rPr>
                <w:sz w:val="21"/>
                <w:szCs w:val="21"/>
                <w:highlight w:val="none"/>
              </w:rPr>
              <w:t>厂家回收</w:t>
            </w:r>
          </w:p>
        </w:tc>
      </w:tr>
      <w:tr w14:paraId="1F94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10253E64">
            <w:pPr>
              <w:jc w:val="center"/>
              <w:rPr>
                <w:sz w:val="21"/>
                <w:szCs w:val="21"/>
                <w:highlight w:val="none"/>
                <w:lang w:val="pt-BR"/>
              </w:rPr>
            </w:pPr>
          </w:p>
        </w:tc>
        <w:tc>
          <w:tcPr>
            <w:tcW w:w="667" w:type="pct"/>
            <w:gridSpan w:val="2"/>
            <w:vMerge w:val="continue"/>
            <w:noWrap w:val="0"/>
            <w:vAlign w:val="center"/>
          </w:tcPr>
          <w:p w14:paraId="111C79DC">
            <w:pPr>
              <w:jc w:val="center"/>
              <w:rPr>
                <w:sz w:val="21"/>
                <w:szCs w:val="21"/>
                <w:highlight w:val="none"/>
                <w:lang w:val="pt-BR"/>
              </w:rPr>
            </w:pPr>
          </w:p>
        </w:tc>
        <w:tc>
          <w:tcPr>
            <w:tcW w:w="739" w:type="pct"/>
            <w:noWrap w:val="0"/>
            <w:vAlign w:val="center"/>
          </w:tcPr>
          <w:p w14:paraId="7C47DA0A">
            <w:pPr>
              <w:jc w:val="center"/>
              <w:rPr>
                <w:sz w:val="21"/>
                <w:szCs w:val="21"/>
                <w:highlight w:val="none"/>
              </w:rPr>
            </w:pPr>
            <w:r>
              <w:rPr>
                <w:sz w:val="21"/>
                <w:szCs w:val="21"/>
                <w:highlight w:val="none"/>
              </w:rPr>
              <w:t>降凝废精制剂</w:t>
            </w:r>
          </w:p>
        </w:tc>
        <w:tc>
          <w:tcPr>
            <w:tcW w:w="429" w:type="pct"/>
            <w:noWrap w:val="0"/>
            <w:vAlign w:val="center"/>
          </w:tcPr>
          <w:p w14:paraId="60CC2F20">
            <w:pPr>
              <w:jc w:val="center"/>
              <w:rPr>
                <w:sz w:val="21"/>
                <w:szCs w:val="21"/>
                <w:highlight w:val="none"/>
              </w:rPr>
            </w:pPr>
            <w:r>
              <w:rPr>
                <w:sz w:val="21"/>
                <w:szCs w:val="21"/>
                <w:highlight w:val="none"/>
              </w:rPr>
              <w:t>4.12t/6a</w:t>
            </w:r>
          </w:p>
        </w:tc>
        <w:tc>
          <w:tcPr>
            <w:tcW w:w="887" w:type="pct"/>
            <w:noWrap w:val="0"/>
            <w:vAlign w:val="center"/>
          </w:tcPr>
          <w:p w14:paraId="73457BAD">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MoO</w:t>
            </w:r>
            <w:r>
              <w:rPr>
                <w:sz w:val="21"/>
                <w:szCs w:val="21"/>
                <w:highlight w:val="none"/>
                <w:vertAlign w:val="subscript"/>
                <w:lang w:val="pt-BR"/>
              </w:rPr>
              <w:t>3</w:t>
            </w:r>
            <w:r>
              <w:rPr>
                <w:sz w:val="21"/>
                <w:szCs w:val="21"/>
                <w:highlight w:val="none"/>
                <w:lang w:val="pt-BR"/>
              </w:rPr>
              <w:t>、WO</w:t>
            </w:r>
            <w:r>
              <w:rPr>
                <w:sz w:val="21"/>
                <w:szCs w:val="21"/>
                <w:highlight w:val="none"/>
                <w:vertAlign w:val="subscript"/>
                <w:lang w:val="pt-BR"/>
              </w:rPr>
              <w:t>3</w:t>
            </w:r>
            <w:r>
              <w:rPr>
                <w:sz w:val="21"/>
                <w:szCs w:val="21"/>
                <w:highlight w:val="none"/>
              </w:rPr>
              <w:t>、</w:t>
            </w:r>
            <w:r>
              <w:rPr>
                <w:sz w:val="21"/>
                <w:szCs w:val="21"/>
                <w:highlight w:val="none"/>
                <w:lang w:val="pt-BR"/>
              </w:rPr>
              <w:t>NiO</w:t>
            </w:r>
            <w:r>
              <w:rPr>
                <w:sz w:val="21"/>
                <w:szCs w:val="21"/>
                <w:highlight w:val="none"/>
              </w:rPr>
              <w:t>、油</w:t>
            </w:r>
          </w:p>
        </w:tc>
        <w:tc>
          <w:tcPr>
            <w:tcW w:w="380" w:type="pct"/>
            <w:vMerge w:val="continue"/>
            <w:noWrap w:val="0"/>
            <w:vAlign w:val="center"/>
          </w:tcPr>
          <w:p w14:paraId="106D4C34">
            <w:pPr>
              <w:jc w:val="center"/>
              <w:rPr>
                <w:sz w:val="21"/>
                <w:szCs w:val="21"/>
                <w:highlight w:val="none"/>
                <w:lang w:val="pt-BR"/>
              </w:rPr>
            </w:pPr>
          </w:p>
        </w:tc>
        <w:tc>
          <w:tcPr>
            <w:tcW w:w="973" w:type="pct"/>
            <w:vMerge w:val="continue"/>
            <w:noWrap w:val="0"/>
            <w:vAlign w:val="center"/>
          </w:tcPr>
          <w:p w14:paraId="7259C4DF">
            <w:pPr>
              <w:jc w:val="center"/>
              <w:rPr>
                <w:sz w:val="21"/>
                <w:szCs w:val="21"/>
                <w:highlight w:val="none"/>
              </w:rPr>
            </w:pPr>
          </w:p>
        </w:tc>
        <w:tc>
          <w:tcPr>
            <w:tcW w:w="680" w:type="pct"/>
            <w:noWrap w:val="0"/>
            <w:vAlign w:val="center"/>
          </w:tcPr>
          <w:p w14:paraId="21BFBDFF">
            <w:pPr>
              <w:jc w:val="center"/>
              <w:rPr>
                <w:sz w:val="21"/>
                <w:szCs w:val="21"/>
                <w:highlight w:val="none"/>
              </w:rPr>
            </w:pPr>
            <w:r>
              <w:rPr>
                <w:sz w:val="21"/>
                <w:szCs w:val="21"/>
                <w:highlight w:val="none"/>
              </w:rPr>
              <w:t>厂家回收</w:t>
            </w:r>
          </w:p>
        </w:tc>
      </w:tr>
      <w:tr w14:paraId="3825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4353DDE9">
            <w:pPr>
              <w:jc w:val="center"/>
              <w:rPr>
                <w:sz w:val="21"/>
                <w:szCs w:val="21"/>
                <w:highlight w:val="none"/>
                <w:lang w:val="pt-BR"/>
              </w:rPr>
            </w:pPr>
          </w:p>
        </w:tc>
        <w:tc>
          <w:tcPr>
            <w:tcW w:w="667" w:type="pct"/>
            <w:gridSpan w:val="2"/>
            <w:vMerge w:val="continue"/>
            <w:noWrap w:val="0"/>
            <w:vAlign w:val="center"/>
          </w:tcPr>
          <w:p w14:paraId="720060A4">
            <w:pPr>
              <w:jc w:val="center"/>
              <w:rPr>
                <w:sz w:val="21"/>
                <w:szCs w:val="21"/>
                <w:highlight w:val="none"/>
                <w:lang w:val="pt-BR"/>
              </w:rPr>
            </w:pPr>
          </w:p>
        </w:tc>
        <w:tc>
          <w:tcPr>
            <w:tcW w:w="739" w:type="pct"/>
            <w:noWrap w:val="0"/>
            <w:vAlign w:val="center"/>
          </w:tcPr>
          <w:p w14:paraId="2BFD9E70">
            <w:pPr>
              <w:jc w:val="center"/>
              <w:rPr>
                <w:sz w:val="21"/>
                <w:szCs w:val="21"/>
                <w:highlight w:val="none"/>
              </w:rPr>
            </w:pPr>
            <w:r>
              <w:rPr>
                <w:sz w:val="21"/>
                <w:szCs w:val="21"/>
                <w:highlight w:val="none"/>
              </w:rPr>
              <w:t>LPG脱硫罐废瓷球</w:t>
            </w:r>
          </w:p>
        </w:tc>
        <w:tc>
          <w:tcPr>
            <w:tcW w:w="429" w:type="pct"/>
            <w:noWrap w:val="0"/>
            <w:vAlign w:val="center"/>
          </w:tcPr>
          <w:p w14:paraId="0963F794">
            <w:pPr>
              <w:jc w:val="center"/>
              <w:rPr>
                <w:sz w:val="21"/>
                <w:szCs w:val="21"/>
                <w:highlight w:val="none"/>
              </w:rPr>
            </w:pPr>
            <w:r>
              <w:rPr>
                <w:sz w:val="21"/>
                <w:szCs w:val="21"/>
                <w:highlight w:val="none"/>
              </w:rPr>
              <w:t>4.44</w:t>
            </w:r>
          </w:p>
        </w:tc>
        <w:tc>
          <w:tcPr>
            <w:tcW w:w="887" w:type="pct"/>
            <w:noWrap w:val="0"/>
            <w:vAlign w:val="center"/>
          </w:tcPr>
          <w:p w14:paraId="67E4CD3F">
            <w:pPr>
              <w:jc w:val="center"/>
              <w:rPr>
                <w:sz w:val="21"/>
                <w:szCs w:val="21"/>
                <w:highlight w:val="none"/>
              </w:rPr>
            </w:pPr>
            <w:r>
              <w:rPr>
                <w:sz w:val="21"/>
                <w:szCs w:val="21"/>
                <w:highlight w:val="none"/>
              </w:rPr>
              <w:t>A1</w:t>
            </w:r>
            <w:r>
              <w:rPr>
                <w:sz w:val="21"/>
                <w:szCs w:val="21"/>
                <w:highlight w:val="none"/>
                <w:vertAlign w:val="subscript"/>
              </w:rPr>
              <w:t>2</w:t>
            </w:r>
            <w:r>
              <w:rPr>
                <w:sz w:val="21"/>
                <w:szCs w:val="21"/>
                <w:highlight w:val="none"/>
              </w:rPr>
              <w:t>O</w:t>
            </w:r>
            <w:r>
              <w:rPr>
                <w:sz w:val="21"/>
                <w:szCs w:val="21"/>
                <w:highlight w:val="none"/>
                <w:vertAlign w:val="subscript"/>
              </w:rPr>
              <w:t>3</w:t>
            </w:r>
            <w:r>
              <w:rPr>
                <w:sz w:val="21"/>
                <w:szCs w:val="21"/>
                <w:highlight w:val="none"/>
              </w:rPr>
              <w:t>、油</w:t>
            </w:r>
          </w:p>
        </w:tc>
        <w:tc>
          <w:tcPr>
            <w:tcW w:w="380" w:type="pct"/>
            <w:noWrap w:val="0"/>
            <w:vAlign w:val="center"/>
          </w:tcPr>
          <w:p w14:paraId="36C71111">
            <w:pPr>
              <w:jc w:val="center"/>
              <w:rPr>
                <w:sz w:val="21"/>
                <w:szCs w:val="21"/>
                <w:highlight w:val="none"/>
              </w:rPr>
            </w:pPr>
            <w:r>
              <w:rPr>
                <w:sz w:val="21"/>
                <w:szCs w:val="21"/>
                <w:highlight w:val="none"/>
              </w:rPr>
              <w:t>危险废物</w:t>
            </w:r>
          </w:p>
        </w:tc>
        <w:tc>
          <w:tcPr>
            <w:tcW w:w="973" w:type="pct"/>
            <w:vMerge w:val="restart"/>
            <w:noWrap w:val="0"/>
            <w:vAlign w:val="center"/>
          </w:tcPr>
          <w:p w14:paraId="184B8BAF">
            <w:pPr>
              <w:jc w:val="center"/>
              <w:rPr>
                <w:sz w:val="21"/>
                <w:szCs w:val="21"/>
                <w:highlight w:val="none"/>
              </w:rPr>
            </w:pPr>
            <w:r>
              <w:rPr>
                <w:sz w:val="21"/>
                <w:szCs w:val="21"/>
                <w:highlight w:val="none"/>
              </w:rPr>
              <w:t>危险废物（HW49其他废物）</w:t>
            </w:r>
          </w:p>
        </w:tc>
        <w:tc>
          <w:tcPr>
            <w:tcW w:w="680" w:type="pct"/>
            <w:vMerge w:val="restart"/>
            <w:shd w:val="clear" w:color="auto" w:fill="auto"/>
            <w:noWrap w:val="0"/>
            <w:vAlign w:val="center"/>
          </w:tcPr>
          <w:p w14:paraId="2E7F4661">
            <w:pPr>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委托第三方有资质单位处置</w:t>
            </w:r>
          </w:p>
        </w:tc>
      </w:tr>
      <w:tr w14:paraId="7C09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C4279AE">
            <w:pPr>
              <w:jc w:val="center"/>
              <w:rPr>
                <w:sz w:val="21"/>
                <w:szCs w:val="21"/>
                <w:highlight w:val="none"/>
                <w:lang w:val="es-ES"/>
              </w:rPr>
            </w:pPr>
          </w:p>
        </w:tc>
        <w:tc>
          <w:tcPr>
            <w:tcW w:w="667" w:type="pct"/>
            <w:gridSpan w:val="2"/>
            <w:vMerge w:val="continue"/>
            <w:noWrap w:val="0"/>
            <w:vAlign w:val="center"/>
          </w:tcPr>
          <w:p w14:paraId="2DC77D73">
            <w:pPr>
              <w:jc w:val="center"/>
              <w:rPr>
                <w:sz w:val="21"/>
                <w:szCs w:val="21"/>
                <w:highlight w:val="none"/>
                <w:lang w:val="es-ES"/>
              </w:rPr>
            </w:pPr>
          </w:p>
        </w:tc>
        <w:tc>
          <w:tcPr>
            <w:tcW w:w="739" w:type="pct"/>
            <w:noWrap w:val="0"/>
            <w:vAlign w:val="center"/>
          </w:tcPr>
          <w:p w14:paraId="71437044">
            <w:pPr>
              <w:jc w:val="center"/>
              <w:rPr>
                <w:sz w:val="21"/>
                <w:szCs w:val="21"/>
                <w:highlight w:val="none"/>
              </w:rPr>
            </w:pPr>
            <w:r>
              <w:rPr>
                <w:sz w:val="21"/>
                <w:szCs w:val="21"/>
                <w:highlight w:val="none"/>
              </w:rPr>
              <w:t>LPG脱硫罐废脱硫剂</w:t>
            </w:r>
          </w:p>
        </w:tc>
        <w:tc>
          <w:tcPr>
            <w:tcW w:w="429" w:type="pct"/>
            <w:noWrap w:val="0"/>
            <w:vAlign w:val="center"/>
          </w:tcPr>
          <w:p w14:paraId="47C81EF3">
            <w:pPr>
              <w:jc w:val="center"/>
              <w:rPr>
                <w:sz w:val="21"/>
                <w:szCs w:val="21"/>
                <w:highlight w:val="none"/>
              </w:rPr>
            </w:pPr>
            <w:r>
              <w:rPr>
                <w:sz w:val="21"/>
                <w:szCs w:val="21"/>
                <w:highlight w:val="none"/>
              </w:rPr>
              <w:t>34.8</w:t>
            </w:r>
          </w:p>
        </w:tc>
        <w:tc>
          <w:tcPr>
            <w:tcW w:w="887" w:type="pct"/>
            <w:noWrap w:val="0"/>
            <w:vAlign w:val="center"/>
          </w:tcPr>
          <w:p w14:paraId="2947D3AB">
            <w:pPr>
              <w:jc w:val="center"/>
              <w:rPr>
                <w:sz w:val="21"/>
                <w:szCs w:val="21"/>
                <w:highlight w:val="none"/>
              </w:rPr>
            </w:pPr>
            <w:r>
              <w:rPr>
                <w:sz w:val="21"/>
                <w:szCs w:val="21"/>
                <w:highlight w:val="none"/>
              </w:rPr>
              <w:t>铁酸钙、油</w:t>
            </w:r>
          </w:p>
        </w:tc>
        <w:tc>
          <w:tcPr>
            <w:tcW w:w="380" w:type="pct"/>
            <w:noWrap w:val="0"/>
            <w:vAlign w:val="center"/>
          </w:tcPr>
          <w:p w14:paraId="7E9EA348">
            <w:pPr>
              <w:jc w:val="center"/>
              <w:rPr>
                <w:sz w:val="21"/>
                <w:szCs w:val="21"/>
                <w:highlight w:val="none"/>
              </w:rPr>
            </w:pPr>
            <w:r>
              <w:rPr>
                <w:sz w:val="21"/>
                <w:szCs w:val="21"/>
                <w:highlight w:val="none"/>
              </w:rPr>
              <w:t>危险废物</w:t>
            </w:r>
          </w:p>
        </w:tc>
        <w:tc>
          <w:tcPr>
            <w:tcW w:w="973" w:type="pct"/>
            <w:vMerge w:val="continue"/>
            <w:noWrap w:val="0"/>
            <w:vAlign w:val="center"/>
          </w:tcPr>
          <w:p w14:paraId="255AB2CE">
            <w:pPr>
              <w:jc w:val="center"/>
              <w:rPr>
                <w:sz w:val="21"/>
                <w:szCs w:val="21"/>
                <w:highlight w:val="none"/>
              </w:rPr>
            </w:pPr>
          </w:p>
        </w:tc>
        <w:tc>
          <w:tcPr>
            <w:tcW w:w="680" w:type="pct"/>
            <w:vMerge w:val="continue"/>
            <w:noWrap w:val="0"/>
            <w:vAlign w:val="center"/>
          </w:tcPr>
          <w:p w14:paraId="5C222FB9">
            <w:pPr>
              <w:jc w:val="center"/>
              <w:rPr>
                <w:sz w:val="21"/>
                <w:szCs w:val="21"/>
                <w:highlight w:val="none"/>
              </w:rPr>
            </w:pPr>
          </w:p>
        </w:tc>
      </w:tr>
      <w:tr w14:paraId="6EAA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D633391">
            <w:pPr>
              <w:jc w:val="center"/>
              <w:rPr>
                <w:sz w:val="21"/>
                <w:szCs w:val="21"/>
                <w:highlight w:val="none"/>
                <w:lang w:val="pt-BR"/>
              </w:rPr>
            </w:pPr>
          </w:p>
        </w:tc>
        <w:tc>
          <w:tcPr>
            <w:tcW w:w="667" w:type="pct"/>
            <w:gridSpan w:val="2"/>
            <w:vMerge w:val="continue"/>
            <w:noWrap w:val="0"/>
            <w:vAlign w:val="center"/>
          </w:tcPr>
          <w:p w14:paraId="209C34E0">
            <w:pPr>
              <w:jc w:val="center"/>
              <w:rPr>
                <w:sz w:val="21"/>
                <w:szCs w:val="21"/>
                <w:highlight w:val="none"/>
                <w:lang w:val="pt-BR"/>
              </w:rPr>
            </w:pPr>
          </w:p>
        </w:tc>
        <w:tc>
          <w:tcPr>
            <w:tcW w:w="739" w:type="pct"/>
            <w:noWrap w:val="0"/>
            <w:vAlign w:val="center"/>
          </w:tcPr>
          <w:p w14:paraId="2AFB355D">
            <w:pPr>
              <w:jc w:val="center"/>
              <w:rPr>
                <w:sz w:val="21"/>
                <w:szCs w:val="21"/>
                <w:highlight w:val="none"/>
              </w:rPr>
            </w:pPr>
            <w:r>
              <w:rPr>
                <w:sz w:val="21"/>
                <w:szCs w:val="21"/>
                <w:highlight w:val="none"/>
              </w:rPr>
              <w:t>裂化原料过滤器废布袋过滤器</w:t>
            </w:r>
          </w:p>
        </w:tc>
        <w:tc>
          <w:tcPr>
            <w:tcW w:w="429" w:type="pct"/>
            <w:noWrap w:val="0"/>
            <w:vAlign w:val="center"/>
          </w:tcPr>
          <w:p w14:paraId="11209666">
            <w:pPr>
              <w:jc w:val="center"/>
              <w:rPr>
                <w:sz w:val="21"/>
                <w:szCs w:val="21"/>
                <w:highlight w:val="none"/>
              </w:rPr>
            </w:pPr>
            <w:r>
              <w:rPr>
                <w:sz w:val="21"/>
                <w:szCs w:val="21"/>
                <w:highlight w:val="none"/>
              </w:rPr>
              <w:t>0.1</w:t>
            </w:r>
          </w:p>
        </w:tc>
        <w:tc>
          <w:tcPr>
            <w:tcW w:w="887" w:type="pct"/>
            <w:noWrap w:val="0"/>
            <w:vAlign w:val="center"/>
          </w:tcPr>
          <w:p w14:paraId="231CD31D">
            <w:pPr>
              <w:jc w:val="center"/>
              <w:rPr>
                <w:sz w:val="21"/>
                <w:szCs w:val="21"/>
                <w:highlight w:val="none"/>
              </w:rPr>
            </w:pPr>
            <w:r>
              <w:rPr>
                <w:sz w:val="21"/>
                <w:szCs w:val="21"/>
                <w:highlight w:val="none"/>
              </w:rPr>
              <w:t>特氟龙、蜡、油</w:t>
            </w:r>
          </w:p>
        </w:tc>
        <w:tc>
          <w:tcPr>
            <w:tcW w:w="380" w:type="pct"/>
            <w:noWrap w:val="0"/>
            <w:vAlign w:val="center"/>
          </w:tcPr>
          <w:p w14:paraId="49504EC1">
            <w:pPr>
              <w:jc w:val="center"/>
              <w:rPr>
                <w:sz w:val="21"/>
                <w:szCs w:val="21"/>
                <w:highlight w:val="none"/>
              </w:rPr>
            </w:pPr>
            <w:r>
              <w:rPr>
                <w:sz w:val="21"/>
                <w:szCs w:val="21"/>
                <w:highlight w:val="none"/>
              </w:rPr>
              <w:t>危险废物</w:t>
            </w:r>
          </w:p>
        </w:tc>
        <w:tc>
          <w:tcPr>
            <w:tcW w:w="973" w:type="pct"/>
            <w:vMerge w:val="continue"/>
            <w:noWrap w:val="0"/>
            <w:vAlign w:val="center"/>
          </w:tcPr>
          <w:p w14:paraId="0BEC471C">
            <w:pPr>
              <w:jc w:val="center"/>
              <w:rPr>
                <w:sz w:val="21"/>
                <w:szCs w:val="21"/>
                <w:highlight w:val="none"/>
              </w:rPr>
            </w:pPr>
          </w:p>
        </w:tc>
        <w:tc>
          <w:tcPr>
            <w:tcW w:w="680" w:type="pct"/>
            <w:vMerge w:val="continue"/>
            <w:noWrap w:val="0"/>
            <w:vAlign w:val="center"/>
          </w:tcPr>
          <w:p w14:paraId="5DF0D137">
            <w:pPr>
              <w:jc w:val="center"/>
              <w:rPr>
                <w:sz w:val="21"/>
                <w:szCs w:val="21"/>
                <w:highlight w:val="none"/>
              </w:rPr>
            </w:pPr>
          </w:p>
        </w:tc>
      </w:tr>
      <w:tr w14:paraId="7585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8296E39">
            <w:pPr>
              <w:jc w:val="center"/>
              <w:rPr>
                <w:sz w:val="21"/>
                <w:szCs w:val="21"/>
                <w:highlight w:val="none"/>
                <w:lang w:val="pt-BR"/>
              </w:rPr>
            </w:pPr>
          </w:p>
        </w:tc>
        <w:tc>
          <w:tcPr>
            <w:tcW w:w="667" w:type="pct"/>
            <w:gridSpan w:val="2"/>
            <w:vMerge w:val="continue"/>
            <w:noWrap w:val="0"/>
            <w:vAlign w:val="center"/>
          </w:tcPr>
          <w:p w14:paraId="07411B06">
            <w:pPr>
              <w:jc w:val="center"/>
              <w:rPr>
                <w:sz w:val="21"/>
                <w:szCs w:val="21"/>
                <w:highlight w:val="none"/>
                <w:lang w:val="pt-BR"/>
              </w:rPr>
            </w:pPr>
          </w:p>
        </w:tc>
        <w:tc>
          <w:tcPr>
            <w:tcW w:w="739" w:type="pct"/>
            <w:noWrap w:val="0"/>
            <w:vAlign w:val="center"/>
          </w:tcPr>
          <w:p w14:paraId="14898BE3">
            <w:pPr>
              <w:jc w:val="center"/>
              <w:rPr>
                <w:sz w:val="21"/>
                <w:szCs w:val="21"/>
                <w:highlight w:val="none"/>
              </w:rPr>
            </w:pPr>
            <w:r>
              <w:rPr>
                <w:sz w:val="21"/>
                <w:szCs w:val="21"/>
                <w:highlight w:val="none"/>
              </w:rPr>
              <w:t>废膜分离组件</w:t>
            </w:r>
          </w:p>
        </w:tc>
        <w:tc>
          <w:tcPr>
            <w:tcW w:w="429" w:type="pct"/>
            <w:noWrap w:val="0"/>
            <w:vAlign w:val="center"/>
          </w:tcPr>
          <w:p w14:paraId="384EF8E3">
            <w:pPr>
              <w:jc w:val="center"/>
              <w:rPr>
                <w:sz w:val="21"/>
                <w:szCs w:val="21"/>
                <w:highlight w:val="none"/>
              </w:rPr>
            </w:pPr>
            <w:r>
              <w:rPr>
                <w:sz w:val="21"/>
                <w:szCs w:val="21"/>
                <w:highlight w:val="none"/>
              </w:rPr>
              <w:t>3个/3a</w:t>
            </w:r>
          </w:p>
        </w:tc>
        <w:tc>
          <w:tcPr>
            <w:tcW w:w="887" w:type="pct"/>
            <w:noWrap w:val="0"/>
            <w:vAlign w:val="center"/>
          </w:tcPr>
          <w:p w14:paraId="6AB515E4">
            <w:pPr>
              <w:jc w:val="center"/>
              <w:rPr>
                <w:sz w:val="21"/>
                <w:szCs w:val="21"/>
                <w:highlight w:val="none"/>
              </w:rPr>
            </w:pPr>
            <w:r>
              <w:rPr>
                <w:sz w:val="21"/>
                <w:szCs w:val="21"/>
                <w:highlight w:val="none"/>
              </w:rPr>
              <w:t>聚砜、油</w:t>
            </w:r>
          </w:p>
        </w:tc>
        <w:tc>
          <w:tcPr>
            <w:tcW w:w="380" w:type="pct"/>
            <w:noWrap w:val="0"/>
            <w:vAlign w:val="center"/>
          </w:tcPr>
          <w:p w14:paraId="6331C410">
            <w:pPr>
              <w:jc w:val="center"/>
              <w:rPr>
                <w:sz w:val="21"/>
                <w:szCs w:val="21"/>
                <w:highlight w:val="none"/>
              </w:rPr>
            </w:pPr>
            <w:r>
              <w:rPr>
                <w:sz w:val="21"/>
                <w:szCs w:val="21"/>
                <w:highlight w:val="none"/>
              </w:rPr>
              <w:t>危险废物</w:t>
            </w:r>
          </w:p>
        </w:tc>
        <w:tc>
          <w:tcPr>
            <w:tcW w:w="973" w:type="pct"/>
            <w:vMerge w:val="continue"/>
            <w:noWrap w:val="0"/>
            <w:vAlign w:val="center"/>
          </w:tcPr>
          <w:p w14:paraId="10442801">
            <w:pPr>
              <w:jc w:val="center"/>
              <w:rPr>
                <w:sz w:val="21"/>
                <w:szCs w:val="21"/>
                <w:highlight w:val="none"/>
              </w:rPr>
            </w:pPr>
          </w:p>
        </w:tc>
        <w:tc>
          <w:tcPr>
            <w:tcW w:w="680" w:type="pct"/>
            <w:vMerge w:val="continue"/>
            <w:noWrap w:val="0"/>
            <w:vAlign w:val="center"/>
          </w:tcPr>
          <w:p w14:paraId="44EBD2E9">
            <w:pPr>
              <w:jc w:val="center"/>
              <w:rPr>
                <w:sz w:val="21"/>
                <w:szCs w:val="21"/>
                <w:highlight w:val="none"/>
              </w:rPr>
            </w:pPr>
          </w:p>
        </w:tc>
      </w:tr>
      <w:tr w14:paraId="5E9F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EF262F2">
            <w:pPr>
              <w:jc w:val="center"/>
              <w:rPr>
                <w:sz w:val="21"/>
                <w:szCs w:val="21"/>
                <w:highlight w:val="none"/>
                <w:lang w:val="pt-BR"/>
              </w:rPr>
            </w:pPr>
          </w:p>
        </w:tc>
        <w:tc>
          <w:tcPr>
            <w:tcW w:w="667" w:type="pct"/>
            <w:gridSpan w:val="2"/>
            <w:vMerge w:val="continue"/>
            <w:noWrap w:val="0"/>
            <w:vAlign w:val="center"/>
          </w:tcPr>
          <w:p w14:paraId="17CE3EA8">
            <w:pPr>
              <w:jc w:val="center"/>
              <w:rPr>
                <w:sz w:val="21"/>
                <w:szCs w:val="21"/>
                <w:highlight w:val="none"/>
                <w:lang w:val="pt-BR"/>
              </w:rPr>
            </w:pPr>
          </w:p>
        </w:tc>
        <w:tc>
          <w:tcPr>
            <w:tcW w:w="739" w:type="pct"/>
            <w:noWrap w:val="0"/>
            <w:vAlign w:val="center"/>
          </w:tcPr>
          <w:p w14:paraId="43B8330D">
            <w:pPr>
              <w:jc w:val="center"/>
              <w:rPr>
                <w:sz w:val="21"/>
                <w:szCs w:val="21"/>
                <w:highlight w:val="none"/>
              </w:rPr>
            </w:pPr>
            <w:r>
              <w:rPr>
                <w:sz w:val="21"/>
                <w:szCs w:val="21"/>
                <w:highlight w:val="none"/>
              </w:rPr>
              <w:t>还原液体石蜡脱硫罐废瓷球</w:t>
            </w:r>
          </w:p>
        </w:tc>
        <w:tc>
          <w:tcPr>
            <w:tcW w:w="429" w:type="pct"/>
            <w:noWrap w:val="0"/>
            <w:vAlign w:val="center"/>
          </w:tcPr>
          <w:p w14:paraId="274C43D1">
            <w:pPr>
              <w:jc w:val="center"/>
              <w:rPr>
                <w:sz w:val="21"/>
                <w:szCs w:val="21"/>
                <w:highlight w:val="none"/>
              </w:rPr>
            </w:pPr>
            <w:r>
              <w:rPr>
                <w:sz w:val="21"/>
                <w:szCs w:val="21"/>
                <w:highlight w:val="none"/>
              </w:rPr>
              <w:t>3.67</w:t>
            </w:r>
          </w:p>
        </w:tc>
        <w:tc>
          <w:tcPr>
            <w:tcW w:w="887" w:type="pct"/>
            <w:noWrap w:val="0"/>
            <w:vAlign w:val="center"/>
          </w:tcPr>
          <w:p w14:paraId="34B169C0">
            <w:pPr>
              <w:jc w:val="center"/>
              <w:rPr>
                <w:sz w:val="21"/>
                <w:szCs w:val="21"/>
                <w:highlight w:val="none"/>
              </w:rPr>
            </w:pPr>
            <w:r>
              <w:rPr>
                <w:sz w:val="21"/>
                <w:szCs w:val="21"/>
                <w:highlight w:val="none"/>
              </w:rPr>
              <w:t>A1</w:t>
            </w:r>
            <w:r>
              <w:rPr>
                <w:sz w:val="21"/>
                <w:szCs w:val="21"/>
                <w:highlight w:val="none"/>
                <w:vertAlign w:val="subscript"/>
              </w:rPr>
              <w:t>2</w:t>
            </w:r>
            <w:r>
              <w:rPr>
                <w:sz w:val="21"/>
                <w:szCs w:val="21"/>
                <w:highlight w:val="none"/>
              </w:rPr>
              <w:t>O</w:t>
            </w:r>
            <w:r>
              <w:rPr>
                <w:sz w:val="21"/>
                <w:szCs w:val="21"/>
                <w:highlight w:val="none"/>
                <w:vertAlign w:val="subscript"/>
              </w:rPr>
              <w:t>3</w:t>
            </w:r>
            <w:r>
              <w:rPr>
                <w:sz w:val="21"/>
                <w:szCs w:val="21"/>
                <w:highlight w:val="none"/>
              </w:rPr>
              <w:t>、油</w:t>
            </w:r>
          </w:p>
        </w:tc>
        <w:tc>
          <w:tcPr>
            <w:tcW w:w="380" w:type="pct"/>
            <w:noWrap w:val="0"/>
            <w:vAlign w:val="center"/>
          </w:tcPr>
          <w:p w14:paraId="179AAE7C">
            <w:pPr>
              <w:jc w:val="center"/>
              <w:rPr>
                <w:sz w:val="21"/>
                <w:szCs w:val="21"/>
                <w:highlight w:val="none"/>
              </w:rPr>
            </w:pPr>
            <w:r>
              <w:rPr>
                <w:sz w:val="21"/>
                <w:szCs w:val="21"/>
                <w:highlight w:val="none"/>
              </w:rPr>
              <w:t>危险废物</w:t>
            </w:r>
          </w:p>
        </w:tc>
        <w:tc>
          <w:tcPr>
            <w:tcW w:w="973" w:type="pct"/>
            <w:vMerge w:val="continue"/>
            <w:noWrap w:val="0"/>
            <w:vAlign w:val="center"/>
          </w:tcPr>
          <w:p w14:paraId="43E642C5">
            <w:pPr>
              <w:jc w:val="center"/>
              <w:rPr>
                <w:sz w:val="21"/>
                <w:szCs w:val="21"/>
                <w:highlight w:val="none"/>
              </w:rPr>
            </w:pPr>
          </w:p>
        </w:tc>
        <w:tc>
          <w:tcPr>
            <w:tcW w:w="680" w:type="pct"/>
            <w:vMerge w:val="continue"/>
            <w:noWrap w:val="0"/>
            <w:vAlign w:val="center"/>
          </w:tcPr>
          <w:p w14:paraId="50A8376F">
            <w:pPr>
              <w:jc w:val="center"/>
              <w:rPr>
                <w:sz w:val="21"/>
                <w:szCs w:val="21"/>
                <w:highlight w:val="none"/>
              </w:rPr>
            </w:pPr>
          </w:p>
        </w:tc>
      </w:tr>
      <w:tr w14:paraId="0376C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55AC75E">
            <w:pPr>
              <w:jc w:val="center"/>
              <w:rPr>
                <w:sz w:val="21"/>
                <w:szCs w:val="21"/>
                <w:highlight w:val="none"/>
                <w:lang w:val="pt-BR"/>
              </w:rPr>
            </w:pPr>
          </w:p>
        </w:tc>
        <w:tc>
          <w:tcPr>
            <w:tcW w:w="667" w:type="pct"/>
            <w:gridSpan w:val="2"/>
            <w:vMerge w:val="continue"/>
            <w:noWrap w:val="0"/>
            <w:vAlign w:val="center"/>
          </w:tcPr>
          <w:p w14:paraId="615A5904">
            <w:pPr>
              <w:jc w:val="center"/>
              <w:rPr>
                <w:sz w:val="21"/>
                <w:szCs w:val="21"/>
                <w:highlight w:val="none"/>
                <w:lang w:val="pt-BR"/>
              </w:rPr>
            </w:pPr>
          </w:p>
        </w:tc>
        <w:tc>
          <w:tcPr>
            <w:tcW w:w="739" w:type="pct"/>
            <w:noWrap w:val="0"/>
            <w:vAlign w:val="center"/>
          </w:tcPr>
          <w:p w14:paraId="7AF5178C">
            <w:pPr>
              <w:jc w:val="center"/>
              <w:rPr>
                <w:sz w:val="21"/>
                <w:szCs w:val="21"/>
                <w:highlight w:val="none"/>
              </w:rPr>
            </w:pPr>
            <w:r>
              <w:rPr>
                <w:sz w:val="21"/>
                <w:szCs w:val="21"/>
                <w:highlight w:val="none"/>
              </w:rPr>
              <w:t>还原液体石蜡脱硫罐废脱硫剂</w:t>
            </w:r>
          </w:p>
        </w:tc>
        <w:tc>
          <w:tcPr>
            <w:tcW w:w="429" w:type="pct"/>
            <w:noWrap w:val="0"/>
            <w:vAlign w:val="center"/>
          </w:tcPr>
          <w:p w14:paraId="2FB355E7">
            <w:pPr>
              <w:jc w:val="center"/>
              <w:rPr>
                <w:sz w:val="21"/>
                <w:szCs w:val="21"/>
                <w:highlight w:val="none"/>
              </w:rPr>
            </w:pPr>
            <w:r>
              <w:rPr>
                <w:sz w:val="21"/>
                <w:szCs w:val="21"/>
                <w:highlight w:val="none"/>
              </w:rPr>
              <w:t>30.6</w:t>
            </w:r>
          </w:p>
        </w:tc>
        <w:tc>
          <w:tcPr>
            <w:tcW w:w="887" w:type="pct"/>
            <w:noWrap w:val="0"/>
            <w:vAlign w:val="center"/>
          </w:tcPr>
          <w:p w14:paraId="5262B3BE">
            <w:pPr>
              <w:jc w:val="center"/>
              <w:rPr>
                <w:sz w:val="21"/>
                <w:szCs w:val="21"/>
                <w:highlight w:val="none"/>
              </w:rPr>
            </w:pPr>
            <w:r>
              <w:rPr>
                <w:sz w:val="21"/>
                <w:szCs w:val="21"/>
                <w:highlight w:val="none"/>
              </w:rPr>
              <w:t>ZnO、油</w:t>
            </w:r>
          </w:p>
        </w:tc>
        <w:tc>
          <w:tcPr>
            <w:tcW w:w="380" w:type="pct"/>
            <w:noWrap w:val="0"/>
            <w:vAlign w:val="center"/>
          </w:tcPr>
          <w:p w14:paraId="2D51E55C">
            <w:pPr>
              <w:jc w:val="center"/>
              <w:rPr>
                <w:sz w:val="21"/>
                <w:szCs w:val="21"/>
                <w:highlight w:val="none"/>
              </w:rPr>
            </w:pPr>
            <w:r>
              <w:rPr>
                <w:sz w:val="21"/>
                <w:szCs w:val="21"/>
                <w:highlight w:val="none"/>
              </w:rPr>
              <w:t>危险废物</w:t>
            </w:r>
          </w:p>
        </w:tc>
        <w:tc>
          <w:tcPr>
            <w:tcW w:w="973" w:type="pct"/>
            <w:noWrap w:val="0"/>
            <w:vAlign w:val="center"/>
          </w:tcPr>
          <w:p w14:paraId="2F1261F2">
            <w:pPr>
              <w:jc w:val="center"/>
              <w:rPr>
                <w:sz w:val="21"/>
                <w:szCs w:val="21"/>
                <w:highlight w:val="none"/>
              </w:rPr>
            </w:pPr>
            <w:r>
              <w:rPr>
                <w:sz w:val="21"/>
                <w:szCs w:val="21"/>
                <w:highlight w:val="none"/>
              </w:rPr>
              <w:t>危险废物（HW08废矿物油与含矿物油废物）</w:t>
            </w:r>
          </w:p>
        </w:tc>
        <w:tc>
          <w:tcPr>
            <w:tcW w:w="680" w:type="pct"/>
            <w:vMerge w:val="continue"/>
            <w:noWrap w:val="0"/>
            <w:vAlign w:val="center"/>
          </w:tcPr>
          <w:p w14:paraId="64C51465">
            <w:pPr>
              <w:jc w:val="center"/>
              <w:rPr>
                <w:sz w:val="21"/>
                <w:szCs w:val="21"/>
                <w:highlight w:val="none"/>
              </w:rPr>
            </w:pPr>
          </w:p>
        </w:tc>
      </w:tr>
      <w:tr w14:paraId="3E27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restart"/>
            <w:noWrap w:val="0"/>
            <w:vAlign w:val="center"/>
          </w:tcPr>
          <w:p w14:paraId="797DFF27">
            <w:pPr>
              <w:jc w:val="center"/>
              <w:rPr>
                <w:sz w:val="21"/>
                <w:szCs w:val="21"/>
                <w:highlight w:val="none"/>
                <w:lang w:val="pt-BR"/>
              </w:rPr>
            </w:pPr>
            <w:r>
              <w:rPr>
                <w:sz w:val="21"/>
                <w:szCs w:val="21"/>
                <w:highlight w:val="none"/>
              </w:rPr>
              <w:t>尾气制氢装置</w:t>
            </w:r>
          </w:p>
        </w:tc>
        <w:tc>
          <w:tcPr>
            <w:tcW w:w="667" w:type="pct"/>
            <w:gridSpan w:val="2"/>
            <w:noWrap w:val="0"/>
            <w:vAlign w:val="center"/>
          </w:tcPr>
          <w:p w14:paraId="7896C09E">
            <w:pPr>
              <w:jc w:val="center"/>
              <w:rPr>
                <w:sz w:val="21"/>
                <w:szCs w:val="21"/>
                <w:highlight w:val="none"/>
                <w:lang w:val="pt-BR"/>
              </w:rPr>
            </w:pPr>
            <w:r>
              <w:rPr>
                <w:sz w:val="21"/>
                <w:szCs w:val="21"/>
                <w:highlight w:val="none"/>
                <w:lang w:val="pt-BR"/>
              </w:rPr>
              <w:t>膜分离单元</w:t>
            </w:r>
          </w:p>
        </w:tc>
        <w:tc>
          <w:tcPr>
            <w:tcW w:w="739" w:type="pct"/>
            <w:noWrap w:val="0"/>
            <w:vAlign w:val="center"/>
          </w:tcPr>
          <w:p w14:paraId="20FAD019">
            <w:pPr>
              <w:jc w:val="center"/>
              <w:rPr>
                <w:sz w:val="21"/>
                <w:szCs w:val="21"/>
                <w:highlight w:val="none"/>
              </w:rPr>
            </w:pPr>
            <w:r>
              <w:rPr>
                <w:sz w:val="21"/>
                <w:szCs w:val="21"/>
                <w:highlight w:val="none"/>
              </w:rPr>
              <w:t>废过滤器</w:t>
            </w:r>
          </w:p>
        </w:tc>
        <w:tc>
          <w:tcPr>
            <w:tcW w:w="429" w:type="pct"/>
            <w:noWrap w:val="0"/>
            <w:vAlign w:val="center"/>
          </w:tcPr>
          <w:p w14:paraId="09791FCB">
            <w:pPr>
              <w:jc w:val="center"/>
              <w:rPr>
                <w:sz w:val="21"/>
                <w:szCs w:val="21"/>
                <w:highlight w:val="none"/>
              </w:rPr>
            </w:pPr>
            <w:r>
              <w:rPr>
                <w:sz w:val="21"/>
                <w:szCs w:val="21"/>
                <w:highlight w:val="none"/>
              </w:rPr>
              <w:t>28根/3a</w:t>
            </w:r>
          </w:p>
        </w:tc>
        <w:tc>
          <w:tcPr>
            <w:tcW w:w="887" w:type="pct"/>
            <w:noWrap w:val="0"/>
            <w:vAlign w:val="center"/>
          </w:tcPr>
          <w:p w14:paraId="658BDB60">
            <w:pPr>
              <w:jc w:val="center"/>
              <w:rPr>
                <w:sz w:val="21"/>
                <w:szCs w:val="21"/>
                <w:highlight w:val="none"/>
              </w:rPr>
            </w:pPr>
            <w:r>
              <w:rPr>
                <w:sz w:val="21"/>
                <w:szCs w:val="21"/>
                <w:highlight w:val="none"/>
              </w:rPr>
              <w:t>纤维、油</w:t>
            </w:r>
          </w:p>
        </w:tc>
        <w:tc>
          <w:tcPr>
            <w:tcW w:w="380" w:type="pct"/>
            <w:noWrap w:val="0"/>
            <w:vAlign w:val="center"/>
          </w:tcPr>
          <w:p w14:paraId="3F16B32A">
            <w:pPr>
              <w:jc w:val="center"/>
              <w:rPr>
                <w:sz w:val="21"/>
                <w:szCs w:val="21"/>
                <w:highlight w:val="none"/>
              </w:rPr>
            </w:pPr>
            <w:r>
              <w:rPr>
                <w:sz w:val="21"/>
                <w:szCs w:val="21"/>
                <w:highlight w:val="none"/>
              </w:rPr>
              <w:t>危险废物</w:t>
            </w:r>
          </w:p>
        </w:tc>
        <w:tc>
          <w:tcPr>
            <w:tcW w:w="973" w:type="pct"/>
            <w:noWrap w:val="0"/>
            <w:vAlign w:val="center"/>
          </w:tcPr>
          <w:p w14:paraId="6E81C6CA">
            <w:pPr>
              <w:jc w:val="center"/>
              <w:rPr>
                <w:sz w:val="21"/>
                <w:szCs w:val="21"/>
                <w:highlight w:val="none"/>
              </w:rPr>
            </w:pPr>
            <w:r>
              <w:rPr>
                <w:sz w:val="21"/>
                <w:szCs w:val="21"/>
                <w:highlight w:val="none"/>
              </w:rPr>
              <w:t>危险废物（HW49其他废物）</w:t>
            </w:r>
          </w:p>
        </w:tc>
        <w:tc>
          <w:tcPr>
            <w:tcW w:w="680" w:type="pct"/>
            <w:vMerge w:val="continue"/>
            <w:noWrap w:val="0"/>
            <w:vAlign w:val="center"/>
          </w:tcPr>
          <w:p w14:paraId="1815D9CE">
            <w:pPr>
              <w:jc w:val="center"/>
              <w:rPr>
                <w:sz w:val="21"/>
                <w:szCs w:val="21"/>
                <w:highlight w:val="none"/>
              </w:rPr>
            </w:pPr>
          </w:p>
        </w:tc>
      </w:tr>
      <w:tr w14:paraId="0C3A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5E9BE08A">
            <w:pPr>
              <w:jc w:val="center"/>
              <w:rPr>
                <w:sz w:val="21"/>
                <w:szCs w:val="21"/>
                <w:highlight w:val="none"/>
                <w:lang w:val="pt-BR"/>
              </w:rPr>
            </w:pPr>
          </w:p>
        </w:tc>
        <w:tc>
          <w:tcPr>
            <w:tcW w:w="667" w:type="pct"/>
            <w:gridSpan w:val="2"/>
            <w:noWrap w:val="0"/>
            <w:vAlign w:val="center"/>
          </w:tcPr>
          <w:p w14:paraId="1956DA17">
            <w:pPr>
              <w:jc w:val="center"/>
              <w:rPr>
                <w:sz w:val="21"/>
                <w:szCs w:val="21"/>
                <w:highlight w:val="none"/>
                <w:lang w:val="pt-BR"/>
              </w:rPr>
            </w:pPr>
            <w:r>
              <w:rPr>
                <w:sz w:val="21"/>
                <w:szCs w:val="21"/>
                <w:highlight w:val="none"/>
                <w:lang w:val="pt-BR"/>
              </w:rPr>
              <w:t>尾气转化单元</w:t>
            </w:r>
          </w:p>
        </w:tc>
        <w:tc>
          <w:tcPr>
            <w:tcW w:w="739" w:type="pct"/>
            <w:noWrap w:val="0"/>
            <w:vAlign w:val="center"/>
          </w:tcPr>
          <w:p w14:paraId="1A178F5F">
            <w:pPr>
              <w:jc w:val="center"/>
              <w:rPr>
                <w:sz w:val="21"/>
                <w:szCs w:val="21"/>
                <w:highlight w:val="none"/>
              </w:rPr>
            </w:pPr>
            <w:r>
              <w:rPr>
                <w:sz w:val="21"/>
                <w:szCs w:val="21"/>
                <w:highlight w:val="none"/>
              </w:rPr>
              <w:t>转化废催化剂</w:t>
            </w:r>
          </w:p>
        </w:tc>
        <w:tc>
          <w:tcPr>
            <w:tcW w:w="429" w:type="pct"/>
            <w:noWrap w:val="0"/>
            <w:vAlign w:val="center"/>
          </w:tcPr>
          <w:p w14:paraId="009949D5">
            <w:pPr>
              <w:jc w:val="center"/>
              <w:rPr>
                <w:sz w:val="21"/>
                <w:szCs w:val="21"/>
                <w:highlight w:val="none"/>
              </w:rPr>
            </w:pPr>
            <w:r>
              <w:rPr>
                <w:sz w:val="21"/>
                <w:szCs w:val="21"/>
                <w:highlight w:val="none"/>
              </w:rPr>
              <w:t>17m</w:t>
            </w:r>
            <w:r>
              <w:rPr>
                <w:sz w:val="21"/>
                <w:szCs w:val="21"/>
                <w:highlight w:val="none"/>
                <w:vertAlign w:val="superscript"/>
              </w:rPr>
              <w:t>3</w:t>
            </w:r>
            <w:r>
              <w:rPr>
                <w:sz w:val="21"/>
                <w:szCs w:val="21"/>
                <w:highlight w:val="none"/>
              </w:rPr>
              <w:t>/3a</w:t>
            </w:r>
          </w:p>
        </w:tc>
        <w:tc>
          <w:tcPr>
            <w:tcW w:w="887" w:type="pct"/>
            <w:noWrap w:val="0"/>
            <w:vAlign w:val="center"/>
          </w:tcPr>
          <w:p w14:paraId="06445DA1">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CaO</w:t>
            </w:r>
            <w:r>
              <w:rPr>
                <w:sz w:val="21"/>
                <w:szCs w:val="21"/>
                <w:highlight w:val="none"/>
              </w:rPr>
              <w:t>、</w:t>
            </w:r>
            <w:r>
              <w:rPr>
                <w:sz w:val="21"/>
                <w:szCs w:val="21"/>
                <w:highlight w:val="none"/>
                <w:lang w:val="pt-BR"/>
              </w:rPr>
              <w:t>NiO</w:t>
            </w:r>
            <w:r>
              <w:rPr>
                <w:sz w:val="21"/>
                <w:szCs w:val="21"/>
                <w:highlight w:val="none"/>
              </w:rPr>
              <w:t>、</w:t>
            </w:r>
            <w:r>
              <w:rPr>
                <w:sz w:val="21"/>
                <w:szCs w:val="21"/>
                <w:highlight w:val="none"/>
                <w:lang w:val="pt-BR"/>
              </w:rPr>
              <w:t>SiO</w:t>
            </w:r>
            <w:r>
              <w:rPr>
                <w:sz w:val="21"/>
                <w:szCs w:val="21"/>
                <w:highlight w:val="none"/>
                <w:vertAlign w:val="subscript"/>
                <w:lang w:val="pt-BR"/>
              </w:rPr>
              <w:t>2</w:t>
            </w:r>
            <w:r>
              <w:rPr>
                <w:sz w:val="21"/>
                <w:szCs w:val="21"/>
                <w:highlight w:val="none"/>
              </w:rPr>
              <w:t>、</w:t>
            </w:r>
            <w:r>
              <w:rPr>
                <w:sz w:val="21"/>
                <w:szCs w:val="21"/>
                <w:highlight w:val="none"/>
                <w:lang w:val="pt-BR"/>
              </w:rPr>
              <w:t>Fe</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等</w:t>
            </w:r>
          </w:p>
        </w:tc>
        <w:tc>
          <w:tcPr>
            <w:tcW w:w="380" w:type="pct"/>
            <w:noWrap w:val="0"/>
            <w:vAlign w:val="center"/>
          </w:tcPr>
          <w:p w14:paraId="210CCF97">
            <w:pPr>
              <w:jc w:val="center"/>
              <w:rPr>
                <w:sz w:val="21"/>
                <w:szCs w:val="21"/>
                <w:highlight w:val="none"/>
              </w:rPr>
            </w:pPr>
            <w:r>
              <w:rPr>
                <w:sz w:val="21"/>
                <w:szCs w:val="21"/>
                <w:highlight w:val="none"/>
              </w:rPr>
              <w:t>危险废物</w:t>
            </w:r>
          </w:p>
          <w:p w14:paraId="515F89E5">
            <w:pPr>
              <w:jc w:val="center"/>
              <w:rPr>
                <w:sz w:val="21"/>
                <w:szCs w:val="21"/>
                <w:highlight w:val="none"/>
              </w:rPr>
            </w:pPr>
            <w:r>
              <w:rPr>
                <w:sz w:val="21"/>
                <w:szCs w:val="21"/>
                <w:highlight w:val="none"/>
              </w:rPr>
              <w:t>HW46</w:t>
            </w:r>
          </w:p>
        </w:tc>
        <w:tc>
          <w:tcPr>
            <w:tcW w:w="973" w:type="pct"/>
            <w:noWrap w:val="0"/>
            <w:vAlign w:val="center"/>
          </w:tcPr>
          <w:p w14:paraId="04A5FFB5">
            <w:pPr>
              <w:jc w:val="center"/>
              <w:rPr>
                <w:sz w:val="21"/>
                <w:szCs w:val="21"/>
                <w:highlight w:val="none"/>
              </w:rPr>
            </w:pPr>
            <w:r>
              <w:rPr>
                <w:sz w:val="21"/>
                <w:szCs w:val="21"/>
                <w:highlight w:val="none"/>
              </w:rPr>
              <w:t>危险废物（HW46含镍废物）</w:t>
            </w:r>
          </w:p>
        </w:tc>
        <w:tc>
          <w:tcPr>
            <w:tcW w:w="680" w:type="pct"/>
            <w:noWrap w:val="0"/>
            <w:vAlign w:val="center"/>
          </w:tcPr>
          <w:p w14:paraId="053B8209">
            <w:pPr>
              <w:jc w:val="center"/>
              <w:rPr>
                <w:sz w:val="21"/>
                <w:szCs w:val="21"/>
                <w:highlight w:val="none"/>
              </w:rPr>
            </w:pPr>
            <w:r>
              <w:rPr>
                <w:sz w:val="21"/>
                <w:szCs w:val="21"/>
                <w:highlight w:val="none"/>
              </w:rPr>
              <w:t>厂家回收</w:t>
            </w:r>
          </w:p>
        </w:tc>
      </w:tr>
      <w:tr w14:paraId="1BE2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1924F03A">
            <w:pPr>
              <w:jc w:val="center"/>
              <w:rPr>
                <w:sz w:val="21"/>
                <w:szCs w:val="21"/>
                <w:highlight w:val="none"/>
                <w:lang w:val="pt-BR"/>
              </w:rPr>
            </w:pPr>
          </w:p>
        </w:tc>
        <w:tc>
          <w:tcPr>
            <w:tcW w:w="667" w:type="pct"/>
            <w:gridSpan w:val="2"/>
            <w:noWrap w:val="0"/>
            <w:vAlign w:val="center"/>
          </w:tcPr>
          <w:p w14:paraId="7BD466A4">
            <w:pPr>
              <w:jc w:val="center"/>
              <w:rPr>
                <w:sz w:val="21"/>
                <w:szCs w:val="21"/>
                <w:highlight w:val="none"/>
                <w:lang w:val="pt-BR"/>
              </w:rPr>
            </w:pPr>
            <w:r>
              <w:rPr>
                <w:sz w:val="21"/>
                <w:szCs w:val="21"/>
                <w:highlight w:val="none"/>
                <w:lang w:val="pt-BR"/>
              </w:rPr>
              <w:t>尾气变换单元</w:t>
            </w:r>
          </w:p>
        </w:tc>
        <w:tc>
          <w:tcPr>
            <w:tcW w:w="739" w:type="pct"/>
            <w:noWrap w:val="0"/>
            <w:vAlign w:val="center"/>
          </w:tcPr>
          <w:p w14:paraId="6D457D5D">
            <w:pPr>
              <w:jc w:val="center"/>
              <w:rPr>
                <w:sz w:val="21"/>
                <w:szCs w:val="21"/>
                <w:highlight w:val="none"/>
              </w:rPr>
            </w:pPr>
            <w:r>
              <w:rPr>
                <w:sz w:val="21"/>
                <w:szCs w:val="21"/>
                <w:highlight w:val="none"/>
              </w:rPr>
              <w:t>中变废催化剂</w:t>
            </w:r>
          </w:p>
        </w:tc>
        <w:tc>
          <w:tcPr>
            <w:tcW w:w="429" w:type="pct"/>
            <w:noWrap w:val="0"/>
            <w:vAlign w:val="center"/>
          </w:tcPr>
          <w:p w14:paraId="0D508C73">
            <w:pPr>
              <w:jc w:val="center"/>
              <w:rPr>
                <w:sz w:val="21"/>
                <w:szCs w:val="21"/>
                <w:highlight w:val="none"/>
              </w:rPr>
            </w:pPr>
            <w:r>
              <w:rPr>
                <w:sz w:val="21"/>
                <w:szCs w:val="21"/>
                <w:highlight w:val="none"/>
              </w:rPr>
              <w:t>42m</w:t>
            </w:r>
            <w:r>
              <w:rPr>
                <w:sz w:val="21"/>
                <w:szCs w:val="21"/>
                <w:highlight w:val="none"/>
                <w:vertAlign w:val="superscript"/>
              </w:rPr>
              <w:t>3</w:t>
            </w:r>
            <w:r>
              <w:rPr>
                <w:sz w:val="21"/>
                <w:szCs w:val="21"/>
                <w:highlight w:val="none"/>
              </w:rPr>
              <w:t>/3a</w:t>
            </w:r>
          </w:p>
        </w:tc>
        <w:tc>
          <w:tcPr>
            <w:tcW w:w="887" w:type="pct"/>
            <w:noWrap w:val="0"/>
            <w:vAlign w:val="center"/>
          </w:tcPr>
          <w:p w14:paraId="41A5F33B">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w:t>
            </w:r>
            <w:r>
              <w:rPr>
                <w:sz w:val="21"/>
                <w:szCs w:val="21"/>
                <w:highlight w:val="none"/>
                <w:lang w:val="pt-BR"/>
              </w:rPr>
              <w:t>CuO</w:t>
            </w:r>
            <w:r>
              <w:rPr>
                <w:sz w:val="21"/>
                <w:szCs w:val="21"/>
                <w:highlight w:val="none"/>
              </w:rPr>
              <w:t>、</w:t>
            </w:r>
            <w:r>
              <w:rPr>
                <w:sz w:val="21"/>
                <w:szCs w:val="21"/>
                <w:highlight w:val="none"/>
                <w:lang w:val="pt-BR"/>
              </w:rPr>
              <w:t>Fe</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等</w:t>
            </w:r>
          </w:p>
        </w:tc>
        <w:tc>
          <w:tcPr>
            <w:tcW w:w="380" w:type="pct"/>
            <w:noWrap w:val="0"/>
            <w:vAlign w:val="center"/>
          </w:tcPr>
          <w:p w14:paraId="7EBA7BD0">
            <w:pPr>
              <w:jc w:val="center"/>
              <w:rPr>
                <w:sz w:val="21"/>
                <w:szCs w:val="21"/>
                <w:highlight w:val="none"/>
              </w:rPr>
            </w:pPr>
            <w:r>
              <w:rPr>
                <w:sz w:val="21"/>
                <w:szCs w:val="21"/>
                <w:highlight w:val="none"/>
              </w:rPr>
              <w:t>危险废物</w:t>
            </w:r>
          </w:p>
          <w:p w14:paraId="31794D97">
            <w:pPr>
              <w:jc w:val="center"/>
              <w:rPr>
                <w:sz w:val="21"/>
                <w:szCs w:val="21"/>
                <w:highlight w:val="none"/>
                <w:lang w:val="pt-BR"/>
              </w:rPr>
            </w:pPr>
            <w:r>
              <w:rPr>
                <w:sz w:val="21"/>
                <w:szCs w:val="21"/>
                <w:highlight w:val="none"/>
              </w:rPr>
              <w:t>HW49</w:t>
            </w:r>
          </w:p>
        </w:tc>
        <w:tc>
          <w:tcPr>
            <w:tcW w:w="973" w:type="pct"/>
            <w:noWrap w:val="0"/>
            <w:vAlign w:val="center"/>
          </w:tcPr>
          <w:p w14:paraId="7B52C6F4">
            <w:pPr>
              <w:jc w:val="center"/>
              <w:rPr>
                <w:sz w:val="21"/>
                <w:szCs w:val="21"/>
                <w:highlight w:val="none"/>
              </w:rPr>
            </w:pPr>
            <w:r>
              <w:rPr>
                <w:sz w:val="21"/>
                <w:szCs w:val="21"/>
                <w:highlight w:val="none"/>
              </w:rPr>
              <w:t>危险废物（HW50废催化剂）</w:t>
            </w:r>
          </w:p>
        </w:tc>
        <w:tc>
          <w:tcPr>
            <w:tcW w:w="680" w:type="pct"/>
            <w:noWrap w:val="0"/>
            <w:vAlign w:val="center"/>
          </w:tcPr>
          <w:p w14:paraId="55685399">
            <w:pPr>
              <w:jc w:val="center"/>
              <w:rPr>
                <w:sz w:val="21"/>
                <w:szCs w:val="21"/>
                <w:highlight w:val="none"/>
              </w:rPr>
            </w:pPr>
            <w:r>
              <w:rPr>
                <w:sz w:val="21"/>
                <w:szCs w:val="21"/>
                <w:highlight w:val="none"/>
              </w:rPr>
              <w:t>厂家回收</w:t>
            </w:r>
          </w:p>
        </w:tc>
      </w:tr>
      <w:tr w14:paraId="2E95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41" w:type="pct"/>
            <w:gridSpan w:val="2"/>
            <w:vMerge w:val="continue"/>
            <w:noWrap w:val="0"/>
            <w:vAlign w:val="center"/>
          </w:tcPr>
          <w:p w14:paraId="2C6A3C90">
            <w:pPr>
              <w:jc w:val="center"/>
              <w:rPr>
                <w:sz w:val="21"/>
                <w:szCs w:val="21"/>
                <w:highlight w:val="none"/>
                <w:lang w:val="pt-BR"/>
              </w:rPr>
            </w:pPr>
          </w:p>
        </w:tc>
        <w:tc>
          <w:tcPr>
            <w:tcW w:w="667" w:type="pct"/>
            <w:gridSpan w:val="2"/>
            <w:noWrap w:val="0"/>
            <w:vAlign w:val="center"/>
          </w:tcPr>
          <w:p w14:paraId="04F3DCE3">
            <w:pPr>
              <w:jc w:val="center"/>
              <w:rPr>
                <w:sz w:val="21"/>
                <w:szCs w:val="21"/>
                <w:highlight w:val="none"/>
                <w:lang w:val="pt-BR"/>
              </w:rPr>
            </w:pPr>
            <w:r>
              <w:rPr>
                <w:sz w:val="21"/>
                <w:szCs w:val="21"/>
                <w:highlight w:val="none"/>
                <w:lang w:val="pt-BR"/>
              </w:rPr>
              <w:t>PSA单元</w:t>
            </w:r>
          </w:p>
        </w:tc>
        <w:tc>
          <w:tcPr>
            <w:tcW w:w="739" w:type="pct"/>
            <w:noWrap w:val="0"/>
            <w:vAlign w:val="center"/>
          </w:tcPr>
          <w:p w14:paraId="52C3D632">
            <w:pPr>
              <w:jc w:val="center"/>
              <w:rPr>
                <w:sz w:val="21"/>
                <w:szCs w:val="21"/>
                <w:highlight w:val="none"/>
              </w:rPr>
            </w:pPr>
            <w:r>
              <w:rPr>
                <w:sz w:val="21"/>
                <w:szCs w:val="21"/>
                <w:highlight w:val="none"/>
              </w:rPr>
              <w:t>废吸附剂</w:t>
            </w:r>
          </w:p>
        </w:tc>
        <w:tc>
          <w:tcPr>
            <w:tcW w:w="429" w:type="pct"/>
            <w:noWrap w:val="0"/>
            <w:vAlign w:val="center"/>
          </w:tcPr>
          <w:p w14:paraId="1D0642AE">
            <w:pPr>
              <w:jc w:val="center"/>
              <w:rPr>
                <w:sz w:val="21"/>
                <w:szCs w:val="21"/>
                <w:highlight w:val="none"/>
              </w:rPr>
            </w:pPr>
            <w:r>
              <w:rPr>
                <w:sz w:val="21"/>
                <w:szCs w:val="21"/>
                <w:highlight w:val="none"/>
              </w:rPr>
              <w:t>478.85t/20a</w:t>
            </w:r>
          </w:p>
        </w:tc>
        <w:tc>
          <w:tcPr>
            <w:tcW w:w="887" w:type="pct"/>
            <w:noWrap w:val="0"/>
            <w:vAlign w:val="center"/>
          </w:tcPr>
          <w:p w14:paraId="12B6D0C9">
            <w:pPr>
              <w:jc w:val="center"/>
              <w:rPr>
                <w:sz w:val="21"/>
                <w:szCs w:val="21"/>
                <w:highlight w:val="none"/>
                <w:lang w:val="pt-BR"/>
              </w:rPr>
            </w:pPr>
            <w:r>
              <w:rPr>
                <w:sz w:val="21"/>
                <w:szCs w:val="21"/>
                <w:highlight w:val="none"/>
                <w:lang w:val="pt-BR"/>
              </w:rPr>
              <w:t>A1</w:t>
            </w:r>
            <w:r>
              <w:rPr>
                <w:sz w:val="21"/>
                <w:szCs w:val="21"/>
                <w:highlight w:val="none"/>
                <w:vertAlign w:val="subscript"/>
                <w:lang w:val="pt-BR"/>
              </w:rPr>
              <w:t>2</w:t>
            </w:r>
            <w:r>
              <w:rPr>
                <w:sz w:val="21"/>
                <w:szCs w:val="21"/>
                <w:highlight w:val="none"/>
                <w:lang w:val="pt-BR"/>
              </w:rPr>
              <w:t>O</w:t>
            </w:r>
            <w:r>
              <w:rPr>
                <w:sz w:val="21"/>
                <w:szCs w:val="21"/>
                <w:highlight w:val="none"/>
                <w:vertAlign w:val="subscript"/>
                <w:lang w:val="pt-BR"/>
              </w:rPr>
              <w:t>3</w:t>
            </w:r>
            <w:r>
              <w:rPr>
                <w:sz w:val="21"/>
                <w:szCs w:val="21"/>
                <w:highlight w:val="none"/>
              </w:rPr>
              <w:t>、活性炭、硅胶、分子筛</w:t>
            </w:r>
          </w:p>
        </w:tc>
        <w:tc>
          <w:tcPr>
            <w:tcW w:w="380" w:type="pct"/>
            <w:noWrap w:val="0"/>
            <w:vAlign w:val="center"/>
          </w:tcPr>
          <w:p w14:paraId="65619860">
            <w:pPr>
              <w:jc w:val="center"/>
              <w:rPr>
                <w:sz w:val="21"/>
                <w:szCs w:val="21"/>
                <w:highlight w:val="none"/>
              </w:rPr>
            </w:pPr>
            <w:r>
              <w:rPr>
                <w:sz w:val="21"/>
                <w:szCs w:val="21"/>
                <w:highlight w:val="none"/>
              </w:rPr>
              <w:t>危险废物</w:t>
            </w:r>
          </w:p>
        </w:tc>
        <w:tc>
          <w:tcPr>
            <w:tcW w:w="973" w:type="pct"/>
            <w:noWrap w:val="0"/>
            <w:vAlign w:val="center"/>
          </w:tcPr>
          <w:p w14:paraId="75AC5843">
            <w:pPr>
              <w:jc w:val="center"/>
              <w:rPr>
                <w:sz w:val="21"/>
                <w:szCs w:val="21"/>
                <w:highlight w:val="none"/>
              </w:rPr>
            </w:pPr>
            <w:r>
              <w:rPr>
                <w:sz w:val="21"/>
                <w:szCs w:val="21"/>
                <w:highlight w:val="none"/>
              </w:rPr>
              <w:t>危险废物</w:t>
            </w:r>
          </w:p>
        </w:tc>
        <w:tc>
          <w:tcPr>
            <w:tcW w:w="680" w:type="pct"/>
            <w:noWrap w:val="0"/>
            <w:vAlign w:val="center"/>
          </w:tcPr>
          <w:p w14:paraId="08FD8977">
            <w:pPr>
              <w:jc w:val="center"/>
              <w:rPr>
                <w:sz w:val="21"/>
                <w:szCs w:val="21"/>
                <w:highlight w:val="none"/>
              </w:rPr>
            </w:pPr>
            <w:r>
              <w:rPr>
                <w:rFonts w:hint="eastAsia"/>
                <w:sz w:val="21"/>
                <w:szCs w:val="21"/>
                <w:highlight w:val="none"/>
                <w:lang w:val="en-US" w:eastAsia="zh-CN"/>
              </w:rPr>
              <w:t>委托第三方有资质单位处置</w:t>
            </w:r>
          </w:p>
        </w:tc>
      </w:tr>
      <w:tr w14:paraId="5721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8" w:type="pct"/>
            <w:gridSpan w:val="4"/>
            <w:vMerge w:val="restart"/>
            <w:noWrap w:val="0"/>
            <w:vAlign w:val="center"/>
          </w:tcPr>
          <w:p w14:paraId="53282982">
            <w:pPr>
              <w:jc w:val="center"/>
              <w:rPr>
                <w:sz w:val="21"/>
                <w:szCs w:val="21"/>
                <w:highlight w:val="none"/>
                <w:lang w:val="pt-BR"/>
              </w:rPr>
            </w:pPr>
            <w:r>
              <w:rPr>
                <w:sz w:val="21"/>
                <w:szCs w:val="21"/>
                <w:highlight w:val="none"/>
              </w:rPr>
              <w:t>热电装置</w:t>
            </w:r>
          </w:p>
        </w:tc>
        <w:tc>
          <w:tcPr>
            <w:tcW w:w="739" w:type="pct"/>
            <w:noWrap w:val="0"/>
            <w:vAlign w:val="center"/>
          </w:tcPr>
          <w:p w14:paraId="5ADA0661">
            <w:pPr>
              <w:jc w:val="center"/>
              <w:rPr>
                <w:sz w:val="21"/>
                <w:szCs w:val="21"/>
                <w:highlight w:val="none"/>
              </w:rPr>
            </w:pPr>
            <w:r>
              <w:rPr>
                <w:sz w:val="21"/>
                <w:szCs w:val="21"/>
                <w:highlight w:val="none"/>
              </w:rPr>
              <w:t>锅炉灰渣</w:t>
            </w:r>
          </w:p>
        </w:tc>
        <w:tc>
          <w:tcPr>
            <w:tcW w:w="429" w:type="pct"/>
            <w:noWrap w:val="0"/>
            <w:vAlign w:val="center"/>
          </w:tcPr>
          <w:p w14:paraId="39C81322">
            <w:pPr>
              <w:jc w:val="center"/>
              <w:rPr>
                <w:sz w:val="21"/>
                <w:szCs w:val="21"/>
                <w:highlight w:val="none"/>
              </w:rPr>
            </w:pPr>
            <w:r>
              <w:rPr>
                <w:sz w:val="21"/>
                <w:szCs w:val="21"/>
                <w:highlight w:val="none"/>
              </w:rPr>
              <w:t>95200</w:t>
            </w:r>
          </w:p>
        </w:tc>
        <w:tc>
          <w:tcPr>
            <w:tcW w:w="887" w:type="pct"/>
            <w:noWrap w:val="0"/>
            <w:vAlign w:val="center"/>
          </w:tcPr>
          <w:p w14:paraId="41D9A95C">
            <w:pPr>
              <w:jc w:val="center"/>
              <w:rPr>
                <w:sz w:val="21"/>
                <w:szCs w:val="21"/>
                <w:highlight w:val="none"/>
              </w:rPr>
            </w:pPr>
            <w:r>
              <w:rPr>
                <w:sz w:val="21"/>
                <w:szCs w:val="21"/>
                <w:highlight w:val="none"/>
              </w:rPr>
              <w:t>SiO</w:t>
            </w:r>
            <w:r>
              <w:rPr>
                <w:sz w:val="21"/>
                <w:szCs w:val="21"/>
                <w:highlight w:val="none"/>
                <w:vertAlign w:val="subscript"/>
              </w:rPr>
              <w:t>2</w:t>
            </w:r>
            <w:r>
              <w:rPr>
                <w:sz w:val="21"/>
                <w:szCs w:val="21"/>
                <w:highlight w:val="none"/>
              </w:rPr>
              <w:t>、CaO、MgO、煤渣</w:t>
            </w:r>
          </w:p>
        </w:tc>
        <w:tc>
          <w:tcPr>
            <w:tcW w:w="380" w:type="pct"/>
            <w:noWrap w:val="0"/>
            <w:vAlign w:val="center"/>
          </w:tcPr>
          <w:p w14:paraId="76C4FF9F">
            <w:pPr>
              <w:jc w:val="center"/>
              <w:rPr>
                <w:sz w:val="21"/>
                <w:szCs w:val="21"/>
                <w:highlight w:val="none"/>
              </w:rPr>
            </w:pPr>
            <w:r>
              <w:rPr>
                <w:sz w:val="21"/>
                <w:szCs w:val="21"/>
                <w:highlight w:val="none"/>
              </w:rPr>
              <w:t>一般废物</w:t>
            </w:r>
          </w:p>
        </w:tc>
        <w:tc>
          <w:tcPr>
            <w:tcW w:w="973" w:type="pct"/>
            <w:noWrap w:val="0"/>
            <w:vAlign w:val="center"/>
          </w:tcPr>
          <w:p w14:paraId="5898E0FB">
            <w:pPr>
              <w:jc w:val="center"/>
              <w:rPr>
                <w:sz w:val="21"/>
                <w:szCs w:val="21"/>
                <w:highlight w:val="none"/>
              </w:rPr>
            </w:pPr>
            <w:r>
              <w:rPr>
                <w:sz w:val="21"/>
                <w:szCs w:val="21"/>
                <w:highlight w:val="none"/>
              </w:rPr>
              <w:t>一般废物</w:t>
            </w:r>
          </w:p>
        </w:tc>
        <w:tc>
          <w:tcPr>
            <w:tcW w:w="680" w:type="pct"/>
            <w:vMerge w:val="restart"/>
            <w:noWrap w:val="0"/>
            <w:vAlign w:val="center"/>
          </w:tcPr>
          <w:p w14:paraId="070390A3">
            <w:pPr>
              <w:jc w:val="center"/>
              <w:rPr>
                <w:sz w:val="21"/>
                <w:szCs w:val="21"/>
                <w:highlight w:val="none"/>
              </w:rPr>
            </w:pPr>
            <w:r>
              <w:rPr>
                <w:sz w:val="21"/>
                <w:szCs w:val="21"/>
                <w:highlight w:val="none"/>
              </w:rPr>
              <w:t>园区渣场填埋</w:t>
            </w:r>
          </w:p>
        </w:tc>
      </w:tr>
      <w:tr w14:paraId="60384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908" w:type="pct"/>
            <w:gridSpan w:val="4"/>
            <w:vMerge w:val="continue"/>
            <w:noWrap w:val="0"/>
            <w:vAlign w:val="center"/>
          </w:tcPr>
          <w:p w14:paraId="44940A9D">
            <w:pPr>
              <w:jc w:val="center"/>
              <w:rPr>
                <w:sz w:val="21"/>
                <w:szCs w:val="21"/>
                <w:highlight w:val="none"/>
                <w:lang w:val="pt-BR"/>
              </w:rPr>
            </w:pPr>
          </w:p>
        </w:tc>
        <w:tc>
          <w:tcPr>
            <w:tcW w:w="739" w:type="pct"/>
            <w:noWrap w:val="0"/>
            <w:vAlign w:val="center"/>
          </w:tcPr>
          <w:p w14:paraId="1D2CDA7F">
            <w:pPr>
              <w:jc w:val="center"/>
              <w:rPr>
                <w:sz w:val="21"/>
                <w:szCs w:val="21"/>
                <w:highlight w:val="none"/>
              </w:rPr>
            </w:pPr>
            <w:r>
              <w:rPr>
                <w:sz w:val="21"/>
                <w:szCs w:val="21"/>
                <w:highlight w:val="none"/>
              </w:rPr>
              <w:t>锅炉飞灰</w:t>
            </w:r>
          </w:p>
        </w:tc>
        <w:tc>
          <w:tcPr>
            <w:tcW w:w="429" w:type="pct"/>
            <w:noWrap w:val="0"/>
            <w:vAlign w:val="center"/>
          </w:tcPr>
          <w:p w14:paraId="6900E413">
            <w:pPr>
              <w:jc w:val="center"/>
              <w:rPr>
                <w:sz w:val="21"/>
                <w:szCs w:val="21"/>
                <w:highlight w:val="none"/>
              </w:rPr>
            </w:pPr>
            <w:r>
              <w:rPr>
                <w:sz w:val="21"/>
                <w:szCs w:val="21"/>
                <w:highlight w:val="none"/>
              </w:rPr>
              <w:t>221760</w:t>
            </w:r>
          </w:p>
        </w:tc>
        <w:tc>
          <w:tcPr>
            <w:tcW w:w="887" w:type="pct"/>
            <w:noWrap w:val="0"/>
            <w:vAlign w:val="center"/>
          </w:tcPr>
          <w:p w14:paraId="3FD5E797">
            <w:pPr>
              <w:jc w:val="center"/>
              <w:rPr>
                <w:sz w:val="21"/>
                <w:szCs w:val="21"/>
                <w:highlight w:val="none"/>
              </w:rPr>
            </w:pPr>
            <w:r>
              <w:rPr>
                <w:sz w:val="21"/>
                <w:szCs w:val="21"/>
                <w:highlight w:val="none"/>
              </w:rPr>
              <w:t>SiO</w:t>
            </w:r>
            <w:r>
              <w:rPr>
                <w:sz w:val="21"/>
                <w:szCs w:val="21"/>
                <w:highlight w:val="none"/>
                <w:vertAlign w:val="subscript"/>
              </w:rPr>
              <w:t>2</w:t>
            </w:r>
            <w:r>
              <w:rPr>
                <w:sz w:val="21"/>
                <w:szCs w:val="21"/>
                <w:highlight w:val="none"/>
              </w:rPr>
              <w:t>、CaO、MgO、煤渣</w:t>
            </w:r>
          </w:p>
        </w:tc>
        <w:tc>
          <w:tcPr>
            <w:tcW w:w="380" w:type="pct"/>
            <w:noWrap w:val="0"/>
            <w:vAlign w:val="center"/>
          </w:tcPr>
          <w:p w14:paraId="4BDBBA75">
            <w:pPr>
              <w:jc w:val="center"/>
              <w:rPr>
                <w:sz w:val="21"/>
                <w:szCs w:val="21"/>
                <w:highlight w:val="none"/>
              </w:rPr>
            </w:pPr>
            <w:r>
              <w:rPr>
                <w:sz w:val="21"/>
                <w:szCs w:val="21"/>
                <w:highlight w:val="none"/>
              </w:rPr>
              <w:t>一般废物</w:t>
            </w:r>
          </w:p>
        </w:tc>
        <w:tc>
          <w:tcPr>
            <w:tcW w:w="973" w:type="pct"/>
            <w:noWrap w:val="0"/>
            <w:vAlign w:val="center"/>
          </w:tcPr>
          <w:p w14:paraId="64A73998">
            <w:pPr>
              <w:jc w:val="center"/>
              <w:rPr>
                <w:sz w:val="21"/>
                <w:szCs w:val="21"/>
                <w:highlight w:val="none"/>
              </w:rPr>
            </w:pPr>
            <w:r>
              <w:rPr>
                <w:sz w:val="21"/>
                <w:szCs w:val="21"/>
                <w:highlight w:val="none"/>
              </w:rPr>
              <w:t>一般废物</w:t>
            </w:r>
          </w:p>
        </w:tc>
        <w:tc>
          <w:tcPr>
            <w:tcW w:w="680" w:type="pct"/>
            <w:vMerge w:val="continue"/>
            <w:noWrap w:val="0"/>
            <w:vAlign w:val="center"/>
          </w:tcPr>
          <w:p w14:paraId="26A71115">
            <w:pPr>
              <w:jc w:val="center"/>
              <w:rPr>
                <w:sz w:val="21"/>
                <w:szCs w:val="21"/>
                <w:highlight w:val="none"/>
              </w:rPr>
            </w:pPr>
          </w:p>
        </w:tc>
      </w:tr>
      <w:tr w14:paraId="16F0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restart"/>
            <w:noWrap w:val="0"/>
            <w:vAlign w:val="center"/>
          </w:tcPr>
          <w:p w14:paraId="35AF49AB">
            <w:pPr>
              <w:jc w:val="center"/>
              <w:rPr>
                <w:sz w:val="21"/>
                <w:szCs w:val="21"/>
                <w:highlight w:val="none"/>
                <w:lang w:val="pt-BR"/>
              </w:rPr>
            </w:pPr>
            <w:r>
              <w:rPr>
                <w:sz w:val="21"/>
                <w:szCs w:val="21"/>
                <w:highlight w:val="none"/>
              </w:rPr>
              <w:t>污水处理系统</w:t>
            </w:r>
          </w:p>
        </w:tc>
        <w:tc>
          <w:tcPr>
            <w:tcW w:w="720" w:type="pct"/>
            <w:gridSpan w:val="3"/>
            <w:vMerge w:val="restart"/>
            <w:noWrap w:val="0"/>
            <w:vAlign w:val="center"/>
          </w:tcPr>
          <w:p w14:paraId="1C4FE6C9">
            <w:pPr>
              <w:jc w:val="center"/>
              <w:rPr>
                <w:rFonts w:hint="eastAsia" w:eastAsia="宋体"/>
                <w:sz w:val="21"/>
                <w:szCs w:val="21"/>
                <w:highlight w:val="none"/>
                <w:lang w:val="pt-BR" w:eastAsia="zh-CN"/>
              </w:rPr>
            </w:pPr>
            <w:r>
              <w:rPr>
                <w:rFonts w:hint="eastAsia"/>
                <w:sz w:val="21"/>
                <w:szCs w:val="21"/>
                <w:highlight w:val="none"/>
                <w:lang w:val="pt-BR" w:eastAsia="zh-CN"/>
              </w:rPr>
              <w:t>污水处理厂</w:t>
            </w:r>
          </w:p>
        </w:tc>
        <w:tc>
          <w:tcPr>
            <w:tcW w:w="739" w:type="pct"/>
            <w:noWrap w:val="0"/>
            <w:vAlign w:val="center"/>
          </w:tcPr>
          <w:p w14:paraId="1DAF7549">
            <w:pPr>
              <w:jc w:val="center"/>
              <w:rPr>
                <w:sz w:val="21"/>
                <w:szCs w:val="21"/>
                <w:highlight w:val="none"/>
              </w:rPr>
            </w:pPr>
            <w:r>
              <w:rPr>
                <w:sz w:val="21"/>
                <w:szCs w:val="21"/>
                <w:highlight w:val="none"/>
              </w:rPr>
              <w:t>干化污泥</w:t>
            </w:r>
          </w:p>
        </w:tc>
        <w:tc>
          <w:tcPr>
            <w:tcW w:w="429" w:type="pct"/>
            <w:noWrap w:val="0"/>
            <w:vAlign w:val="center"/>
          </w:tcPr>
          <w:p w14:paraId="375B1B21">
            <w:pPr>
              <w:jc w:val="center"/>
              <w:rPr>
                <w:sz w:val="21"/>
                <w:szCs w:val="21"/>
                <w:highlight w:val="none"/>
              </w:rPr>
            </w:pPr>
            <w:r>
              <w:rPr>
                <w:bCs/>
                <w:sz w:val="21"/>
                <w:szCs w:val="21"/>
                <w:highlight w:val="none"/>
              </w:rPr>
              <w:t>6720</w:t>
            </w:r>
          </w:p>
        </w:tc>
        <w:tc>
          <w:tcPr>
            <w:tcW w:w="887" w:type="pct"/>
            <w:noWrap w:val="0"/>
            <w:vAlign w:val="center"/>
          </w:tcPr>
          <w:p w14:paraId="384089D8">
            <w:pPr>
              <w:jc w:val="center"/>
              <w:rPr>
                <w:sz w:val="21"/>
                <w:szCs w:val="21"/>
                <w:highlight w:val="none"/>
              </w:rPr>
            </w:pPr>
            <w:r>
              <w:rPr>
                <w:rFonts w:hint="eastAsia"/>
                <w:sz w:val="21"/>
                <w:szCs w:val="21"/>
                <w:highlight w:val="none"/>
              </w:rPr>
              <w:t>渣蜡、废活性炭</w:t>
            </w:r>
            <w:r>
              <w:rPr>
                <w:sz w:val="21"/>
                <w:szCs w:val="21"/>
                <w:highlight w:val="none"/>
              </w:rPr>
              <w:t>，含水40%</w:t>
            </w:r>
          </w:p>
        </w:tc>
        <w:tc>
          <w:tcPr>
            <w:tcW w:w="380" w:type="pct"/>
            <w:noWrap w:val="0"/>
            <w:vAlign w:val="center"/>
          </w:tcPr>
          <w:p w14:paraId="24FA7B36">
            <w:pPr>
              <w:jc w:val="center"/>
              <w:rPr>
                <w:sz w:val="21"/>
                <w:szCs w:val="21"/>
                <w:highlight w:val="none"/>
              </w:rPr>
            </w:pPr>
            <w:r>
              <w:rPr>
                <w:sz w:val="21"/>
                <w:szCs w:val="21"/>
                <w:highlight w:val="none"/>
              </w:rPr>
              <w:t>危险废物</w:t>
            </w:r>
          </w:p>
          <w:p w14:paraId="4FD87F15">
            <w:pPr>
              <w:jc w:val="center"/>
              <w:rPr>
                <w:sz w:val="21"/>
                <w:szCs w:val="21"/>
                <w:highlight w:val="none"/>
                <w:lang w:val="pt-BR"/>
              </w:rPr>
            </w:pPr>
            <w:r>
              <w:rPr>
                <w:sz w:val="21"/>
                <w:szCs w:val="21"/>
                <w:highlight w:val="none"/>
                <w:lang w:val="pt-BR"/>
              </w:rPr>
              <w:t>HW39</w:t>
            </w:r>
          </w:p>
        </w:tc>
        <w:tc>
          <w:tcPr>
            <w:tcW w:w="973" w:type="pct"/>
            <w:noWrap w:val="0"/>
            <w:vAlign w:val="center"/>
          </w:tcPr>
          <w:p w14:paraId="7C7B6351">
            <w:pPr>
              <w:jc w:val="center"/>
              <w:rPr>
                <w:rStyle w:val="49"/>
                <w:sz w:val="21"/>
                <w:szCs w:val="21"/>
                <w:highlight w:val="none"/>
              </w:rPr>
            </w:pPr>
            <w:r>
              <w:rPr>
                <w:sz w:val="21"/>
                <w:szCs w:val="21"/>
                <w:highlight w:val="none"/>
              </w:rPr>
              <w:t>危险废物</w:t>
            </w:r>
          </w:p>
        </w:tc>
        <w:tc>
          <w:tcPr>
            <w:tcW w:w="680" w:type="pct"/>
            <w:noWrap w:val="0"/>
            <w:vAlign w:val="center"/>
          </w:tcPr>
          <w:p w14:paraId="297E71CF">
            <w:pPr>
              <w:jc w:val="center"/>
              <w:rPr>
                <w:rFonts w:hint="eastAsia" w:eastAsia="宋体"/>
                <w:sz w:val="21"/>
                <w:szCs w:val="21"/>
                <w:highlight w:val="none"/>
                <w:lang w:val="en-US" w:eastAsia="zh-CN"/>
              </w:rPr>
            </w:pPr>
            <w:r>
              <w:rPr>
                <w:rFonts w:hint="eastAsia"/>
                <w:sz w:val="21"/>
                <w:szCs w:val="21"/>
                <w:highlight w:val="none"/>
                <w:lang w:val="en-US" w:eastAsia="zh-CN"/>
              </w:rPr>
              <w:t>自行利用</w:t>
            </w:r>
          </w:p>
        </w:tc>
      </w:tr>
      <w:tr w14:paraId="0467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6659B87A">
            <w:pPr>
              <w:jc w:val="center"/>
              <w:rPr>
                <w:sz w:val="21"/>
                <w:szCs w:val="21"/>
                <w:highlight w:val="none"/>
              </w:rPr>
            </w:pPr>
          </w:p>
        </w:tc>
        <w:tc>
          <w:tcPr>
            <w:tcW w:w="720" w:type="pct"/>
            <w:gridSpan w:val="3"/>
            <w:vMerge w:val="continue"/>
            <w:noWrap w:val="0"/>
            <w:vAlign w:val="center"/>
          </w:tcPr>
          <w:p w14:paraId="00410B6B">
            <w:pPr>
              <w:jc w:val="center"/>
              <w:rPr>
                <w:sz w:val="21"/>
                <w:szCs w:val="21"/>
                <w:highlight w:val="none"/>
                <w:lang w:val="pt-BR"/>
              </w:rPr>
            </w:pPr>
          </w:p>
        </w:tc>
        <w:tc>
          <w:tcPr>
            <w:tcW w:w="739" w:type="pct"/>
            <w:noWrap w:val="0"/>
            <w:vAlign w:val="center"/>
          </w:tcPr>
          <w:p w14:paraId="6FE51F9E">
            <w:pPr>
              <w:jc w:val="center"/>
              <w:rPr>
                <w:sz w:val="21"/>
                <w:szCs w:val="21"/>
                <w:highlight w:val="none"/>
              </w:rPr>
            </w:pPr>
            <w:r>
              <w:rPr>
                <w:sz w:val="21"/>
                <w:szCs w:val="21"/>
                <w:highlight w:val="none"/>
              </w:rPr>
              <w:t>油泥</w:t>
            </w:r>
          </w:p>
        </w:tc>
        <w:tc>
          <w:tcPr>
            <w:tcW w:w="429" w:type="pct"/>
            <w:noWrap w:val="0"/>
            <w:vAlign w:val="center"/>
          </w:tcPr>
          <w:p w14:paraId="7CFCB195">
            <w:pPr>
              <w:jc w:val="center"/>
              <w:rPr>
                <w:sz w:val="21"/>
                <w:szCs w:val="21"/>
                <w:highlight w:val="none"/>
              </w:rPr>
            </w:pPr>
            <w:r>
              <w:rPr>
                <w:sz w:val="21"/>
                <w:szCs w:val="21"/>
                <w:highlight w:val="none"/>
              </w:rPr>
              <w:t>1600</w:t>
            </w:r>
          </w:p>
        </w:tc>
        <w:tc>
          <w:tcPr>
            <w:tcW w:w="887" w:type="pct"/>
            <w:noWrap w:val="0"/>
            <w:vAlign w:val="center"/>
          </w:tcPr>
          <w:p w14:paraId="440A6CB9">
            <w:pPr>
              <w:jc w:val="center"/>
              <w:rPr>
                <w:sz w:val="21"/>
                <w:szCs w:val="21"/>
                <w:highlight w:val="none"/>
                <w:lang w:val="pt-BR"/>
              </w:rPr>
            </w:pPr>
            <w:r>
              <w:rPr>
                <w:sz w:val="21"/>
                <w:szCs w:val="21"/>
                <w:highlight w:val="none"/>
                <w:lang w:val="pt-BR"/>
              </w:rPr>
              <w:t>油污，</w:t>
            </w:r>
            <w:r>
              <w:rPr>
                <w:sz w:val="21"/>
                <w:szCs w:val="21"/>
                <w:highlight w:val="none"/>
              </w:rPr>
              <w:t>含水</w:t>
            </w:r>
            <w:r>
              <w:rPr>
                <w:rFonts w:hint="eastAsia"/>
                <w:sz w:val="21"/>
                <w:szCs w:val="21"/>
                <w:highlight w:val="none"/>
                <w:lang w:val="en-US" w:eastAsia="zh-CN"/>
              </w:rPr>
              <w:t>率</w:t>
            </w:r>
            <w:r>
              <w:rPr>
                <w:sz w:val="21"/>
                <w:szCs w:val="21"/>
                <w:highlight w:val="none"/>
              </w:rPr>
              <w:t>40%</w:t>
            </w:r>
          </w:p>
        </w:tc>
        <w:tc>
          <w:tcPr>
            <w:tcW w:w="380" w:type="pct"/>
            <w:noWrap w:val="0"/>
            <w:vAlign w:val="center"/>
          </w:tcPr>
          <w:p w14:paraId="354CD68B">
            <w:pPr>
              <w:jc w:val="center"/>
              <w:rPr>
                <w:sz w:val="21"/>
                <w:szCs w:val="21"/>
                <w:highlight w:val="none"/>
              </w:rPr>
            </w:pPr>
            <w:r>
              <w:rPr>
                <w:sz w:val="21"/>
                <w:szCs w:val="21"/>
                <w:highlight w:val="none"/>
              </w:rPr>
              <w:t>危险废物</w:t>
            </w:r>
          </w:p>
          <w:p w14:paraId="041B3A27">
            <w:pPr>
              <w:jc w:val="center"/>
              <w:rPr>
                <w:sz w:val="21"/>
                <w:szCs w:val="21"/>
                <w:highlight w:val="none"/>
              </w:rPr>
            </w:pPr>
            <w:r>
              <w:rPr>
                <w:sz w:val="21"/>
                <w:szCs w:val="21"/>
                <w:highlight w:val="none"/>
                <w:lang w:val="pt-BR"/>
              </w:rPr>
              <w:t>HW08</w:t>
            </w:r>
          </w:p>
        </w:tc>
        <w:tc>
          <w:tcPr>
            <w:tcW w:w="973" w:type="pct"/>
            <w:noWrap w:val="0"/>
            <w:vAlign w:val="center"/>
          </w:tcPr>
          <w:p w14:paraId="71052E92">
            <w:pPr>
              <w:jc w:val="center"/>
              <w:rPr>
                <w:sz w:val="21"/>
                <w:szCs w:val="21"/>
                <w:highlight w:val="none"/>
              </w:rPr>
            </w:pPr>
            <w:r>
              <w:rPr>
                <w:sz w:val="21"/>
                <w:szCs w:val="21"/>
                <w:highlight w:val="none"/>
              </w:rPr>
              <w:t>危险废物（HW08废矿物油与含矿物油废物）</w:t>
            </w:r>
          </w:p>
        </w:tc>
        <w:tc>
          <w:tcPr>
            <w:tcW w:w="680" w:type="pct"/>
            <w:noWrap w:val="0"/>
            <w:vAlign w:val="center"/>
          </w:tcPr>
          <w:p w14:paraId="7F9BE388">
            <w:pPr>
              <w:jc w:val="center"/>
              <w:rPr>
                <w:sz w:val="21"/>
                <w:szCs w:val="21"/>
                <w:highlight w:val="none"/>
              </w:rPr>
            </w:pPr>
            <w:r>
              <w:rPr>
                <w:rFonts w:hint="eastAsia"/>
                <w:sz w:val="21"/>
                <w:szCs w:val="21"/>
                <w:highlight w:val="none"/>
                <w:lang w:val="en-US" w:eastAsia="zh-CN"/>
              </w:rPr>
              <w:t>委托第三方有资质单位处置</w:t>
            </w:r>
          </w:p>
        </w:tc>
      </w:tr>
      <w:tr w14:paraId="01909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5CB253C1">
            <w:pPr>
              <w:jc w:val="center"/>
              <w:rPr>
                <w:sz w:val="21"/>
                <w:szCs w:val="21"/>
                <w:highlight w:val="none"/>
                <w:lang w:val="pt-BR"/>
              </w:rPr>
            </w:pPr>
          </w:p>
        </w:tc>
        <w:tc>
          <w:tcPr>
            <w:tcW w:w="720" w:type="pct"/>
            <w:gridSpan w:val="3"/>
            <w:vMerge w:val="restart"/>
            <w:noWrap w:val="0"/>
            <w:vAlign w:val="center"/>
          </w:tcPr>
          <w:p w14:paraId="018D2E0F">
            <w:pPr>
              <w:jc w:val="center"/>
              <w:rPr>
                <w:sz w:val="21"/>
                <w:szCs w:val="21"/>
                <w:highlight w:val="none"/>
                <w:lang w:val="pt-BR"/>
              </w:rPr>
            </w:pPr>
            <w:r>
              <w:rPr>
                <w:sz w:val="21"/>
                <w:szCs w:val="21"/>
                <w:highlight w:val="none"/>
                <w:lang w:val="pt-BR"/>
              </w:rPr>
              <w:t>废水处理及回用单元</w:t>
            </w:r>
          </w:p>
        </w:tc>
        <w:tc>
          <w:tcPr>
            <w:tcW w:w="739" w:type="pct"/>
            <w:noWrap w:val="0"/>
            <w:vAlign w:val="center"/>
          </w:tcPr>
          <w:p w14:paraId="7C333134">
            <w:pPr>
              <w:jc w:val="center"/>
              <w:rPr>
                <w:sz w:val="21"/>
                <w:szCs w:val="21"/>
                <w:highlight w:val="none"/>
              </w:rPr>
            </w:pPr>
            <w:r>
              <w:rPr>
                <w:sz w:val="21"/>
                <w:szCs w:val="21"/>
                <w:highlight w:val="none"/>
              </w:rPr>
              <w:t>无机污泥</w:t>
            </w:r>
          </w:p>
        </w:tc>
        <w:tc>
          <w:tcPr>
            <w:tcW w:w="429" w:type="pct"/>
            <w:noWrap w:val="0"/>
            <w:vAlign w:val="center"/>
          </w:tcPr>
          <w:p w14:paraId="04B21AAC">
            <w:pPr>
              <w:jc w:val="center"/>
              <w:rPr>
                <w:sz w:val="21"/>
                <w:szCs w:val="21"/>
                <w:highlight w:val="none"/>
              </w:rPr>
            </w:pPr>
            <w:r>
              <w:rPr>
                <w:sz w:val="21"/>
                <w:szCs w:val="21"/>
                <w:highlight w:val="none"/>
              </w:rPr>
              <w:t>68000</w:t>
            </w:r>
          </w:p>
        </w:tc>
        <w:tc>
          <w:tcPr>
            <w:tcW w:w="887" w:type="pct"/>
            <w:noWrap w:val="0"/>
            <w:vAlign w:val="center"/>
          </w:tcPr>
          <w:p w14:paraId="0CA0CBB3">
            <w:pPr>
              <w:jc w:val="center"/>
              <w:rPr>
                <w:sz w:val="21"/>
                <w:szCs w:val="21"/>
                <w:highlight w:val="none"/>
              </w:rPr>
            </w:pPr>
            <w:r>
              <w:rPr>
                <w:sz w:val="21"/>
                <w:szCs w:val="21"/>
                <w:highlight w:val="none"/>
              </w:rPr>
              <w:t>无机污泥，含水</w:t>
            </w:r>
            <w:r>
              <w:rPr>
                <w:rFonts w:hint="eastAsia"/>
                <w:sz w:val="21"/>
                <w:szCs w:val="21"/>
                <w:highlight w:val="none"/>
                <w:lang w:val="en-US" w:eastAsia="zh-CN"/>
              </w:rPr>
              <w:t>率</w:t>
            </w:r>
            <w:r>
              <w:rPr>
                <w:rFonts w:hint="eastAsia"/>
                <w:sz w:val="21"/>
                <w:szCs w:val="21"/>
                <w:highlight w:val="none"/>
                <w:lang w:eastAsia="zh-CN"/>
              </w:rPr>
              <w:t>为</w:t>
            </w:r>
            <w:r>
              <w:rPr>
                <w:sz w:val="21"/>
                <w:szCs w:val="21"/>
                <w:highlight w:val="none"/>
              </w:rPr>
              <w:t>70%</w:t>
            </w:r>
          </w:p>
        </w:tc>
        <w:tc>
          <w:tcPr>
            <w:tcW w:w="380" w:type="pct"/>
            <w:noWrap w:val="0"/>
            <w:vAlign w:val="center"/>
          </w:tcPr>
          <w:p w14:paraId="7C9806E9">
            <w:pPr>
              <w:jc w:val="center"/>
              <w:rPr>
                <w:sz w:val="21"/>
                <w:szCs w:val="21"/>
                <w:highlight w:val="none"/>
              </w:rPr>
            </w:pPr>
            <w:r>
              <w:rPr>
                <w:sz w:val="21"/>
                <w:szCs w:val="21"/>
                <w:highlight w:val="none"/>
              </w:rPr>
              <w:t>一般废物</w:t>
            </w:r>
          </w:p>
        </w:tc>
        <w:tc>
          <w:tcPr>
            <w:tcW w:w="973" w:type="pct"/>
            <w:noWrap w:val="0"/>
            <w:vAlign w:val="center"/>
          </w:tcPr>
          <w:p w14:paraId="741C13E8">
            <w:pPr>
              <w:jc w:val="center"/>
              <w:rPr>
                <w:sz w:val="21"/>
                <w:szCs w:val="21"/>
                <w:highlight w:val="none"/>
              </w:rPr>
            </w:pPr>
            <w:r>
              <w:rPr>
                <w:sz w:val="21"/>
                <w:szCs w:val="21"/>
                <w:highlight w:val="none"/>
              </w:rPr>
              <w:t>一般废物</w:t>
            </w:r>
          </w:p>
        </w:tc>
        <w:tc>
          <w:tcPr>
            <w:tcW w:w="680" w:type="pct"/>
            <w:noWrap w:val="0"/>
            <w:vAlign w:val="center"/>
          </w:tcPr>
          <w:p w14:paraId="7AB0181E">
            <w:pPr>
              <w:jc w:val="center"/>
              <w:rPr>
                <w:sz w:val="21"/>
                <w:szCs w:val="21"/>
                <w:highlight w:val="none"/>
              </w:rPr>
            </w:pPr>
            <w:r>
              <w:rPr>
                <w:sz w:val="21"/>
                <w:szCs w:val="21"/>
                <w:highlight w:val="none"/>
              </w:rPr>
              <w:t>园区渣场填埋</w:t>
            </w:r>
          </w:p>
        </w:tc>
      </w:tr>
      <w:tr w14:paraId="452B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39389366">
            <w:pPr>
              <w:jc w:val="center"/>
              <w:rPr>
                <w:sz w:val="21"/>
                <w:szCs w:val="21"/>
                <w:highlight w:val="none"/>
                <w:lang w:val="pt-BR"/>
              </w:rPr>
            </w:pPr>
          </w:p>
        </w:tc>
        <w:tc>
          <w:tcPr>
            <w:tcW w:w="720" w:type="pct"/>
            <w:gridSpan w:val="3"/>
            <w:vMerge w:val="continue"/>
            <w:noWrap w:val="0"/>
            <w:vAlign w:val="center"/>
          </w:tcPr>
          <w:p w14:paraId="16C6C19E">
            <w:pPr>
              <w:jc w:val="center"/>
              <w:rPr>
                <w:sz w:val="21"/>
                <w:szCs w:val="21"/>
                <w:highlight w:val="none"/>
                <w:lang w:val="pt-BR"/>
              </w:rPr>
            </w:pPr>
          </w:p>
        </w:tc>
        <w:tc>
          <w:tcPr>
            <w:tcW w:w="739" w:type="pct"/>
            <w:noWrap w:val="0"/>
            <w:vAlign w:val="center"/>
          </w:tcPr>
          <w:p w14:paraId="332946BC">
            <w:pPr>
              <w:jc w:val="center"/>
              <w:rPr>
                <w:sz w:val="21"/>
                <w:szCs w:val="21"/>
                <w:highlight w:val="none"/>
              </w:rPr>
            </w:pPr>
            <w:r>
              <w:rPr>
                <w:sz w:val="21"/>
                <w:szCs w:val="21"/>
                <w:highlight w:val="none"/>
              </w:rPr>
              <w:t>离子交换树脂</w:t>
            </w:r>
          </w:p>
        </w:tc>
        <w:tc>
          <w:tcPr>
            <w:tcW w:w="429" w:type="pct"/>
            <w:noWrap w:val="0"/>
            <w:vAlign w:val="center"/>
          </w:tcPr>
          <w:p w14:paraId="1C280CAA">
            <w:pPr>
              <w:jc w:val="center"/>
              <w:rPr>
                <w:sz w:val="21"/>
                <w:szCs w:val="21"/>
                <w:highlight w:val="none"/>
              </w:rPr>
            </w:pPr>
            <w:r>
              <w:rPr>
                <w:sz w:val="21"/>
                <w:szCs w:val="21"/>
                <w:highlight w:val="none"/>
              </w:rPr>
              <w:t>10</w:t>
            </w:r>
          </w:p>
        </w:tc>
        <w:tc>
          <w:tcPr>
            <w:tcW w:w="887" w:type="pct"/>
            <w:noWrap w:val="0"/>
            <w:vAlign w:val="center"/>
          </w:tcPr>
          <w:p w14:paraId="0C2A5439">
            <w:pPr>
              <w:jc w:val="center"/>
              <w:rPr>
                <w:rFonts w:hint="eastAsia" w:eastAsia="宋体"/>
                <w:sz w:val="21"/>
                <w:szCs w:val="21"/>
                <w:highlight w:val="none"/>
                <w:lang w:val="en-US" w:eastAsia="zh-CN"/>
              </w:rPr>
            </w:pPr>
            <w:r>
              <w:rPr>
                <w:rFonts w:hint="eastAsia"/>
                <w:sz w:val="21"/>
                <w:szCs w:val="21"/>
                <w:highlight w:val="none"/>
                <w:lang w:val="en-US" w:eastAsia="zh-CN"/>
              </w:rPr>
              <w:t>/</w:t>
            </w:r>
          </w:p>
        </w:tc>
        <w:tc>
          <w:tcPr>
            <w:tcW w:w="380" w:type="pct"/>
            <w:noWrap w:val="0"/>
            <w:vAlign w:val="center"/>
          </w:tcPr>
          <w:p w14:paraId="311E7D48">
            <w:pPr>
              <w:jc w:val="center"/>
              <w:rPr>
                <w:sz w:val="21"/>
                <w:szCs w:val="21"/>
                <w:highlight w:val="none"/>
              </w:rPr>
            </w:pPr>
            <w:r>
              <w:rPr>
                <w:sz w:val="21"/>
                <w:szCs w:val="21"/>
                <w:highlight w:val="none"/>
              </w:rPr>
              <w:t>危险废物</w:t>
            </w:r>
          </w:p>
        </w:tc>
        <w:tc>
          <w:tcPr>
            <w:tcW w:w="973" w:type="pct"/>
            <w:noWrap w:val="0"/>
            <w:vAlign w:val="center"/>
          </w:tcPr>
          <w:p w14:paraId="3BE7A95D">
            <w:pPr>
              <w:jc w:val="center"/>
              <w:rPr>
                <w:sz w:val="21"/>
                <w:szCs w:val="21"/>
                <w:highlight w:val="none"/>
              </w:rPr>
            </w:pPr>
            <w:r>
              <w:rPr>
                <w:sz w:val="21"/>
                <w:szCs w:val="21"/>
                <w:highlight w:val="none"/>
              </w:rPr>
              <w:t>危险废物（HW13有机树脂类废物）</w:t>
            </w:r>
          </w:p>
        </w:tc>
        <w:tc>
          <w:tcPr>
            <w:tcW w:w="680" w:type="pct"/>
            <w:vMerge w:val="restart"/>
            <w:noWrap w:val="0"/>
            <w:vAlign w:val="center"/>
          </w:tcPr>
          <w:p w14:paraId="3E6FCD51">
            <w:pPr>
              <w:jc w:val="center"/>
              <w:rPr>
                <w:sz w:val="21"/>
                <w:szCs w:val="21"/>
                <w:highlight w:val="none"/>
              </w:rPr>
            </w:pPr>
            <w:r>
              <w:rPr>
                <w:rFonts w:hint="eastAsia"/>
                <w:sz w:val="21"/>
                <w:szCs w:val="21"/>
                <w:highlight w:val="none"/>
                <w:lang w:val="en-US" w:eastAsia="zh-CN"/>
              </w:rPr>
              <w:t>委托第三方有资质单位处置</w:t>
            </w:r>
          </w:p>
        </w:tc>
      </w:tr>
      <w:tr w14:paraId="51CC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5AC4C141">
            <w:pPr>
              <w:jc w:val="center"/>
              <w:rPr>
                <w:sz w:val="21"/>
                <w:szCs w:val="21"/>
                <w:highlight w:val="none"/>
                <w:lang w:val="pt-BR"/>
              </w:rPr>
            </w:pPr>
          </w:p>
        </w:tc>
        <w:tc>
          <w:tcPr>
            <w:tcW w:w="720" w:type="pct"/>
            <w:gridSpan w:val="3"/>
            <w:vMerge w:val="continue"/>
            <w:noWrap w:val="0"/>
            <w:vAlign w:val="center"/>
          </w:tcPr>
          <w:p w14:paraId="46991706">
            <w:pPr>
              <w:jc w:val="center"/>
              <w:rPr>
                <w:sz w:val="21"/>
                <w:szCs w:val="21"/>
                <w:highlight w:val="none"/>
                <w:lang w:val="pt-BR"/>
              </w:rPr>
            </w:pPr>
          </w:p>
        </w:tc>
        <w:tc>
          <w:tcPr>
            <w:tcW w:w="739" w:type="pct"/>
            <w:noWrap w:val="0"/>
            <w:vAlign w:val="center"/>
          </w:tcPr>
          <w:p w14:paraId="6CEC51E0">
            <w:pPr>
              <w:jc w:val="center"/>
              <w:rPr>
                <w:sz w:val="21"/>
                <w:szCs w:val="21"/>
                <w:highlight w:val="none"/>
              </w:rPr>
            </w:pPr>
            <w:r>
              <w:rPr>
                <w:sz w:val="21"/>
                <w:szCs w:val="21"/>
                <w:highlight w:val="none"/>
              </w:rPr>
              <w:t>废活性炭/滤芯</w:t>
            </w:r>
          </w:p>
        </w:tc>
        <w:tc>
          <w:tcPr>
            <w:tcW w:w="429" w:type="pct"/>
            <w:noWrap w:val="0"/>
            <w:vAlign w:val="center"/>
          </w:tcPr>
          <w:p w14:paraId="15AC03D8">
            <w:pPr>
              <w:jc w:val="center"/>
              <w:rPr>
                <w:sz w:val="21"/>
                <w:szCs w:val="21"/>
                <w:highlight w:val="none"/>
              </w:rPr>
            </w:pPr>
            <w:r>
              <w:rPr>
                <w:sz w:val="21"/>
                <w:szCs w:val="21"/>
                <w:highlight w:val="none"/>
              </w:rPr>
              <w:t>60</w:t>
            </w:r>
          </w:p>
        </w:tc>
        <w:tc>
          <w:tcPr>
            <w:tcW w:w="887" w:type="pct"/>
            <w:noWrap w:val="0"/>
            <w:vAlign w:val="center"/>
          </w:tcPr>
          <w:p w14:paraId="10D17CE2">
            <w:pPr>
              <w:jc w:val="center"/>
              <w:rPr>
                <w:rFonts w:hint="eastAsia" w:eastAsia="宋体"/>
                <w:sz w:val="21"/>
                <w:szCs w:val="21"/>
                <w:highlight w:val="none"/>
                <w:lang w:val="en-US" w:eastAsia="zh-CN"/>
              </w:rPr>
            </w:pPr>
            <w:r>
              <w:rPr>
                <w:rFonts w:hint="eastAsia"/>
                <w:sz w:val="21"/>
                <w:szCs w:val="21"/>
                <w:highlight w:val="none"/>
                <w:lang w:val="en-US" w:eastAsia="zh-CN"/>
              </w:rPr>
              <w:t>/</w:t>
            </w:r>
          </w:p>
        </w:tc>
        <w:tc>
          <w:tcPr>
            <w:tcW w:w="380" w:type="pct"/>
            <w:noWrap w:val="0"/>
            <w:vAlign w:val="center"/>
          </w:tcPr>
          <w:p w14:paraId="22A30643">
            <w:pPr>
              <w:jc w:val="center"/>
              <w:rPr>
                <w:sz w:val="21"/>
                <w:szCs w:val="21"/>
                <w:highlight w:val="none"/>
              </w:rPr>
            </w:pPr>
            <w:r>
              <w:rPr>
                <w:sz w:val="21"/>
                <w:szCs w:val="21"/>
                <w:highlight w:val="none"/>
              </w:rPr>
              <w:t>危险废物</w:t>
            </w:r>
          </w:p>
        </w:tc>
        <w:tc>
          <w:tcPr>
            <w:tcW w:w="973" w:type="pct"/>
            <w:noWrap w:val="0"/>
            <w:vAlign w:val="center"/>
          </w:tcPr>
          <w:p w14:paraId="36763360">
            <w:pPr>
              <w:jc w:val="center"/>
              <w:rPr>
                <w:sz w:val="21"/>
                <w:szCs w:val="21"/>
                <w:highlight w:val="none"/>
              </w:rPr>
            </w:pPr>
            <w:r>
              <w:rPr>
                <w:sz w:val="21"/>
                <w:szCs w:val="21"/>
                <w:highlight w:val="none"/>
              </w:rPr>
              <w:t>危险废物（HW49其他废物）</w:t>
            </w:r>
          </w:p>
        </w:tc>
        <w:tc>
          <w:tcPr>
            <w:tcW w:w="680" w:type="pct"/>
            <w:vMerge w:val="continue"/>
            <w:noWrap w:val="0"/>
            <w:vAlign w:val="center"/>
          </w:tcPr>
          <w:p w14:paraId="7F5D08E9">
            <w:pPr>
              <w:jc w:val="center"/>
              <w:rPr>
                <w:sz w:val="21"/>
                <w:szCs w:val="21"/>
                <w:highlight w:val="none"/>
              </w:rPr>
            </w:pPr>
          </w:p>
        </w:tc>
      </w:tr>
      <w:tr w14:paraId="131B1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04076F5B">
            <w:pPr>
              <w:jc w:val="center"/>
              <w:rPr>
                <w:sz w:val="21"/>
                <w:szCs w:val="21"/>
                <w:highlight w:val="none"/>
                <w:lang w:val="pt-BR"/>
              </w:rPr>
            </w:pPr>
          </w:p>
        </w:tc>
        <w:tc>
          <w:tcPr>
            <w:tcW w:w="720" w:type="pct"/>
            <w:gridSpan w:val="3"/>
            <w:vMerge w:val="restart"/>
            <w:noWrap w:val="0"/>
            <w:vAlign w:val="center"/>
          </w:tcPr>
          <w:p w14:paraId="30E86425">
            <w:pPr>
              <w:jc w:val="center"/>
              <w:rPr>
                <w:sz w:val="21"/>
                <w:szCs w:val="21"/>
                <w:highlight w:val="none"/>
                <w:lang w:val="pt-BR"/>
              </w:rPr>
            </w:pPr>
            <w:r>
              <w:rPr>
                <w:sz w:val="21"/>
                <w:szCs w:val="21"/>
                <w:highlight w:val="none"/>
              </w:rPr>
              <w:t>高含盐水蒸发及结晶</w:t>
            </w:r>
            <w:r>
              <w:rPr>
                <w:sz w:val="21"/>
                <w:szCs w:val="21"/>
                <w:highlight w:val="none"/>
                <w:lang w:val="pt-BR"/>
              </w:rPr>
              <w:t>单元</w:t>
            </w:r>
          </w:p>
        </w:tc>
        <w:tc>
          <w:tcPr>
            <w:tcW w:w="739" w:type="pct"/>
            <w:noWrap w:val="0"/>
            <w:vAlign w:val="center"/>
          </w:tcPr>
          <w:p w14:paraId="5287D267">
            <w:pPr>
              <w:jc w:val="center"/>
              <w:rPr>
                <w:sz w:val="21"/>
                <w:szCs w:val="21"/>
                <w:highlight w:val="none"/>
              </w:rPr>
            </w:pPr>
            <w:r>
              <w:rPr>
                <w:sz w:val="21"/>
                <w:szCs w:val="21"/>
                <w:highlight w:val="none"/>
              </w:rPr>
              <w:t>无机污泥</w:t>
            </w:r>
          </w:p>
        </w:tc>
        <w:tc>
          <w:tcPr>
            <w:tcW w:w="429" w:type="pct"/>
            <w:noWrap w:val="0"/>
            <w:vAlign w:val="center"/>
          </w:tcPr>
          <w:p w14:paraId="2F150E66">
            <w:pPr>
              <w:jc w:val="center"/>
              <w:rPr>
                <w:sz w:val="21"/>
                <w:szCs w:val="21"/>
                <w:highlight w:val="none"/>
              </w:rPr>
            </w:pPr>
            <w:r>
              <w:rPr>
                <w:sz w:val="21"/>
                <w:szCs w:val="21"/>
                <w:highlight w:val="none"/>
              </w:rPr>
              <w:t>80000</w:t>
            </w:r>
          </w:p>
        </w:tc>
        <w:tc>
          <w:tcPr>
            <w:tcW w:w="887" w:type="pct"/>
            <w:noWrap w:val="0"/>
            <w:vAlign w:val="center"/>
          </w:tcPr>
          <w:p w14:paraId="6886687A">
            <w:pPr>
              <w:jc w:val="center"/>
              <w:rPr>
                <w:sz w:val="21"/>
                <w:szCs w:val="21"/>
                <w:highlight w:val="none"/>
              </w:rPr>
            </w:pPr>
            <w:r>
              <w:rPr>
                <w:sz w:val="21"/>
                <w:szCs w:val="21"/>
                <w:highlight w:val="none"/>
              </w:rPr>
              <w:t>无机污泥，含水</w:t>
            </w:r>
            <w:r>
              <w:rPr>
                <w:rFonts w:hint="eastAsia"/>
                <w:sz w:val="21"/>
                <w:szCs w:val="21"/>
                <w:highlight w:val="none"/>
                <w:lang w:val="en-US" w:eastAsia="zh-CN"/>
              </w:rPr>
              <w:t>率为</w:t>
            </w:r>
            <w:r>
              <w:rPr>
                <w:sz w:val="21"/>
                <w:szCs w:val="21"/>
                <w:highlight w:val="none"/>
              </w:rPr>
              <w:t>70%</w:t>
            </w:r>
          </w:p>
        </w:tc>
        <w:tc>
          <w:tcPr>
            <w:tcW w:w="380" w:type="pct"/>
            <w:noWrap w:val="0"/>
            <w:vAlign w:val="center"/>
          </w:tcPr>
          <w:p w14:paraId="0F2CBB1B">
            <w:pPr>
              <w:jc w:val="center"/>
              <w:rPr>
                <w:sz w:val="21"/>
                <w:szCs w:val="21"/>
                <w:highlight w:val="none"/>
              </w:rPr>
            </w:pPr>
            <w:r>
              <w:rPr>
                <w:sz w:val="21"/>
                <w:szCs w:val="21"/>
                <w:highlight w:val="none"/>
              </w:rPr>
              <w:t>危险废物</w:t>
            </w:r>
          </w:p>
        </w:tc>
        <w:tc>
          <w:tcPr>
            <w:tcW w:w="973" w:type="pct"/>
            <w:noWrap w:val="0"/>
            <w:vAlign w:val="center"/>
          </w:tcPr>
          <w:p w14:paraId="3B8AD47B">
            <w:pPr>
              <w:jc w:val="center"/>
              <w:rPr>
                <w:sz w:val="21"/>
                <w:szCs w:val="21"/>
                <w:highlight w:val="none"/>
              </w:rPr>
            </w:pPr>
            <w:r>
              <w:rPr>
                <w:sz w:val="21"/>
                <w:szCs w:val="21"/>
                <w:highlight w:val="none"/>
              </w:rPr>
              <w:t>一般废物</w:t>
            </w:r>
          </w:p>
        </w:tc>
        <w:tc>
          <w:tcPr>
            <w:tcW w:w="680" w:type="pct"/>
            <w:noWrap w:val="0"/>
            <w:vAlign w:val="center"/>
          </w:tcPr>
          <w:p w14:paraId="47C892E6">
            <w:pPr>
              <w:jc w:val="center"/>
              <w:rPr>
                <w:sz w:val="21"/>
                <w:szCs w:val="21"/>
                <w:highlight w:val="none"/>
              </w:rPr>
            </w:pPr>
            <w:r>
              <w:rPr>
                <w:sz w:val="21"/>
                <w:szCs w:val="21"/>
                <w:highlight w:val="none"/>
              </w:rPr>
              <w:t>园区渣场填埋</w:t>
            </w:r>
          </w:p>
        </w:tc>
      </w:tr>
      <w:tr w14:paraId="6F96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88" w:type="pct"/>
            <w:vMerge w:val="continue"/>
            <w:noWrap w:val="0"/>
            <w:vAlign w:val="center"/>
          </w:tcPr>
          <w:p w14:paraId="367EA0B5">
            <w:pPr>
              <w:jc w:val="center"/>
              <w:rPr>
                <w:sz w:val="21"/>
                <w:szCs w:val="21"/>
                <w:highlight w:val="none"/>
                <w:lang w:val="pt-BR"/>
              </w:rPr>
            </w:pPr>
          </w:p>
        </w:tc>
        <w:tc>
          <w:tcPr>
            <w:tcW w:w="720" w:type="pct"/>
            <w:gridSpan w:val="3"/>
            <w:vMerge w:val="continue"/>
            <w:noWrap w:val="0"/>
            <w:vAlign w:val="center"/>
          </w:tcPr>
          <w:p w14:paraId="6FD31618">
            <w:pPr>
              <w:jc w:val="center"/>
              <w:rPr>
                <w:sz w:val="21"/>
                <w:szCs w:val="21"/>
                <w:highlight w:val="none"/>
                <w:lang w:val="pt-BR"/>
              </w:rPr>
            </w:pPr>
          </w:p>
        </w:tc>
        <w:tc>
          <w:tcPr>
            <w:tcW w:w="739" w:type="pct"/>
            <w:noWrap w:val="0"/>
            <w:vAlign w:val="center"/>
          </w:tcPr>
          <w:p w14:paraId="71F25CB2">
            <w:pPr>
              <w:jc w:val="center"/>
              <w:rPr>
                <w:sz w:val="21"/>
                <w:szCs w:val="21"/>
                <w:highlight w:val="none"/>
              </w:rPr>
            </w:pPr>
            <w:r>
              <w:rPr>
                <w:sz w:val="21"/>
                <w:szCs w:val="21"/>
                <w:highlight w:val="none"/>
              </w:rPr>
              <w:t>结晶系统杂盐</w:t>
            </w:r>
          </w:p>
        </w:tc>
        <w:tc>
          <w:tcPr>
            <w:tcW w:w="429" w:type="pct"/>
            <w:noWrap w:val="0"/>
            <w:vAlign w:val="center"/>
          </w:tcPr>
          <w:p w14:paraId="1E8933D5">
            <w:pPr>
              <w:jc w:val="center"/>
              <w:rPr>
                <w:sz w:val="21"/>
                <w:szCs w:val="21"/>
                <w:highlight w:val="none"/>
              </w:rPr>
            </w:pPr>
            <w:r>
              <w:rPr>
                <w:sz w:val="21"/>
                <w:szCs w:val="21"/>
                <w:highlight w:val="none"/>
              </w:rPr>
              <w:t>3200</w:t>
            </w:r>
          </w:p>
        </w:tc>
        <w:tc>
          <w:tcPr>
            <w:tcW w:w="887" w:type="pct"/>
            <w:noWrap w:val="0"/>
            <w:vAlign w:val="center"/>
          </w:tcPr>
          <w:p w14:paraId="21F88365">
            <w:pPr>
              <w:jc w:val="center"/>
              <w:rPr>
                <w:sz w:val="21"/>
                <w:szCs w:val="21"/>
                <w:highlight w:val="none"/>
              </w:rPr>
            </w:pPr>
            <w:r>
              <w:rPr>
                <w:sz w:val="21"/>
                <w:szCs w:val="21"/>
                <w:highlight w:val="none"/>
              </w:rPr>
              <w:t>杂盐</w:t>
            </w:r>
          </w:p>
        </w:tc>
        <w:tc>
          <w:tcPr>
            <w:tcW w:w="380" w:type="pct"/>
            <w:noWrap w:val="0"/>
            <w:vAlign w:val="center"/>
          </w:tcPr>
          <w:p w14:paraId="58D8F49A">
            <w:pPr>
              <w:jc w:val="center"/>
              <w:rPr>
                <w:sz w:val="21"/>
                <w:szCs w:val="21"/>
                <w:highlight w:val="none"/>
                <w:lang w:val="pt-BR"/>
              </w:rPr>
            </w:pPr>
            <w:r>
              <w:rPr>
                <w:sz w:val="21"/>
                <w:szCs w:val="21"/>
                <w:highlight w:val="none"/>
              </w:rPr>
              <w:t>危险废物</w:t>
            </w:r>
          </w:p>
        </w:tc>
        <w:tc>
          <w:tcPr>
            <w:tcW w:w="973" w:type="pct"/>
            <w:noWrap w:val="0"/>
            <w:vAlign w:val="center"/>
          </w:tcPr>
          <w:p w14:paraId="6936659E">
            <w:pPr>
              <w:jc w:val="center"/>
              <w:rPr>
                <w:sz w:val="21"/>
                <w:szCs w:val="21"/>
                <w:highlight w:val="none"/>
              </w:rPr>
            </w:pPr>
            <w:r>
              <w:rPr>
                <w:sz w:val="21"/>
                <w:szCs w:val="21"/>
                <w:highlight w:val="none"/>
              </w:rPr>
              <w:t>危险废物</w:t>
            </w:r>
          </w:p>
        </w:tc>
        <w:tc>
          <w:tcPr>
            <w:tcW w:w="680" w:type="pct"/>
            <w:noWrap w:val="0"/>
            <w:vAlign w:val="center"/>
          </w:tcPr>
          <w:p w14:paraId="7660A915">
            <w:pPr>
              <w:jc w:val="center"/>
              <w:rPr>
                <w:sz w:val="21"/>
                <w:szCs w:val="21"/>
                <w:highlight w:val="none"/>
              </w:rPr>
            </w:pPr>
            <w:r>
              <w:rPr>
                <w:rFonts w:hint="eastAsia"/>
                <w:sz w:val="21"/>
                <w:szCs w:val="21"/>
                <w:highlight w:val="none"/>
                <w:lang w:val="en-US" w:eastAsia="zh-CN"/>
              </w:rPr>
              <w:t>委托第三方有资质单位处置</w:t>
            </w:r>
          </w:p>
        </w:tc>
      </w:tr>
      <w:tr w14:paraId="09201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7" w:type="pct"/>
            <w:gridSpan w:val="5"/>
            <w:noWrap w:val="0"/>
            <w:vAlign w:val="center"/>
          </w:tcPr>
          <w:p w14:paraId="3A9D4BAC">
            <w:pPr>
              <w:jc w:val="center"/>
              <w:rPr>
                <w:sz w:val="21"/>
                <w:szCs w:val="21"/>
                <w:highlight w:val="none"/>
              </w:rPr>
            </w:pPr>
            <w:r>
              <w:rPr>
                <w:sz w:val="21"/>
                <w:szCs w:val="21"/>
                <w:highlight w:val="none"/>
              </w:rPr>
              <w:t>机械设备废（润滑）矿物油</w:t>
            </w:r>
          </w:p>
        </w:tc>
        <w:tc>
          <w:tcPr>
            <w:tcW w:w="429" w:type="pct"/>
            <w:noWrap w:val="0"/>
            <w:vAlign w:val="center"/>
          </w:tcPr>
          <w:p w14:paraId="21155A1B">
            <w:pPr>
              <w:jc w:val="center"/>
              <w:rPr>
                <w:sz w:val="21"/>
                <w:szCs w:val="21"/>
                <w:highlight w:val="none"/>
              </w:rPr>
            </w:pPr>
            <w:r>
              <w:rPr>
                <w:sz w:val="21"/>
                <w:szCs w:val="21"/>
                <w:highlight w:val="none"/>
              </w:rPr>
              <w:t>78</w:t>
            </w:r>
          </w:p>
        </w:tc>
        <w:tc>
          <w:tcPr>
            <w:tcW w:w="887" w:type="pct"/>
            <w:noWrap w:val="0"/>
            <w:vAlign w:val="center"/>
          </w:tcPr>
          <w:p w14:paraId="4BAAF79A">
            <w:pPr>
              <w:jc w:val="center"/>
              <w:rPr>
                <w:sz w:val="21"/>
                <w:szCs w:val="21"/>
                <w:highlight w:val="none"/>
              </w:rPr>
            </w:pPr>
            <w:r>
              <w:rPr>
                <w:sz w:val="21"/>
                <w:szCs w:val="21"/>
                <w:highlight w:val="none"/>
              </w:rPr>
              <w:t>废（润滑）矿物油</w:t>
            </w:r>
          </w:p>
        </w:tc>
        <w:tc>
          <w:tcPr>
            <w:tcW w:w="380" w:type="pct"/>
            <w:noWrap w:val="0"/>
            <w:vAlign w:val="center"/>
          </w:tcPr>
          <w:p w14:paraId="5AF78CEC">
            <w:pPr>
              <w:jc w:val="center"/>
              <w:rPr>
                <w:sz w:val="21"/>
                <w:szCs w:val="21"/>
                <w:highlight w:val="none"/>
              </w:rPr>
            </w:pPr>
            <w:r>
              <w:rPr>
                <w:sz w:val="21"/>
                <w:szCs w:val="21"/>
                <w:highlight w:val="none"/>
              </w:rPr>
              <w:t>危险废物</w:t>
            </w:r>
          </w:p>
          <w:p w14:paraId="14BE4B6A">
            <w:pPr>
              <w:jc w:val="center"/>
              <w:rPr>
                <w:sz w:val="21"/>
                <w:szCs w:val="21"/>
                <w:highlight w:val="none"/>
              </w:rPr>
            </w:pPr>
            <w:r>
              <w:rPr>
                <w:sz w:val="21"/>
                <w:szCs w:val="21"/>
                <w:highlight w:val="none"/>
              </w:rPr>
              <w:t>HW08</w:t>
            </w:r>
          </w:p>
        </w:tc>
        <w:tc>
          <w:tcPr>
            <w:tcW w:w="973" w:type="pct"/>
            <w:noWrap w:val="0"/>
            <w:vAlign w:val="center"/>
          </w:tcPr>
          <w:p w14:paraId="6B34887D">
            <w:pPr>
              <w:jc w:val="center"/>
              <w:rPr>
                <w:sz w:val="21"/>
                <w:szCs w:val="21"/>
                <w:highlight w:val="none"/>
              </w:rPr>
            </w:pPr>
            <w:r>
              <w:rPr>
                <w:sz w:val="21"/>
                <w:szCs w:val="21"/>
                <w:highlight w:val="none"/>
              </w:rPr>
              <w:t>危险废物（HW08废矿物油与含矿物油废物）</w:t>
            </w:r>
          </w:p>
        </w:tc>
        <w:tc>
          <w:tcPr>
            <w:tcW w:w="680" w:type="pct"/>
            <w:noWrap w:val="0"/>
            <w:vAlign w:val="center"/>
          </w:tcPr>
          <w:p w14:paraId="6A612F79">
            <w:pPr>
              <w:jc w:val="center"/>
              <w:rPr>
                <w:sz w:val="21"/>
                <w:szCs w:val="21"/>
                <w:highlight w:val="none"/>
              </w:rPr>
            </w:pPr>
            <w:r>
              <w:rPr>
                <w:sz w:val="21"/>
                <w:szCs w:val="21"/>
                <w:highlight w:val="none"/>
              </w:rPr>
              <w:t>定期出售达旗忠信防水材料公司处置</w:t>
            </w:r>
          </w:p>
        </w:tc>
      </w:tr>
      <w:tr w14:paraId="14CF8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7" w:type="pct"/>
            <w:gridSpan w:val="5"/>
            <w:noWrap w:val="0"/>
            <w:vAlign w:val="center"/>
          </w:tcPr>
          <w:p w14:paraId="0FCAE29C">
            <w:pPr>
              <w:jc w:val="center"/>
              <w:rPr>
                <w:sz w:val="21"/>
                <w:szCs w:val="21"/>
                <w:highlight w:val="none"/>
              </w:rPr>
            </w:pPr>
            <w:r>
              <w:rPr>
                <w:sz w:val="21"/>
                <w:szCs w:val="21"/>
                <w:highlight w:val="none"/>
              </w:rPr>
              <w:t>生活垃圾</w:t>
            </w:r>
          </w:p>
        </w:tc>
        <w:tc>
          <w:tcPr>
            <w:tcW w:w="429" w:type="pct"/>
            <w:noWrap w:val="0"/>
            <w:vAlign w:val="center"/>
          </w:tcPr>
          <w:p w14:paraId="59D77C2F">
            <w:pPr>
              <w:jc w:val="center"/>
              <w:rPr>
                <w:sz w:val="21"/>
                <w:szCs w:val="21"/>
                <w:highlight w:val="none"/>
              </w:rPr>
            </w:pPr>
            <w:r>
              <w:rPr>
                <w:sz w:val="21"/>
                <w:szCs w:val="21"/>
                <w:highlight w:val="none"/>
              </w:rPr>
              <w:t>300</w:t>
            </w:r>
          </w:p>
        </w:tc>
        <w:tc>
          <w:tcPr>
            <w:tcW w:w="887" w:type="pct"/>
            <w:noWrap w:val="0"/>
            <w:vAlign w:val="center"/>
          </w:tcPr>
          <w:p w14:paraId="20DE4118">
            <w:pPr>
              <w:jc w:val="center"/>
              <w:rPr>
                <w:sz w:val="21"/>
                <w:szCs w:val="21"/>
                <w:highlight w:val="none"/>
              </w:rPr>
            </w:pPr>
            <w:r>
              <w:rPr>
                <w:sz w:val="21"/>
                <w:szCs w:val="21"/>
                <w:highlight w:val="none"/>
              </w:rPr>
              <w:t>/</w:t>
            </w:r>
          </w:p>
        </w:tc>
        <w:tc>
          <w:tcPr>
            <w:tcW w:w="380" w:type="pct"/>
            <w:noWrap w:val="0"/>
            <w:vAlign w:val="center"/>
          </w:tcPr>
          <w:p w14:paraId="5C06229B">
            <w:pPr>
              <w:jc w:val="center"/>
              <w:rPr>
                <w:sz w:val="21"/>
                <w:szCs w:val="21"/>
                <w:highlight w:val="none"/>
              </w:rPr>
            </w:pPr>
            <w:r>
              <w:rPr>
                <w:sz w:val="21"/>
                <w:szCs w:val="21"/>
                <w:highlight w:val="none"/>
              </w:rPr>
              <w:t>/</w:t>
            </w:r>
          </w:p>
        </w:tc>
        <w:tc>
          <w:tcPr>
            <w:tcW w:w="973" w:type="pct"/>
            <w:noWrap w:val="0"/>
            <w:vAlign w:val="center"/>
          </w:tcPr>
          <w:p w14:paraId="1C47584F">
            <w:pPr>
              <w:jc w:val="center"/>
              <w:rPr>
                <w:sz w:val="21"/>
                <w:szCs w:val="21"/>
                <w:highlight w:val="none"/>
              </w:rPr>
            </w:pPr>
            <w:r>
              <w:rPr>
                <w:sz w:val="21"/>
                <w:szCs w:val="21"/>
                <w:highlight w:val="none"/>
              </w:rPr>
              <w:t>/</w:t>
            </w:r>
          </w:p>
        </w:tc>
        <w:tc>
          <w:tcPr>
            <w:tcW w:w="680" w:type="pct"/>
            <w:noWrap w:val="0"/>
            <w:vAlign w:val="center"/>
          </w:tcPr>
          <w:p w14:paraId="4A623821">
            <w:pPr>
              <w:jc w:val="center"/>
              <w:rPr>
                <w:rFonts w:hint="eastAsia" w:eastAsia="宋体"/>
                <w:sz w:val="21"/>
                <w:szCs w:val="21"/>
                <w:highlight w:val="none"/>
                <w:lang w:eastAsia="zh-CN"/>
              </w:rPr>
            </w:pPr>
            <w:r>
              <w:rPr>
                <w:sz w:val="21"/>
                <w:szCs w:val="21"/>
                <w:highlight w:val="none"/>
              </w:rPr>
              <w:t>园区环卫部门及时清运</w:t>
            </w:r>
            <w:r>
              <w:rPr>
                <w:rFonts w:hint="eastAsia"/>
                <w:sz w:val="21"/>
                <w:szCs w:val="21"/>
                <w:highlight w:val="none"/>
                <w:lang w:eastAsia="zh-CN"/>
              </w:rPr>
              <w:t>。</w:t>
            </w:r>
          </w:p>
        </w:tc>
      </w:tr>
    </w:tbl>
    <w:p w14:paraId="4BF26C94">
      <w:pPr>
        <w:pStyle w:val="37"/>
        <w:jc w:val="center"/>
        <w:rPr>
          <w:rFonts w:ascii="Times New Roman" w:hAnsi="Times New Roman" w:eastAsia="黑体"/>
          <w:snapToGrid w:val="0"/>
          <w:color w:val="000000"/>
          <w:sz w:val="36"/>
          <w:szCs w:val="36"/>
        </w:rPr>
        <w:sectPr>
          <w:pgSz w:w="16838" w:h="11906" w:orient="landscape"/>
          <w:pgMar w:top="1531" w:right="1424" w:bottom="1531" w:left="1134" w:header="992" w:footer="964" w:gutter="0"/>
          <w:pgBorders>
            <w:top w:val="none" w:sz="0" w:space="0"/>
            <w:left w:val="none" w:sz="0" w:space="0"/>
            <w:bottom w:val="none" w:sz="0" w:space="0"/>
            <w:right w:val="none" w:sz="0" w:space="0"/>
          </w:pgBorders>
          <w:cols w:space="720" w:num="1"/>
          <w:docGrid w:linePitch="312" w:charSpace="0"/>
        </w:sectPr>
      </w:pPr>
    </w:p>
    <w:p w14:paraId="141A35EB">
      <w:pPr>
        <w:pStyle w:val="37"/>
        <w:adjustRightInd w:val="0"/>
        <w:snapToGrid w:val="0"/>
        <w:spacing w:before="0" w:beforeAutospacing="0" w:after="0" w:afterAutospacing="0" w:line="14" w:lineRule="auto"/>
        <w:jc w:val="center"/>
        <w:rPr>
          <w:rFonts w:ascii="Times New Roman" w:hAnsi="Times New Roman" w:eastAsia="黑体"/>
          <w:snapToGrid w:val="0"/>
          <w:color w:val="000000"/>
          <w:sz w:val="30"/>
          <w:szCs w:val="30"/>
        </w:rPr>
      </w:pPr>
    </w:p>
    <w:p w14:paraId="7FE44ADC">
      <w:pPr>
        <w:pStyle w:val="37"/>
        <w:adjustRightInd w:val="0"/>
        <w:snapToGrid w:val="0"/>
        <w:spacing w:before="0" w:beforeAutospacing="0" w:after="0" w:afterAutospacing="0" w:line="14" w:lineRule="auto"/>
        <w:jc w:val="center"/>
        <w:rPr>
          <w:rFonts w:ascii="Times New Roman" w:hAnsi="Times New Roman" w:eastAsia="黑体"/>
          <w:snapToGrid w:val="0"/>
          <w:color w:val="000000"/>
          <w:sz w:val="30"/>
          <w:szCs w:val="30"/>
        </w:rPr>
      </w:pPr>
    </w:p>
    <w:p w14:paraId="7B2DCACA">
      <w:pPr>
        <w:pStyle w:val="37"/>
        <w:snapToGrid w:val="0"/>
        <w:spacing w:before="0" w:beforeAutospacing="0" w:after="0" w:afterAutospacing="0" w:line="288" w:lineRule="auto"/>
        <w:outlineLvl w:val="0"/>
        <w:rPr>
          <w:rFonts w:ascii="Times New Roman" w:hAnsi="Times New Roman"/>
          <w:b/>
          <w:snapToGrid w:val="0"/>
          <w:color w:val="000000"/>
          <w:sz w:val="32"/>
          <w:szCs w:val="32"/>
        </w:rPr>
      </w:pPr>
      <w:r>
        <w:rPr>
          <w:rFonts w:ascii="Times New Roman" w:hAnsi="Times New Roman"/>
          <w:b/>
          <w:snapToGrid w:val="0"/>
          <w:color w:val="000000"/>
          <w:sz w:val="32"/>
          <w:szCs w:val="32"/>
        </w:rPr>
        <w:t>三、区域环境质量现状、环境保护目标及评价标准</w:t>
      </w:r>
    </w:p>
    <w:tbl>
      <w:tblPr>
        <w:tblStyle w:val="4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
        <w:gridCol w:w="8668"/>
      </w:tblGrid>
      <w:tr w14:paraId="36D5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216" w:type="pct"/>
            <w:tcBorders>
              <w:tl2br w:val="nil"/>
              <w:tr2bl w:val="nil"/>
            </w:tcBorders>
            <w:noWrap w:val="0"/>
            <w:vAlign w:val="center"/>
          </w:tcPr>
          <w:p w14:paraId="6C338126">
            <w:pPr>
              <w:adjustRightInd w:val="0"/>
              <w:snapToGrid w:val="0"/>
              <w:jc w:val="center"/>
              <w:rPr>
                <w:b/>
                <w:color w:val="000000"/>
                <w:kern w:val="0"/>
                <w:sz w:val="24"/>
              </w:rPr>
            </w:pPr>
            <w:r>
              <w:rPr>
                <w:b/>
                <w:color w:val="000000"/>
                <w:kern w:val="0"/>
                <w:sz w:val="24"/>
              </w:rPr>
              <w:t>区域</w:t>
            </w:r>
          </w:p>
          <w:p w14:paraId="71A0AF1B">
            <w:pPr>
              <w:adjustRightInd w:val="0"/>
              <w:snapToGrid w:val="0"/>
              <w:jc w:val="center"/>
              <w:rPr>
                <w:b/>
                <w:color w:val="000000"/>
                <w:kern w:val="0"/>
                <w:sz w:val="24"/>
              </w:rPr>
            </w:pPr>
            <w:r>
              <w:rPr>
                <w:b/>
                <w:color w:val="000000"/>
                <w:kern w:val="0"/>
                <w:sz w:val="24"/>
              </w:rPr>
              <w:t>环境</w:t>
            </w:r>
          </w:p>
          <w:p w14:paraId="765C5D6A">
            <w:pPr>
              <w:adjustRightInd w:val="0"/>
              <w:snapToGrid w:val="0"/>
              <w:jc w:val="center"/>
              <w:rPr>
                <w:b/>
                <w:color w:val="000000"/>
                <w:kern w:val="0"/>
                <w:sz w:val="24"/>
              </w:rPr>
            </w:pPr>
            <w:r>
              <w:rPr>
                <w:b/>
                <w:color w:val="000000"/>
                <w:kern w:val="0"/>
                <w:sz w:val="24"/>
              </w:rPr>
              <w:t>质量</w:t>
            </w:r>
          </w:p>
          <w:p w14:paraId="068DCEAD">
            <w:pPr>
              <w:adjustRightInd w:val="0"/>
              <w:snapToGrid w:val="0"/>
              <w:jc w:val="center"/>
              <w:rPr>
                <w:color w:val="000000"/>
                <w:kern w:val="0"/>
                <w:szCs w:val="21"/>
              </w:rPr>
            </w:pPr>
            <w:r>
              <w:rPr>
                <w:b/>
                <w:color w:val="000000"/>
                <w:kern w:val="0"/>
                <w:sz w:val="24"/>
              </w:rPr>
              <w:t>现状</w:t>
            </w:r>
          </w:p>
        </w:tc>
        <w:tc>
          <w:tcPr>
            <w:tcW w:w="4783" w:type="pct"/>
            <w:tcBorders>
              <w:tl2br w:val="nil"/>
              <w:tr2bl w:val="nil"/>
            </w:tcBorders>
            <w:noWrap w:val="0"/>
            <w:vAlign w:val="center"/>
          </w:tcPr>
          <w:p w14:paraId="7FE18917">
            <w:pPr>
              <w:spacing w:line="360" w:lineRule="auto"/>
              <w:jc w:val="left"/>
              <w:rPr>
                <w:b/>
                <w:color w:val="000000"/>
                <w:sz w:val="24"/>
              </w:rPr>
            </w:pPr>
            <w:r>
              <w:rPr>
                <w:b/>
                <w:color w:val="000000"/>
                <w:sz w:val="24"/>
              </w:rPr>
              <w:t>1</w:t>
            </w:r>
            <w:r>
              <w:rPr>
                <w:rFonts w:hint="eastAsia"/>
                <w:b/>
                <w:color w:val="000000"/>
                <w:sz w:val="24"/>
              </w:rPr>
              <w:t>.</w:t>
            </w:r>
            <w:r>
              <w:rPr>
                <w:b/>
                <w:color w:val="000000"/>
                <w:sz w:val="24"/>
              </w:rPr>
              <w:t>大气环境质量现状</w:t>
            </w:r>
          </w:p>
          <w:p w14:paraId="4A53B9D6">
            <w:pPr>
              <w:spacing w:line="360" w:lineRule="auto"/>
              <w:ind w:right="105" w:rightChars="50" w:firstLine="480" w:firstLineChars="200"/>
              <w:textAlignment w:val="baseline"/>
              <w:rPr>
                <w:rFonts w:ascii="Times New Roman" w:hAnsi="Times New Roman" w:eastAsia="宋体" w:cs="Times New Roman"/>
                <w:color w:val="000000"/>
                <w:sz w:val="24"/>
              </w:rPr>
            </w:pPr>
            <w:r>
              <w:rPr>
                <w:color w:val="000000"/>
                <w:sz w:val="24"/>
              </w:rPr>
              <w:t>本项目位于</w:t>
            </w:r>
            <w:r>
              <w:rPr>
                <w:rFonts w:ascii="Times New Roman" w:hAnsi="Times New Roman" w:eastAsia="宋体" w:cs="Times New Roman"/>
                <w:color w:val="000000"/>
                <w:sz w:val="24"/>
              </w:rPr>
              <w:t>内蒙古鄂尔多斯市杭锦旗经济开发区独贵塔拉产业园内，根据《环境影响评价技术导则</w:t>
            </w:r>
            <w:r>
              <w:rPr>
                <w:rFonts w:hint="eastAsia" w:ascii="Times New Roman" w:hAnsi="Times New Roman" w:eastAsia="宋体" w:cs="Times New Roman"/>
                <w:color w:val="000000"/>
                <w:sz w:val="24"/>
                <w:lang w:val="en-US" w:eastAsia="zh-CN"/>
              </w:rPr>
              <w:t xml:space="preserve"> </w:t>
            </w:r>
            <w:r>
              <w:rPr>
                <w:rFonts w:ascii="Times New Roman" w:hAnsi="Times New Roman" w:eastAsia="宋体" w:cs="Times New Roman"/>
                <w:color w:val="000000"/>
                <w:sz w:val="24"/>
              </w:rPr>
              <w:t>大气环境》（HJ2.2-2018）的规定，项目所在区域环境空气质量达标判定，优先采用国家或地方生态环境主管部门公开发布的评价基准年环境质量公告或环境质量报告中的数据或结论。内蒙古自治区生态环境厅</w:t>
            </w:r>
            <w:r>
              <w:rPr>
                <w:rFonts w:hint="eastAsia" w:ascii="Times New Roman" w:hAnsi="Times New Roman" w:eastAsia="宋体" w:cs="Times New Roman"/>
                <w:color w:val="000000"/>
                <w:sz w:val="24"/>
              </w:rPr>
              <w:t>于</w:t>
            </w:r>
            <w:r>
              <w:rPr>
                <w:rFonts w:ascii="Times New Roman" w:hAnsi="Times New Roman" w:eastAsia="宋体" w:cs="Times New Roman"/>
                <w:color w:val="000000"/>
                <w:sz w:val="24"/>
              </w:rPr>
              <w:t>202</w:t>
            </w:r>
            <w:r>
              <w:rPr>
                <w:rFonts w:hint="eastAsia" w:ascii="Times New Roman" w:hAnsi="Times New Roman" w:eastAsia="宋体" w:cs="Times New Roman"/>
                <w:color w:val="000000"/>
                <w:sz w:val="24"/>
              </w:rPr>
              <w:t>5</w:t>
            </w:r>
            <w:r>
              <w:rPr>
                <w:rFonts w:ascii="Times New Roman" w:hAnsi="Times New Roman" w:eastAsia="宋体" w:cs="Times New Roman"/>
                <w:color w:val="000000"/>
                <w:sz w:val="24"/>
              </w:rPr>
              <w:t>年6月发布</w:t>
            </w:r>
            <w:r>
              <w:rPr>
                <w:rFonts w:hint="eastAsia" w:ascii="Times New Roman" w:hAnsi="Times New Roman" w:eastAsia="宋体" w:cs="Times New Roman"/>
                <w:color w:val="000000"/>
                <w:sz w:val="24"/>
              </w:rPr>
              <w:t>了</w:t>
            </w:r>
            <w:r>
              <w:rPr>
                <w:rFonts w:ascii="Times New Roman" w:hAnsi="Times New Roman" w:eastAsia="宋体" w:cs="Times New Roman"/>
                <w:color w:val="000000"/>
                <w:sz w:val="24"/>
              </w:rPr>
              <w:t>《202</w:t>
            </w:r>
            <w:r>
              <w:rPr>
                <w:rFonts w:hint="eastAsia" w:ascii="Times New Roman" w:hAnsi="Times New Roman" w:eastAsia="宋体" w:cs="Times New Roman"/>
                <w:color w:val="000000"/>
                <w:sz w:val="24"/>
              </w:rPr>
              <w:t>4</w:t>
            </w:r>
            <w:r>
              <w:rPr>
                <w:rFonts w:hint="eastAsia" w:cs="Times New Roman"/>
                <w:color w:val="000000"/>
                <w:sz w:val="24"/>
                <w:lang w:eastAsia="zh-CN"/>
              </w:rPr>
              <w:t>年</w:t>
            </w:r>
            <w:r>
              <w:rPr>
                <w:rFonts w:ascii="Times New Roman" w:hAnsi="Times New Roman" w:eastAsia="宋体" w:cs="Times New Roman"/>
                <w:color w:val="000000"/>
                <w:sz w:val="24"/>
              </w:rPr>
              <w:t>内蒙古自治区生态环境状况公报》</w:t>
            </w:r>
            <w:r>
              <w:rPr>
                <w:rFonts w:hint="eastAsia" w:ascii="Times New Roman" w:hAnsi="Times New Roman" w:eastAsia="宋体" w:cs="Times New Roman"/>
                <w:color w:val="000000"/>
                <w:sz w:val="24"/>
              </w:rPr>
              <w:t>，其中指出</w:t>
            </w:r>
            <w:r>
              <w:rPr>
                <w:rFonts w:ascii="Times New Roman" w:hAnsi="Times New Roman" w:eastAsia="宋体" w:cs="Times New Roman"/>
                <w:color w:val="000000"/>
                <w:sz w:val="24"/>
              </w:rPr>
              <w:t>：</w:t>
            </w:r>
            <w:r>
              <w:rPr>
                <w:rFonts w:hint="eastAsia" w:cs="Times New Roman"/>
                <w:color w:val="000000"/>
                <w:sz w:val="24"/>
                <w:lang w:eastAsia="zh-CN"/>
              </w:rPr>
              <w:t>“</w:t>
            </w:r>
            <w:r>
              <w:rPr>
                <w:rFonts w:ascii="Times New Roman" w:hAnsi="Times New Roman" w:eastAsia="宋体" w:cs="Times New Roman"/>
                <w:color w:val="000000"/>
                <w:sz w:val="24"/>
              </w:rPr>
              <w:t>202</w:t>
            </w:r>
            <w:r>
              <w:rPr>
                <w:rFonts w:hint="eastAsia" w:ascii="Times New Roman" w:hAnsi="Times New Roman" w:eastAsia="宋体" w:cs="Times New Roman"/>
                <w:color w:val="000000"/>
                <w:sz w:val="24"/>
              </w:rPr>
              <w:t>4</w:t>
            </w:r>
            <w:r>
              <w:rPr>
                <w:rFonts w:ascii="Times New Roman" w:hAnsi="Times New Roman" w:eastAsia="宋体" w:cs="Times New Roman"/>
                <w:color w:val="000000"/>
                <w:sz w:val="24"/>
              </w:rPr>
              <w:t>年，全区</w:t>
            </w:r>
            <w:r>
              <w:rPr>
                <w:rFonts w:hint="eastAsia" w:ascii="Times New Roman" w:hAnsi="Times New Roman" w:eastAsia="宋体" w:cs="Times New Roman"/>
                <w:color w:val="000000"/>
                <w:sz w:val="24"/>
                <w:lang w:val="en-US" w:eastAsia="zh-CN"/>
              </w:rPr>
              <w:t>环境空气六项污染物年均浓度均达标</w:t>
            </w:r>
            <w:r>
              <w:rPr>
                <w:rFonts w:hint="eastAsia" w:cs="Times New Roman"/>
                <w:color w:val="000000"/>
                <w:sz w:val="24"/>
                <w:lang w:eastAsia="zh-CN"/>
              </w:rPr>
              <w:t>”</w:t>
            </w:r>
            <w:r>
              <w:rPr>
                <w:rFonts w:ascii="Times New Roman" w:hAnsi="Times New Roman" w:eastAsia="宋体" w:cs="Times New Roman"/>
                <w:color w:val="000000"/>
                <w:sz w:val="24"/>
              </w:rPr>
              <w:t>。因此，本项目所在区域城市环境空气质量达标。</w:t>
            </w:r>
          </w:p>
          <w:p w14:paraId="24F484AD">
            <w:pPr>
              <w:spacing w:line="360" w:lineRule="auto"/>
              <w:ind w:right="0" w:rightChars="0" w:firstLine="0" w:firstLineChars="0"/>
              <w:jc w:val="left"/>
              <w:textAlignment w:val="auto"/>
              <w:rPr>
                <w:rFonts w:ascii="Times New Roman" w:hAnsi="Times New Roman" w:eastAsia="宋体" w:cs="Times New Roman"/>
                <w:b/>
                <w:color w:val="000000"/>
                <w:sz w:val="24"/>
              </w:rPr>
            </w:pPr>
            <w:r>
              <w:rPr>
                <w:rFonts w:ascii="Times New Roman" w:hAnsi="Times New Roman" w:eastAsia="宋体" w:cs="Times New Roman"/>
                <w:b/>
                <w:color w:val="000000"/>
                <w:sz w:val="24"/>
              </w:rPr>
              <w:t>2</w:t>
            </w:r>
            <w:r>
              <w:rPr>
                <w:rFonts w:hint="default" w:ascii="Times New Roman" w:hAnsi="Times New Roman" w:eastAsia="宋体" w:cs="Times New Roman"/>
                <w:b/>
                <w:color w:val="000000"/>
                <w:sz w:val="24"/>
              </w:rPr>
              <w:t>.</w:t>
            </w:r>
            <w:r>
              <w:rPr>
                <w:rFonts w:ascii="Times New Roman" w:hAnsi="Times New Roman" w:eastAsia="宋体" w:cs="Times New Roman"/>
                <w:b/>
                <w:color w:val="000000"/>
                <w:sz w:val="24"/>
              </w:rPr>
              <w:t>声环境质量现状</w:t>
            </w:r>
          </w:p>
          <w:p w14:paraId="2058E2BE">
            <w:pPr>
              <w:snapToGrid w:val="0"/>
              <w:spacing w:line="360" w:lineRule="auto"/>
              <w:ind w:firstLine="480" w:firstLineChars="200"/>
              <w:rPr>
                <w:color w:val="000000"/>
                <w:sz w:val="24"/>
                <w:szCs w:val="20"/>
                <w:highlight w:val="red"/>
              </w:rPr>
            </w:pPr>
            <w:r>
              <w:rPr>
                <w:rFonts w:hint="eastAsia"/>
                <w:sz w:val="24"/>
              </w:rPr>
              <w:t>根据《建设项目环境影响报告表编制技术指南》（污染影响类）（试行）</w:t>
            </w:r>
            <w:r>
              <w:rPr>
                <w:rFonts w:hint="eastAsia"/>
                <w:sz w:val="24"/>
                <w:lang w:eastAsia="zh-CN"/>
              </w:rPr>
              <w:t>“</w:t>
            </w:r>
            <w:r>
              <w:rPr>
                <w:rFonts w:hint="eastAsia"/>
                <w:sz w:val="24"/>
              </w:rPr>
              <w:t>厂界外周边50米范围内存在声环境保护目标的建设项目，应监测保护目标声环境质量现状并评价达标情况</w:t>
            </w:r>
            <w:r>
              <w:rPr>
                <w:rFonts w:hint="eastAsia"/>
                <w:sz w:val="24"/>
                <w:lang w:eastAsia="zh-CN"/>
              </w:rPr>
              <w:t>”</w:t>
            </w:r>
            <w:r>
              <w:rPr>
                <w:rFonts w:hint="eastAsia"/>
                <w:sz w:val="24"/>
              </w:rPr>
              <w:t>。本项目厂界外周边50米范围内无声环境保护</w:t>
            </w:r>
            <w:r>
              <w:rPr>
                <w:rFonts w:hint="eastAsia"/>
                <w:sz w:val="24"/>
                <w:highlight w:val="none"/>
              </w:rPr>
              <w:t>目标</w:t>
            </w:r>
            <w:r>
              <w:rPr>
                <w:rFonts w:hint="eastAsia"/>
                <w:sz w:val="24"/>
                <w:highlight w:val="none"/>
                <w:lang w:eastAsia="zh-CN"/>
              </w:rPr>
              <w:t>，因此</w:t>
            </w:r>
            <w:r>
              <w:rPr>
                <w:rFonts w:hint="eastAsia"/>
                <w:sz w:val="24"/>
                <w:highlight w:val="none"/>
                <w:lang w:val="en-US" w:eastAsia="zh-CN"/>
              </w:rPr>
              <w:t>本次未进行声环境监测</w:t>
            </w:r>
            <w:r>
              <w:rPr>
                <w:color w:val="000000"/>
                <w:sz w:val="24"/>
                <w:szCs w:val="20"/>
                <w:highlight w:val="none"/>
              </w:rPr>
              <w:t>。</w:t>
            </w:r>
          </w:p>
          <w:p w14:paraId="7EE5FF48">
            <w:pPr>
              <w:adjustRightInd w:val="0"/>
              <w:snapToGrid w:val="0"/>
              <w:spacing w:line="360" w:lineRule="auto"/>
              <w:rPr>
                <w:b/>
                <w:color w:val="000000"/>
                <w:sz w:val="24"/>
                <w:szCs w:val="20"/>
              </w:rPr>
            </w:pPr>
            <w:r>
              <w:rPr>
                <w:b/>
                <w:color w:val="000000"/>
                <w:sz w:val="24"/>
                <w:szCs w:val="20"/>
              </w:rPr>
              <w:t>3</w:t>
            </w:r>
            <w:r>
              <w:rPr>
                <w:rFonts w:hint="eastAsia"/>
                <w:b/>
                <w:color w:val="000000"/>
                <w:sz w:val="24"/>
                <w:szCs w:val="20"/>
              </w:rPr>
              <w:t>.</w:t>
            </w:r>
            <w:r>
              <w:rPr>
                <w:b/>
                <w:color w:val="000000"/>
                <w:sz w:val="24"/>
                <w:szCs w:val="20"/>
              </w:rPr>
              <w:t>地表水环境质量现状</w:t>
            </w:r>
          </w:p>
          <w:p w14:paraId="3A371EF4">
            <w:pPr>
              <w:snapToGrid w:val="0"/>
              <w:spacing w:line="360" w:lineRule="auto"/>
              <w:ind w:firstLine="480" w:firstLineChars="200"/>
              <w:rPr>
                <w:color w:val="000000"/>
                <w:sz w:val="24"/>
                <w:szCs w:val="20"/>
              </w:rPr>
            </w:pPr>
            <w:r>
              <w:rPr>
                <w:color w:val="000000"/>
                <w:sz w:val="24"/>
                <w:szCs w:val="20"/>
              </w:rPr>
              <w:t>本项目产生的废水均不外排，且项目周边无地表水体，根据《建设项目环境影响报告表编制技术指南（污染影响类）》（试行），本次评价不进行地表水环境质量现状监测。</w:t>
            </w:r>
          </w:p>
          <w:p w14:paraId="5E6E0AFA">
            <w:pPr>
              <w:adjustRightInd w:val="0"/>
              <w:snapToGrid w:val="0"/>
              <w:spacing w:line="360" w:lineRule="auto"/>
              <w:rPr>
                <w:b/>
                <w:color w:val="000000"/>
                <w:sz w:val="24"/>
                <w:szCs w:val="20"/>
              </w:rPr>
            </w:pPr>
            <w:r>
              <w:rPr>
                <w:b/>
                <w:color w:val="000000"/>
                <w:sz w:val="24"/>
                <w:szCs w:val="20"/>
              </w:rPr>
              <w:t>4</w:t>
            </w:r>
            <w:r>
              <w:rPr>
                <w:rFonts w:hint="eastAsia"/>
                <w:b/>
                <w:color w:val="000000"/>
                <w:sz w:val="24"/>
                <w:szCs w:val="20"/>
              </w:rPr>
              <w:t>.</w:t>
            </w:r>
            <w:r>
              <w:rPr>
                <w:rFonts w:hint="eastAsia"/>
                <w:b/>
                <w:bCs/>
                <w:color w:val="000000"/>
                <w:sz w:val="24"/>
                <w:szCs w:val="20"/>
                <w:lang w:val="en-US" w:eastAsia="zh-CN"/>
              </w:rPr>
              <w:t>地下水、</w:t>
            </w:r>
            <w:r>
              <w:rPr>
                <w:b/>
                <w:bCs/>
                <w:color w:val="000000"/>
                <w:sz w:val="24"/>
                <w:szCs w:val="20"/>
              </w:rPr>
              <w:t>土壤环境质量现状</w:t>
            </w:r>
          </w:p>
          <w:p w14:paraId="663A108B">
            <w:pPr>
              <w:adjustRightInd w:val="0"/>
              <w:snapToGrid w:val="0"/>
              <w:spacing w:line="360" w:lineRule="auto"/>
              <w:ind w:firstLine="480" w:firstLineChars="200"/>
              <w:rPr>
                <w:rFonts w:hint="eastAsia"/>
                <w:color w:val="000000"/>
                <w:sz w:val="24"/>
                <w:szCs w:val="20"/>
              </w:rPr>
            </w:pPr>
            <w:r>
              <w:rPr>
                <w:rFonts w:hint="eastAsia"/>
                <w:color w:val="000000"/>
                <w:sz w:val="24"/>
                <w:szCs w:val="20"/>
              </w:rPr>
              <w:t>根据《建设项目环境影响报告表编制技术指南</w:t>
            </w:r>
            <w:r>
              <w:rPr>
                <w:bCs/>
                <w:color w:val="000000"/>
                <w:sz w:val="24"/>
                <w:szCs w:val="20"/>
              </w:rPr>
              <w:t>（污染影响类）</w:t>
            </w:r>
            <w:r>
              <w:rPr>
                <w:rFonts w:hint="eastAsia"/>
                <w:color w:val="000000"/>
                <w:sz w:val="24"/>
                <w:szCs w:val="20"/>
              </w:rPr>
              <w:t>》</w:t>
            </w:r>
            <w:r>
              <w:rPr>
                <w:bCs/>
                <w:color w:val="000000"/>
                <w:sz w:val="24"/>
                <w:szCs w:val="20"/>
              </w:rPr>
              <w:t>（试行）</w:t>
            </w:r>
            <w:r>
              <w:rPr>
                <w:rFonts w:hint="eastAsia"/>
                <w:color w:val="000000"/>
                <w:sz w:val="24"/>
                <w:szCs w:val="20"/>
              </w:rPr>
              <w:t>要求，原则上不开展环境质量现状调查；建设项目存在土壤、地下水污染途径的，应结合污染源、保护目标分布情况开展现状调查以留作背景值。</w:t>
            </w:r>
          </w:p>
          <w:p w14:paraId="41C3FFE4">
            <w:pPr>
              <w:adjustRightInd w:val="0"/>
              <w:snapToGrid w:val="0"/>
              <w:spacing w:line="360" w:lineRule="auto"/>
              <w:ind w:firstLine="480" w:firstLineChars="200"/>
              <w:rPr>
                <w:snapToGrid w:val="0"/>
                <w:color w:val="000000"/>
                <w:sz w:val="24"/>
                <w:szCs w:val="20"/>
              </w:rPr>
            </w:pPr>
            <w:r>
              <w:rPr>
                <w:bCs/>
                <w:color w:val="000000"/>
                <w:sz w:val="24"/>
                <w:szCs w:val="20"/>
              </w:rPr>
              <w:t>项目区及周边无集中式饮用水水源地和热水、矿泉水、温泉等特殊地下水资源保护区且项目周围无分散式</w:t>
            </w:r>
            <w:r>
              <w:rPr>
                <w:rFonts w:hint="eastAsia"/>
                <w:bCs/>
                <w:color w:val="000000"/>
                <w:sz w:val="24"/>
                <w:szCs w:val="20"/>
              </w:rPr>
              <w:t>饮用水</w:t>
            </w:r>
            <w:r>
              <w:rPr>
                <w:bCs/>
                <w:color w:val="000000"/>
                <w:sz w:val="24"/>
                <w:szCs w:val="20"/>
              </w:rPr>
              <w:t>井，周围均由市政供水</w:t>
            </w:r>
            <w:r>
              <w:rPr>
                <w:rFonts w:hint="eastAsia"/>
                <w:bCs/>
                <w:color w:val="000000"/>
                <w:sz w:val="24"/>
                <w:szCs w:val="20"/>
                <w:lang w:eastAsia="zh-CN"/>
              </w:rPr>
              <w:t>。</w:t>
            </w:r>
            <w:r>
              <w:rPr>
                <w:rFonts w:hint="eastAsia"/>
                <w:color w:val="000000"/>
                <w:sz w:val="24"/>
                <w:szCs w:val="20"/>
              </w:rPr>
              <w:t>本项目所在厂区地面已硬化，现有项目</w:t>
            </w:r>
            <w:r>
              <w:rPr>
                <w:rFonts w:hint="eastAsia"/>
                <w:color w:val="000000"/>
                <w:sz w:val="24"/>
                <w:szCs w:val="20"/>
                <w:lang w:val="en-US" w:eastAsia="zh-CN"/>
              </w:rPr>
              <w:t>本次不进行现状</w:t>
            </w:r>
            <w:r>
              <w:rPr>
                <w:rFonts w:hint="eastAsia"/>
                <w:color w:val="000000"/>
                <w:sz w:val="24"/>
                <w:szCs w:val="20"/>
              </w:rPr>
              <w:t>调查</w:t>
            </w:r>
            <w:r>
              <w:rPr>
                <w:rFonts w:hint="eastAsia"/>
                <w:color w:val="000000"/>
                <w:sz w:val="24"/>
                <w:szCs w:val="20"/>
                <w:lang w:eastAsia="zh-CN"/>
              </w:rPr>
              <w:t>，</w:t>
            </w:r>
            <w:r>
              <w:rPr>
                <w:rFonts w:hint="eastAsia"/>
                <w:color w:val="000000"/>
                <w:sz w:val="24"/>
                <w:szCs w:val="20"/>
                <w:lang w:val="en-US" w:eastAsia="zh-CN"/>
              </w:rPr>
              <w:t>收集现有地下水数据进行评价</w:t>
            </w:r>
            <w:r>
              <w:rPr>
                <w:snapToGrid w:val="0"/>
                <w:color w:val="000000"/>
                <w:sz w:val="24"/>
                <w:szCs w:val="20"/>
              </w:rPr>
              <w:t>。</w:t>
            </w:r>
          </w:p>
          <w:p w14:paraId="4C38FAE6">
            <w:pPr>
              <w:snapToGrid w:val="0"/>
              <w:spacing w:line="360" w:lineRule="auto"/>
              <w:ind w:firstLine="482"/>
              <w:rPr>
                <w:sz w:val="24"/>
                <w:highlight w:val="none"/>
              </w:rPr>
            </w:pPr>
            <w:r>
              <w:rPr>
                <w:rFonts w:hint="eastAsia"/>
                <w:sz w:val="24"/>
                <w:highlight w:val="none"/>
                <w:lang w:val="en-US" w:eastAsia="zh-CN"/>
              </w:rPr>
              <w:t>4.1</w:t>
            </w:r>
            <w:r>
              <w:rPr>
                <w:sz w:val="24"/>
                <w:highlight w:val="none"/>
              </w:rPr>
              <w:t>监测点位</w:t>
            </w:r>
          </w:p>
          <w:p w14:paraId="3245B955">
            <w:pPr>
              <w:jc w:val="center"/>
              <w:rPr>
                <w:b/>
                <w:szCs w:val="21"/>
                <w:highlight w:val="none"/>
              </w:rPr>
            </w:pPr>
            <w:r>
              <w:rPr>
                <w:b/>
                <w:szCs w:val="21"/>
                <w:highlight w:val="none"/>
              </w:rPr>
              <w:t>表</w:t>
            </w:r>
            <w:r>
              <w:rPr>
                <w:rFonts w:hint="eastAsia"/>
                <w:b/>
                <w:szCs w:val="21"/>
                <w:highlight w:val="none"/>
                <w:lang w:val="en-US" w:eastAsia="zh-CN"/>
              </w:rPr>
              <w:t>3</w:t>
            </w:r>
            <w:r>
              <w:rPr>
                <w:rFonts w:hint="eastAsia"/>
                <w:b/>
                <w:szCs w:val="21"/>
                <w:highlight w:val="none"/>
              </w:rPr>
              <w:t>-1</w:t>
            </w:r>
            <w:r>
              <w:rPr>
                <w:rFonts w:hint="eastAsia"/>
                <w:b/>
                <w:szCs w:val="21"/>
                <w:highlight w:val="none"/>
                <w:lang w:eastAsia="zh-CN"/>
              </w:rPr>
              <w:t>：</w:t>
            </w:r>
            <w:r>
              <w:rPr>
                <w:b/>
                <w:szCs w:val="21"/>
                <w:highlight w:val="none"/>
              </w:rPr>
              <w:t>地下水水质监测布点统计表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8"/>
              <w:gridCol w:w="1582"/>
              <w:gridCol w:w="1437"/>
              <w:gridCol w:w="1581"/>
              <w:gridCol w:w="576"/>
              <w:gridCol w:w="1150"/>
              <w:gridCol w:w="1248"/>
            </w:tblGrid>
            <w:tr w14:paraId="4E44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6A66BB5E">
                  <w:pPr>
                    <w:snapToGrid w:val="0"/>
                    <w:jc w:val="center"/>
                    <w:rPr>
                      <w:bCs/>
                      <w:sz w:val="21"/>
                      <w:szCs w:val="21"/>
                      <w:highlight w:val="none"/>
                    </w:rPr>
                  </w:pPr>
                  <w:r>
                    <w:rPr>
                      <w:bCs/>
                      <w:sz w:val="21"/>
                      <w:szCs w:val="21"/>
                      <w:highlight w:val="none"/>
                    </w:rPr>
                    <w:t>水井名称</w:t>
                  </w:r>
                </w:p>
              </w:tc>
              <w:tc>
                <w:tcPr>
                  <w:tcW w:w="1788" w:type="pct"/>
                  <w:gridSpan w:val="2"/>
                  <w:tcBorders>
                    <w:tl2br w:val="nil"/>
                    <w:tr2bl w:val="nil"/>
                  </w:tcBorders>
                  <w:noWrap/>
                  <w:vAlign w:val="center"/>
                </w:tcPr>
                <w:p w14:paraId="4E27AF3E">
                  <w:pPr>
                    <w:snapToGrid w:val="0"/>
                    <w:jc w:val="center"/>
                    <w:rPr>
                      <w:bCs/>
                      <w:sz w:val="21"/>
                      <w:szCs w:val="21"/>
                      <w:highlight w:val="none"/>
                    </w:rPr>
                  </w:pPr>
                  <w:r>
                    <w:rPr>
                      <w:bCs/>
                      <w:sz w:val="21"/>
                      <w:szCs w:val="21"/>
                      <w:highlight w:val="none"/>
                    </w:rPr>
                    <w:t>坐标</w:t>
                  </w:r>
                </w:p>
              </w:tc>
              <w:tc>
                <w:tcPr>
                  <w:tcW w:w="936" w:type="pct"/>
                  <w:tcBorders>
                    <w:tl2br w:val="nil"/>
                    <w:tr2bl w:val="nil"/>
                  </w:tcBorders>
                  <w:noWrap w:val="0"/>
                  <w:vAlign w:val="center"/>
                </w:tcPr>
                <w:p w14:paraId="08321A48">
                  <w:pPr>
                    <w:snapToGrid w:val="0"/>
                    <w:jc w:val="center"/>
                    <w:rPr>
                      <w:bCs/>
                      <w:sz w:val="21"/>
                      <w:szCs w:val="21"/>
                      <w:highlight w:val="none"/>
                    </w:rPr>
                  </w:pPr>
                  <w:r>
                    <w:rPr>
                      <w:bCs/>
                      <w:sz w:val="21"/>
                      <w:szCs w:val="21"/>
                      <w:highlight w:val="none"/>
                    </w:rPr>
                    <w:t>样品状态</w:t>
                  </w:r>
                </w:p>
              </w:tc>
              <w:tc>
                <w:tcPr>
                  <w:tcW w:w="341" w:type="pct"/>
                  <w:tcBorders>
                    <w:tl2br w:val="nil"/>
                    <w:tr2bl w:val="nil"/>
                  </w:tcBorders>
                  <w:noWrap/>
                  <w:vAlign w:val="center"/>
                </w:tcPr>
                <w:p w14:paraId="54CFDC2F">
                  <w:pPr>
                    <w:snapToGrid w:val="0"/>
                    <w:jc w:val="center"/>
                    <w:rPr>
                      <w:bCs/>
                      <w:sz w:val="21"/>
                      <w:szCs w:val="21"/>
                      <w:highlight w:val="none"/>
                    </w:rPr>
                  </w:pPr>
                  <w:r>
                    <w:rPr>
                      <w:bCs/>
                      <w:sz w:val="21"/>
                      <w:szCs w:val="21"/>
                      <w:highlight w:val="none"/>
                    </w:rPr>
                    <w:t>井深（m）</w:t>
                  </w:r>
                </w:p>
              </w:tc>
              <w:tc>
                <w:tcPr>
                  <w:tcW w:w="681" w:type="pct"/>
                  <w:tcBorders>
                    <w:tl2br w:val="nil"/>
                    <w:tr2bl w:val="nil"/>
                  </w:tcBorders>
                  <w:noWrap/>
                  <w:vAlign w:val="center"/>
                </w:tcPr>
                <w:p w14:paraId="4A662D69">
                  <w:pPr>
                    <w:snapToGrid w:val="0"/>
                    <w:jc w:val="center"/>
                    <w:rPr>
                      <w:bCs/>
                      <w:sz w:val="21"/>
                      <w:szCs w:val="21"/>
                      <w:highlight w:val="none"/>
                    </w:rPr>
                  </w:pPr>
                  <w:r>
                    <w:rPr>
                      <w:bCs/>
                      <w:sz w:val="21"/>
                      <w:szCs w:val="21"/>
                      <w:highlight w:val="none"/>
                    </w:rPr>
                    <w:t>水井功能</w:t>
                  </w:r>
                </w:p>
              </w:tc>
              <w:tc>
                <w:tcPr>
                  <w:tcW w:w="739" w:type="pct"/>
                  <w:tcBorders>
                    <w:tl2br w:val="nil"/>
                    <w:tr2bl w:val="nil"/>
                  </w:tcBorders>
                  <w:noWrap w:val="0"/>
                  <w:vAlign w:val="center"/>
                </w:tcPr>
                <w:p w14:paraId="6E14CB26">
                  <w:pPr>
                    <w:snapToGrid w:val="0"/>
                    <w:jc w:val="center"/>
                    <w:rPr>
                      <w:bCs/>
                      <w:sz w:val="21"/>
                      <w:szCs w:val="21"/>
                      <w:highlight w:val="none"/>
                    </w:rPr>
                  </w:pPr>
                  <w:r>
                    <w:rPr>
                      <w:bCs/>
                      <w:sz w:val="21"/>
                      <w:szCs w:val="21"/>
                      <w:highlight w:val="none"/>
                    </w:rPr>
                    <w:t>监测层位</w:t>
                  </w:r>
                </w:p>
              </w:tc>
            </w:tr>
            <w:tr w14:paraId="4A27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023C6560">
                  <w:pPr>
                    <w:snapToGrid w:val="0"/>
                    <w:jc w:val="center"/>
                    <w:rPr>
                      <w:sz w:val="21"/>
                      <w:szCs w:val="21"/>
                      <w:highlight w:val="none"/>
                    </w:rPr>
                  </w:pPr>
                  <w:bookmarkStart w:id="7" w:name="_Hlk204587063"/>
                  <w:r>
                    <w:rPr>
                      <w:sz w:val="21"/>
                      <w:szCs w:val="21"/>
                      <w:highlight w:val="none"/>
                    </w:rPr>
                    <w:t>JC</w:t>
                  </w:r>
                  <w:r>
                    <w:rPr>
                      <w:rFonts w:hint="eastAsia"/>
                      <w:sz w:val="21"/>
                      <w:szCs w:val="21"/>
                      <w:highlight w:val="none"/>
                    </w:rPr>
                    <w:t>1</w:t>
                  </w:r>
                </w:p>
              </w:tc>
              <w:tc>
                <w:tcPr>
                  <w:tcW w:w="937" w:type="pct"/>
                  <w:tcBorders>
                    <w:tl2br w:val="nil"/>
                    <w:tr2bl w:val="nil"/>
                  </w:tcBorders>
                  <w:noWrap/>
                  <w:vAlign w:val="center"/>
                </w:tcPr>
                <w:p w14:paraId="618F3AAF">
                  <w:pPr>
                    <w:snapToGrid w:val="0"/>
                    <w:jc w:val="center"/>
                    <w:rPr>
                      <w:rFonts w:hint="eastAsia" w:eastAsia="宋体"/>
                      <w:sz w:val="21"/>
                      <w:szCs w:val="21"/>
                      <w:highlight w:val="none"/>
                      <w:lang w:eastAsia="zh-CN"/>
                    </w:rPr>
                  </w:pPr>
                  <w:r>
                    <w:rPr>
                      <w:rFonts w:hint="eastAsia" w:ascii="Times New Roman" w:hAnsi="Times New Roman" w:eastAsia="宋体" w:cs="Times New Roman"/>
                      <w:sz w:val="21"/>
                      <w:szCs w:val="21"/>
                      <w:highlight w:val="none"/>
                      <w:lang w:val="en-US" w:eastAsia="zh-CN"/>
                    </w:rPr>
                    <w:t>108°30′43.92″</w:t>
                  </w:r>
                </w:p>
              </w:tc>
              <w:tc>
                <w:tcPr>
                  <w:tcW w:w="851" w:type="pct"/>
                  <w:tcBorders>
                    <w:tl2br w:val="nil"/>
                    <w:tr2bl w:val="nil"/>
                  </w:tcBorders>
                  <w:noWrap/>
                  <w:vAlign w:val="center"/>
                </w:tcPr>
                <w:p w14:paraId="0294FB36">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01</w:t>
                  </w:r>
                  <w:r>
                    <w:rPr>
                      <w:rFonts w:hint="eastAsia"/>
                      <w:sz w:val="21"/>
                      <w:szCs w:val="21"/>
                      <w:highlight w:val="none"/>
                      <w:lang w:eastAsia="zh-CN"/>
                    </w:rPr>
                    <w:t>′</w:t>
                  </w:r>
                  <w:r>
                    <w:rPr>
                      <w:rFonts w:hint="eastAsia"/>
                      <w:sz w:val="21"/>
                      <w:szCs w:val="21"/>
                      <w:highlight w:val="none"/>
                    </w:rPr>
                    <w:t>48.72</w:t>
                  </w:r>
                  <w:r>
                    <w:rPr>
                      <w:rFonts w:hint="eastAsia"/>
                      <w:sz w:val="21"/>
                      <w:szCs w:val="21"/>
                      <w:highlight w:val="none"/>
                      <w:lang w:eastAsia="zh-CN"/>
                    </w:rPr>
                    <w:t>″</w:t>
                  </w:r>
                </w:p>
              </w:tc>
              <w:tc>
                <w:tcPr>
                  <w:tcW w:w="936" w:type="pct"/>
                  <w:tcBorders>
                    <w:tl2br w:val="nil"/>
                    <w:tr2bl w:val="nil"/>
                  </w:tcBorders>
                  <w:noWrap w:val="0"/>
                  <w:vAlign w:val="center"/>
                </w:tcPr>
                <w:p w14:paraId="7B9679BB">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00320AC6">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19075948">
                  <w:pPr>
                    <w:snapToGrid w:val="0"/>
                    <w:jc w:val="center"/>
                    <w:rPr>
                      <w:sz w:val="21"/>
                      <w:szCs w:val="21"/>
                      <w:highlight w:val="none"/>
                    </w:rPr>
                  </w:pPr>
                  <w:r>
                    <w:rPr>
                      <w:sz w:val="21"/>
                      <w:szCs w:val="21"/>
                      <w:highlight w:val="none"/>
                    </w:rPr>
                    <w:t>监测井</w:t>
                  </w:r>
                </w:p>
              </w:tc>
              <w:tc>
                <w:tcPr>
                  <w:tcW w:w="739" w:type="pct"/>
                  <w:vMerge w:val="restart"/>
                  <w:tcBorders>
                    <w:tl2br w:val="nil"/>
                    <w:tr2bl w:val="nil"/>
                  </w:tcBorders>
                  <w:noWrap w:val="0"/>
                  <w:vAlign w:val="center"/>
                </w:tcPr>
                <w:p w14:paraId="72E530FC">
                  <w:pPr>
                    <w:snapToGrid w:val="0"/>
                    <w:jc w:val="center"/>
                    <w:rPr>
                      <w:sz w:val="21"/>
                      <w:szCs w:val="21"/>
                      <w:highlight w:val="none"/>
                    </w:rPr>
                  </w:pPr>
                  <w:r>
                    <w:rPr>
                      <w:sz w:val="21"/>
                      <w:szCs w:val="21"/>
                      <w:highlight w:val="none"/>
                    </w:rPr>
                    <w:t>白垩系下统志丹群碎屑岩类裂隙孔隙潜水含水层</w:t>
                  </w:r>
                </w:p>
              </w:tc>
            </w:tr>
            <w:tr w14:paraId="71AE0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1EC7965A">
                  <w:pPr>
                    <w:snapToGrid w:val="0"/>
                    <w:jc w:val="center"/>
                    <w:rPr>
                      <w:sz w:val="21"/>
                      <w:szCs w:val="21"/>
                      <w:highlight w:val="none"/>
                    </w:rPr>
                  </w:pPr>
                  <w:r>
                    <w:rPr>
                      <w:sz w:val="21"/>
                      <w:szCs w:val="21"/>
                      <w:highlight w:val="none"/>
                    </w:rPr>
                    <w:t>JC</w:t>
                  </w:r>
                  <w:r>
                    <w:rPr>
                      <w:rFonts w:hint="eastAsia"/>
                      <w:sz w:val="21"/>
                      <w:szCs w:val="21"/>
                      <w:highlight w:val="none"/>
                    </w:rPr>
                    <w:t>2</w:t>
                  </w:r>
                </w:p>
              </w:tc>
              <w:tc>
                <w:tcPr>
                  <w:tcW w:w="937" w:type="pct"/>
                  <w:tcBorders>
                    <w:tl2br w:val="nil"/>
                    <w:tr2bl w:val="nil"/>
                  </w:tcBorders>
                  <w:noWrap/>
                  <w:vAlign w:val="center"/>
                </w:tcPr>
                <w:p w14:paraId="7E285482">
                  <w:pPr>
                    <w:snapToGrid w:val="0"/>
                    <w:jc w:val="center"/>
                    <w:rPr>
                      <w:sz w:val="21"/>
                      <w:szCs w:val="21"/>
                      <w:highlight w:val="none"/>
                    </w:rPr>
                  </w:pPr>
                  <w:r>
                    <w:rPr>
                      <w:rFonts w:hint="eastAsia" w:ascii="Times New Roman" w:hAnsi="Times New Roman" w:eastAsia="宋体" w:cs="Times New Roman"/>
                      <w:sz w:val="21"/>
                      <w:szCs w:val="21"/>
                      <w:highlight w:val="none"/>
                      <w:lang w:val="en-US" w:eastAsia="zh-CN"/>
                    </w:rPr>
                    <w:t>108°30′23.04″</w:t>
                  </w:r>
                </w:p>
              </w:tc>
              <w:tc>
                <w:tcPr>
                  <w:tcW w:w="851" w:type="pct"/>
                  <w:tcBorders>
                    <w:tl2br w:val="nil"/>
                    <w:tr2bl w:val="nil"/>
                  </w:tcBorders>
                  <w:noWrap/>
                  <w:vAlign w:val="center"/>
                </w:tcPr>
                <w:p w14:paraId="706B91AC">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lang w:val="en-US" w:eastAsia="zh-CN"/>
                    </w:rPr>
                    <w:t>1</w:t>
                  </w:r>
                  <w:r>
                    <w:rPr>
                      <w:rFonts w:hint="eastAsia"/>
                      <w:sz w:val="21"/>
                      <w:szCs w:val="21"/>
                      <w:highlight w:val="none"/>
                      <w:lang w:eastAsia="zh-CN"/>
                    </w:rPr>
                    <w:t>′</w:t>
                  </w:r>
                  <w:r>
                    <w:rPr>
                      <w:rFonts w:hint="eastAsia"/>
                      <w:sz w:val="21"/>
                      <w:szCs w:val="21"/>
                      <w:highlight w:val="none"/>
                    </w:rPr>
                    <w:t>53.04</w:t>
                  </w:r>
                  <w:r>
                    <w:rPr>
                      <w:rFonts w:hint="eastAsia"/>
                      <w:sz w:val="21"/>
                      <w:szCs w:val="21"/>
                      <w:highlight w:val="none"/>
                      <w:lang w:eastAsia="zh-CN"/>
                    </w:rPr>
                    <w:t>″</w:t>
                  </w:r>
                </w:p>
              </w:tc>
              <w:tc>
                <w:tcPr>
                  <w:tcW w:w="936" w:type="pct"/>
                  <w:tcBorders>
                    <w:tl2br w:val="nil"/>
                    <w:tr2bl w:val="nil"/>
                  </w:tcBorders>
                  <w:noWrap w:val="0"/>
                  <w:vAlign w:val="center"/>
                </w:tcPr>
                <w:p w14:paraId="66499472">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34E95F65">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18F772A4">
                  <w:pPr>
                    <w:snapToGrid w:val="0"/>
                    <w:jc w:val="center"/>
                    <w:rPr>
                      <w:sz w:val="21"/>
                      <w:szCs w:val="21"/>
                      <w:highlight w:val="none"/>
                    </w:rPr>
                  </w:pPr>
                  <w:r>
                    <w:rPr>
                      <w:sz w:val="21"/>
                      <w:szCs w:val="21"/>
                      <w:highlight w:val="none"/>
                    </w:rPr>
                    <w:t>监测井</w:t>
                  </w:r>
                </w:p>
              </w:tc>
              <w:tc>
                <w:tcPr>
                  <w:tcW w:w="739" w:type="pct"/>
                  <w:vMerge w:val="continue"/>
                  <w:tcBorders>
                    <w:tl2br w:val="nil"/>
                    <w:tr2bl w:val="nil"/>
                  </w:tcBorders>
                  <w:noWrap w:val="0"/>
                  <w:vAlign w:val="center"/>
                </w:tcPr>
                <w:p w14:paraId="2CFA76DD">
                  <w:pPr>
                    <w:snapToGrid w:val="0"/>
                    <w:jc w:val="center"/>
                    <w:rPr>
                      <w:sz w:val="21"/>
                      <w:szCs w:val="21"/>
                      <w:highlight w:val="none"/>
                    </w:rPr>
                  </w:pPr>
                </w:p>
              </w:tc>
            </w:tr>
            <w:tr w14:paraId="72C9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050F2FD3">
                  <w:pPr>
                    <w:snapToGrid w:val="0"/>
                    <w:jc w:val="center"/>
                    <w:rPr>
                      <w:sz w:val="21"/>
                      <w:szCs w:val="21"/>
                      <w:highlight w:val="none"/>
                    </w:rPr>
                  </w:pPr>
                  <w:r>
                    <w:rPr>
                      <w:sz w:val="21"/>
                      <w:szCs w:val="21"/>
                      <w:highlight w:val="none"/>
                    </w:rPr>
                    <w:t>JC</w:t>
                  </w:r>
                  <w:r>
                    <w:rPr>
                      <w:rFonts w:hint="eastAsia"/>
                      <w:sz w:val="21"/>
                      <w:szCs w:val="21"/>
                      <w:highlight w:val="none"/>
                    </w:rPr>
                    <w:t>4</w:t>
                  </w:r>
                </w:p>
              </w:tc>
              <w:tc>
                <w:tcPr>
                  <w:tcW w:w="937" w:type="pct"/>
                  <w:tcBorders>
                    <w:tl2br w:val="nil"/>
                    <w:tr2bl w:val="nil"/>
                  </w:tcBorders>
                  <w:noWrap/>
                  <w:vAlign w:val="center"/>
                </w:tcPr>
                <w:p w14:paraId="58548ABD">
                  <w:pPr>
                    <w:snapToGrid w:val="0"/>
                    <w:jc w:val="center"/>
                    <w:rPr>
                      <w:rFonts w:hint="eastAsia" w:eastAsia="宋体"/>
                      <w:sz w:val="21"/>
                      <w:szCs w:val="21"/>
                      <w:highlight w:val="none"/>
                      <w:lang w:eastAsia="zh-CN"/>
                    </w:rPr>
                  </w:pPr>
                  <w:r>
                    <w:rPr>
                      <w:sz w:val="21"/>
                      <w:szCs w:val="21"/>
                      <w:highlight w:val="none"/>
                    </w:rPr>
                    <w:t>108</w:t>
                  </w:r>
                  <w:r>
                    <w:rPr>
                      <w:rFonts w:hint="eastAsia"/>
                      <w:sz w:val="21"/>
                      <w:szCs w:val="21"/>
                      <w:highlight w:val="none"/>
                      <w:lang w:val="en-US" w:eastAsia="zh-CN"/>
                    </w:rPr>
                    <w:t>°</w:t>
                  </w:r>
                  <w:r>
                    <w:rPr>
                      <w:sz w:val="21"/>
                      <w:szCs w:val="21"/>
                      <w:highlight w:val="none"/>
                    </w:rPr>
                    <w:t>29</w:t>
                  </w:r>
                  <w:r>
                    <w:rPr>
                      <w:rFonts w:hint="eastAsia"/>
                      <w:sz w:val="21"/>
                      <w:szCs w:val="21"/>
                      <w:highlight w:val="none"/>
                      <w:lang w:eastAsia="zh-CN"/>
                    </w:rPr>
                    <w:t>′</w:t>
                  </w:r>
                  <w:r>
                    <w:rPr>
                      <w:rFonts w:hint="eastAsia"/>
                      <w:sz w:val="21"/>
                      <w:szCs w:val="21"/>
                      <w:highlight w:val="none"/>
                    </w:rPr>
                    <w:t>28.68</w:t>
                  </w:r>
                  <w:r>
                    <w:rPr>
                      <w:rFonts w:hint="eastAsia"/>
                      <w:sz w:val="21"/>
                      <w:szCs w:val="21"/>
                      <w:highlight w:val="none"/>
                      <w:lang w:eastAsia="zh-CN"/>
                    </w:rPr>
                    <w:t>″</w:t>
                  </w:r>
                </w:p>
              </w:tc>
              <w:tc>
                <w:tcPr>
                  <w:tcW w:w="851" w:type="pct"/>
                  <w:tcBorders>
                    <w:tl2br w:val="nil"/>
                    <w:tr2bl w:val="nil"/>
                  </w:tcBorders>
                  <w:noWrap/>
                  <w:vAlign w:val="center"/>
                </w:tcPr>
                <w:p w14:paraId="2EE83153">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rPr>
                    <w:t>1</w:t>
                  </w:r>
                  <w:r>
                    <w:rPr>
                      <w:rFonts w:hint="eastAsia"/>
                      <w:sz w:val="21"/>
                      <w:szCs w:val="21"/>
                      <w:highlight w:val="none"/>
                      <w:lang w:eastAsia="zh-CN"/>
                    </w:rPr>
                    <w:t>′</w:t>
                  </w:r>
                  <w:r>
                    <w:rPr>
                      <w:rFonts w:hint="eastAsia"/>
                      <w:sz w:val="21"/>
                      <w:szCs w:val="21"/>
                      <w:highlight w:val="none"/>
                    </w:rPr>
                    <w:t>30.36</w:t>
                  </w:r>
                  <w:r>
                    <w:rPr>
                      <w:rFonts w:hint="eastAsia"/>
                      <w:sz w:val="21"/>
                      <w:szCs w:val="21"/>
                      <w:highlight w:val="none"/>
                      <w:lang w:eastAsia="zh-CN"/>
                    </w:rPr>
                    <w:t>″</w:t>
                  </w:r>
                </w:p>
              </w:tc>
              <w:tc>
                <w:tcPr>
                  <w:tcW w:w="936" w:type="pct"/>
                  <w:tcBorders>
                    <w:tl2br w:val="nil"/>
                    <w:tr2bl w:val="nil"/>
                  </w:tcBorders>
                  <w:noWrap w:val="0"/>
                  <w:vAlign w:val="center"/>
                </w:tcPr>
                <w:p w14:paraId="4A691CC0">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0DFD7885">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29384FB9">
                  <w:pPr>
                    <w:snapToGrid w:val="0"/>
                    <w:jc w:val="center"/>
                    <w:rPr>
                      <w:sz w:val="21"/>
                      <w:szCs w:val="21"/>
                      <w:highlight w:val="none"/>
                    </w:rPr>
                  </w:pPr>
                  <w:r>
                    <w:rPr>
                      <w:sz w:val="21"/>
                      <w:szCs w:val="21"/>
                      <w:highlight w:val="none"/>
                    </w:rPr>
                    <w:t>监测井</w:t>
                  </w:r>
                </w:p>
              </w:tc>
              <w:tc>
                <w:tcPr>
                  <w:tcW w:w="739" w:type="pct"/>
                  <w:vMerge w:val="continue"/>
                  <w:tcBorders>
                    <w:tl2br w:val="nil"/>
                    <w:tr2bl w:val="nil"/>
                  </w:tcBorders>
                  <w:noWrap w:val="0"/>
                  <w:vAlign w:val="center"/>
                </w:tcPr>
                <w:p w14:paraId="2BF01F88">
                  <w:pPr>
                    <w:snapToGrid w:val="0"/>
                    <w:jc w:val="center"/>
                    <w:rPr>
                      <w:sz w:val="21"/>
                      <w:szCs w:val="21"/>
                      <w:highlight w:val="none"/>
                    </w:rPr>
                  </w:pPr>
                </w:p>
              </w:tc>
            </w:tr>
            <w:tr w14:paraId="7AA5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14" w:type="pct"/>
                  <w:tcBorders>
                    <w:tl2br w:val="nil"/>
                    <w:tr2bl w:val="nil"/>
                  </w:tcBorders>
                  <w:noWrap w:val="0"/>
                  <w:vAlign w:val="center"/>
                </w:tcPr>
                <w:p w14:paraId="5DB11319">
                  <w:pPr>
                    <w:snapToGrid w:val="0"/>
                    <w:jc w:val="center"/>
                    <w:rPr>
                      <w:sz w:val="21"/>
                      <w:szCs w:val="21"/>
                      <w:highlight w:val="none"/>
                    </w:rPr>
                  </w:pPr>
                  <w:r>
                    <w:rPr>
                      <w:sz w:val="21"/>
                      <w:szCs w:val="21"/>
                      <w:highlight w:val="none"/>
                    </w:rPr>
                    <w:t>JC</w:t>
                  </w:r>
                  <w:r>
                    <w:rPr>
                      <w:rFonts w:hint="eastAsia"/>
                      <w:sz w:val="21"/>
                      <w:szCs w:val="21"/>
                      <w:highlight w:val="none"/>
                    </w:rPr>
                    <w:t>5</w:t>
                  </w:r>
                </w:p>
              </w:tc>
              <w:tc>
                <w:tcPr>
                  <w:tcW w:w="937" w:type="pct"/>
                  <w:tcBorders>
                    <w:tl2br w:val="nil"/>
                    <w:tr2bl w:val="nil"/>
                  </w:tcBorders>
                  <w:noWrap/>
                  <w:vAlign w:val="center"/>
                </w:tcPr>
                <w:p w14:paraId="3767BA7C">
                  <w:pPr>
                    <w:snapToGrid w:val="0"/>
                    <w:jc w:val="center"/>
                    <w:rPr>
                      <w:rFonts w:hint="eastAsia" w:eastAsia="宋体"/>
                      <w:sz w:val="21"/>
                      <w:szCs w:val="21"/>
                      <w:highlight w:val="none"/>
                      <w:lang w:eastAsia="zh-CN"/>
                    </w:rPr>
                  </w:pPr>
                  <w:r>
                    <w:rPr>
                      <w:sz w:val="21"/>
                      <w:szCs w:val="21"/>
                      <w:highlight w:val="none"/>
                    </w:rPr>
                    <w:t>108</w:t>
                  </w:r>
                  <w:r>
                    <w:rPr>
                      <w:rFonts w:hint="eastAsia"/>
                      <w:sz w:val="21"/>
                      <w:szCs w:val="21"/>
                      <w:highlight w:val="none"/>
                      <w:lang w:val="en-US" w:eastAsia="zh-CN"/>
                    </w:rPr>
                    <w:t>°</w:t>
                  </w:r>
                  <w:r>
                    <w:rPr>
                      <w:sz w:val="21"/>
                      <w:szCs w:val="21"/>
                      <w:highlight w:val="none"/>
                    </w:rPr>
                    <w:t>2</w:t>
                  </w:r>
                  <w:r>
                    <w:rPr>
                      <w:rFonts w:hint="eastAsia"/>
                      <w:sz w:val="21"/>
                      <w:szCs w:val="21"/>
                      <w:highlight w:val="none"/>
                      <w:lang w:eastAsia="zh-CN"/>
                    </w:rPr>
                    <w:t>′</w:t>
                  </w:r>
                  <w:r>
                    <w:rPr>
                      <w:sz w:val="21"/>
                      <w:szCs w:val="21"/>
                      <w:highlight w:val="none"/>
                    </w:rPr>
                    <w:t>'</w:t>
                  </w:r>
                  <w:r>
                    <w:rPr>
                      <w:rFonts w:hint="eastAsia"/>
                      <w:sz w:val="21"/>
                      <w:szCs w:val="21"/>
                      <w:highlight w:val="none"/>
                    </w:rPr>
                    <w:t>58.92</w:t>
                  </w:r>
                  <w:r>
                    <w:rPr>
                      <w:rFonts w:hint="eastAsia"/>
                      <w:sz w:val="21"/>
                      <w:szCs w:val="21"/>
                      <w:highlight w:val="none"/>
                      <w:lang w:eastAsia="zh-CN"/>
                    </w:rPr>
                    <w:t>″</w:t>
                  </w:r>
                </w:p>
              </w:tc>
              <w:tc>
                <w:tcPr>
                  <w:tcW w:w="851" w:type="pct"/>
                  <w:tcBorders>
                    <w:tl2br w:val="nil"/>
                    <w:tr2bl w:val="nil"/>
                  </w:tcBorders>
                  <w:noWrap/>
                  <w:vAlign w:val="center"/>
                </w:tcPr>
                <w:p w14:paraId="588DA9D8">
                  <w:pPr>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lang w:val="en-US" w:eastAsia="zh-CN"/>
                    </w:rPr>
                    <w:t>2</w:t>
                  </w:r>
                  <w:r>
                    <w:rPr>
                      <w:rFonts w:hint="eastAsia"/>
                      <w:sz w:val="21"/>
                      <w:szCs w:val="21"/>
                      <w:highlight w:val="none"/>
                      <w:lang w:eastAsia="zh-CN"/>
                    </w:rPr>
                    <w:t>′</w:t>
                  </w:r>
                  <w:r>
                    <w:rPr>
                      <w:rFonts w:hint="eastAsia"/>
                      <w:sz w:val="21"/>
                      <w:szCs w:val="21"/>
                      <w:highlight w:val="none"/>
                    </w:rPr>
                    <w:t>05.28</w:t>
                  </w:r>
                  <w:r>
                    <w:rPr>
                      <w:rFonts w:hint="eastAsia"/>
                      <w:sz w:val="21"/>
                      <w:szCs w:val="21"/>
                      <w:highlight w:val="none"/>
                      <w:lang w:eastAsia="zh-CN"/>
                    </w:rPr>
                    <w:t>″</w:t>
                  </w:r>
                </w:p>
              </w:tc>
              <w:tc>
                <w:tcPr>
                  <w:tcW w:w="936" w:type="pct"/>
                  <w:tcBorders>
                    <w:tl2br w:val="nil"/>
                    <w:tr2bl w:val="nil"/>
                  </w:tcBorders>
                  <w:noWrap w:val="0"/>
                  <w:vAlign w:val="center"/>
                </w:tcPr>
                <w:p w14:paraId="5463E9FE">
                  <w:pPr>
                    <w:snapToGrid w:val="0"/>
                    <w:jc w:val="center"/>
                    <w:rPr>
                      <w:sz w:val="21"/>
                      <w:szCs w:val="21"/>
                      <w:highlight w:val="none"/>
                    </w:rPr>
                  </w:pPr>
                  <w:r>
                    <w:rPr>
                      <w:sz w:val="21"/>
                      <w:szCs w:val="21"/>
                      <w:highlight w:val="none"/>
                    </w:rPr>
                    <w:t>微黄无味</w:t>
                  </w:r>
                  <w:r>
                    <w:rPr>
                      <w:rFonts w:hint="eastAsia"/>
                      <w:sz w:val="21"/>
                      <w:szCs w:val="21"/>
                      <w:highlight w:val="none"/>
                    </w:rPr>
                    <w:t>微</w:t>
                  </w:r>
                  <w:r>
                    <w:rPr>
                      <w:sz w:val="21"/>
                      <w:szCs w:val="21"/>
                      <w:highlight w:val="none"/>
                    </w:rPr>
                    <w:t>浑</w:t>
                  </w:r>
                </w:p>
              </w:tc>
              <w:tc>
                <w:tcPr>
                  <w:tcW w:w="341" w:type="pct"/>
                  <w:tcBorders>
                    <w:tl2br w:val="nil"/>
                    <w:tr2bl w:val="nil"/>
                  </w:tcBorders>
                  <w:noWrap/>
                  <w:vAlign w:val="center"/>
                </w:tcPr>
                <w:p w14:paraId="1B475334">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199F762A">
                  <w:pPr>
                    <w:snapToGrid w:val="0"/>
                    <w:jc w:val="center"/>
                    <w:rPr>
                      <w:sz w:val="21"/>
                      <w:szCs w:val="21"/>
                      <w:highlight w:val="none"/>
                    </w:rPr>
                  </w:pPr>
                  <w:r>
                    <w:rPr>
                      <w:sz w:val="21"/>
                      <w:szCs w:val="21"/>
                      <w:highlight w:val="none"/>
                    </w:rPr>
                    <w:t>监测井</w:t>
                  </w:r>
                </w:p>
              </w:tc>
              <w:tc>
                <w:tcPr>
                  <w:tcW w:w="739" w:type="pct"/>
                  <w:vMerge w:val="continue"/>
                  <w:tcBorders>
                    <w:tl2br w:val="nil"/>
                    <w:tr2bl w:val="nil"/>
                  </w:tcBorders>
                  <w:noWrap w:val="0"/>
                  <w:vAlign w:val="center"/>
                </w:tcPr>
                <w:p w14:paraId="178597DB">
                  <w:pPr>
                    <w:snapToGrid w:val="0"/>
                    <w:jc w:val="center"/>
                    <w:rPr>
                      <w:sz w:val="21"/>
                      <w:szCs w:val="21"/>
                      <w:highlight w:val="none"/>
                    </w:rPr>
                  </w:pPr>
                </w:p>
              </w:tc>
            </w:tr>
            <w:tr w14:paraId="7F43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0FF761E9">
                  <w:pPr>
                    <w:jc w:val="center"/>
                    <w:rPr>
                      <w:sz w:val="21"/>
                      <w:szCs w:val="21"/>
                      <w:highlight w:val="none"/>
                    </w:rPr>
                  </w:pPr>
                  <w:r>
                    <w:rPr>
                      <w:sz w:val="21"/>
                      <w:szCs w:val="21"/>
                      <w:highlight w:val="none"/>
                    </w:rPr>
                    <w:t>JC</w:t>
                  </w:r>
                  <w:r>
                    <w:rPr>
                      <w:rFonts w:hint="eastAsia"/>
                      <w:sz w:val="21"/>
                      <w:szCs w:val="21"/>
                      <w:highlight w:val="none"/>
                    </w:rPr>
                    <w:t>6</w:t>
                  </w:r>
                </w:p>
              </w:tc>
              <w:tc>
                <w:tcPr>
                  <w:tcW w:w="937" w:type="pct"/>
                  <w:tcBorders>
                    <w:tl2br w:val="nil"/>
                    <w:tr2bl w:val="nil"/>
                  </w:tcBorders>
                  <w:noWrap/>
                  <w:vAlign w:val="center"/>
                </w:tcPr>
                <w:p w14:paraId="1A01A063">
                  <w:pPr>
                    <w:adjustRightInd w:val="0"/>
                    <w:snapToGrid w:val="0"/>
                    <w:jc w:val="center"/>
                    <w:rPr>
                      <w:rFonts w:hint="eastAsia" w:eastAsia="宋体"/>
                      <w:sz w:val="21"/>
                      <w:szCs w:val="21"/>
                      <w:highlight w:val="none"/>
                      <w:lang w:eastAsia="zh-CN"/>
                    </w:rPr>
                  </w:pPr>
                  <w:r>
                    <w:rPr>
                      <w:sz w:val="21"/>
                      <w:szCs w:val="21"/>
                      <w:highlight w:val="none"/>
                    </w:rPr>
                    <w:t>108</w:t>
                  </w:r>
                  <w:r>
                    <w:rPr>
                      <w:rFonts w:hint="eastAsia"/>
                      <w:sz w:val="21"/>
                      <w:szCs w:val="21"/>
                      <w:highlight w:val="none"/>
                      <w:lang w:val="en-US" w:eastAsia="zh-CN"/>
                    </w:rPr>
                    <w:t>°</w:t>
                  </w:r>
                  <w:r>
                    <w:rPr>
                      <w:rFonts w:hint="eastAsia"/>
                      <w:sz w:val="21"/>
                      <w:szCs w:val="21"/>
                      <w:highlight w:val="none"/>
                    </w:rPr>
                    <w:t>30</w:t>
                  </w:r>
                  <w:r>
                    <w:rPr>
                      <w:rFonts w:hint="eastAsia"/>
                      <w:sz w:val="21"/>
                      <w:szCs w:val="21"/>
                      <w:highlight w:val="none"/>
                      <w:lang w:eastAsia="zh-CN"/>
                    </w:rPr>
                    <w:t>′</w:t>
                  </w:r>
                  <w:r>
                    <w:rPr>
                      <w:rFonts w:hint="eastAsia"/>
                      <w:sz w:val="21"/>
                      <w:szCs w:val="21"/>
                      <w:highlight w:val="none"/>
                    </w:rPr>
                    <w:t>20.01</w:t>
                  </w:r>
                  <w:r>
                    <w:rPr>
                      <w:rFonts w:hint="eastAsia"/>
                      <w:sz w:val="21"/>
                      <w:szCs w:val="21"/>
                      <w:highlight w:val="none"/>
                      <w:lang w:eastAsia="zh-CN"/>
                    </w:rPr>
                    <w:t>″</w:t>
                  </w:r>
                </w:p>
              </w:tc>
              <w:tc>
                <w:tcPr>
                  <w:tcW w:w="851" w:type="pct"/>
                  <w:tcBorders>
                    <w:tl2br w:val="nil"/>
                    <w:tr2bl w:val="nil"/>
                  </w:tcBorders>
                  <w:noWrap/>
                  <w:vAlign w:val="center"/>
                </w:tcPr>
                <w:p w14:paraId="73EE319A">
                  <w:pPr>
                    <w:adjustRightInd w:val="0"/>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rFonts w:hint="eastAsia"/>
                      <w:sz w:val="21"/>
                      <w:szCs w:val="21"/>
                      <w:highlight w:val="none"/>
                    </w:rPr>
                    <w:t>02</w:t>
                  </w:r>
                  <w:r>
                    <w:rPr>
                      <w:rFonts w:hint="eastAsia"/>
                      <w:sz w:val="21"/>
                      <w:szCs w:val="21"/>
                      <w:highlight w:val="none"/>
                      <w:lang w:eastAsia="zh-CN"/>
                    </w:rPr>
                    <w:t>′</w:t>
                  </w:r>
                  <w:r>
                    <w:rPr>
                      <w:rFonts w:hint="eastAsia"/>
                      <w:sz w:val="21"/>
                      <w:szCs w:val="21"/>
                      <w:highlight w:val="none"/>
                    </w:rPr>
                    <w:t>24.63</w:t>
                  </w:r>
                  <w:r>
                    <w:rPr>
                      <w:rFonts w:hint="eastAsia"/>
                      <w:sz w:val="21"/>
                      <w:szCs w:val="21"/>
                      <w:highlight w:val="none"/>
                      <w:lang w:eastAsia="zh-CN"/>
                    </w:rPr>
                    <w:t>″</w:t>
                  </w:r>
                </w:p>
              </w:tc>
              <w:tc>
                <w:tcPr>
                  <w:tcW w:w="936" w:type="pct"/>
                  <w:tcBorders>
                    <w:tl2br w:val="nil"/>
                    <w:tr2bl w:val="nil"/>
                  </w:tcBorders>
                  <w:noWrap w:val="0"/>
                  <w:vAlign w:val="center"/>
                </w:tcPr>
                <w:p w14:paraId="4402E18D">
                  <w:pPr>
                    <w:snapToGrid w:val="0"/>
                    <w:jc w:val="center"/>
                    <w:rPr>
                      <w:sz w:val="21"/>
                      <w:szCs w:val="21"/>
                      <w:highlight w:val="none"/>
                    </w:rPr>
                  </w:pPr>
                  <w:r>
                    <w:rPr>
                      <w:rFonts w:hint="eastAsia"/>
                      <w:sz w:val="21"/>
                      <w:szCs w:val="21"/>
                      <w:highlight w:val="none"/>
                    </w:rPr>
                    <w:t>无色</w:t>
                  </w:r>
                  <w:r>
                    <w:rPr>
                      <w:sz w:val="21"/>
                      <w:szCs w:val="21"/>
                      <w:highlight w:val="none"/>
                    </w:rPr>
                    <w:t>无味清澈</w:t>
                  </w:r>
                </w:p>
              </w:tc>
              <w:tc>
                <w:tcPr>
                  <w:tcW w:w="341" w:type="pct"/>
                  <w:tcBorders>
                    <w:tl2br w:val="nil"/>
                    <w:tr2bl w:val="nil"/>
                  </w:tcBorders>
                  <w:noWrap/>
                  <w:vAlign w:val="center"/>
                </w:tcPr>
                <w:p w14:paraId="1A158F96">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4BC57872">
                  <w:pPr>
                    <w:snapToGrid w:val="0"/>
                    <w:jc w:val="center"/>
                    <w:rPr>
                      <w:sz w:val="21"/>
                      <w:szCs w:val="21"/>
                      <w:highlight w:val="none"/>
                    </w:rPr>
                  </w:pPr>
                  <w:r>
                    <w:rPr>
                      <w:sz w:val="21"/>
                      <w:szCs w:val="21"/>
                      <w:highlight w:val="none"/>
                    </w:rPr>
                    <w:t>监测井</w:t>
                  </w:r>
                </w:p>
              </w:tc>
              <w:tc>
                <w:tcPr>
                  <w:tcW w:w="739" w:type="pct"/>
                  <w:vMerge w:val="continue"/>
                  <w:tcBorders>
                    <w:tl2br w:val="nil"/>
                    <w:tr2bl w:val="nil"/>
                  </w:tcBorders>
                  <w:noWrap w:val="0"/>
                  <w:vAlign w:val="center"/>
                </w:tcPr>
                <w:p w14:paraId="4157130D">
                  <w:pPr>
                    <w:snapToGrid w:val="0"/>
                    <w:jc w:val="center"/>
                    <w:rPr>
                      <w:sz w:val="21"/>
                      <w:szCs w:val="21"/>
                      <w:highlight w:val="none"/>
                    </w:rPr>
                  </w:pPr>
                </w:p>
              </w:tc>
            </w:tr>
            <w:tr w14:paraId="0202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0017E5C4">
                  <w:pPr>
                    <w:jc w:val="center"/>
                    <w:rPr>
                      <w:sz w:val="21"/>
                      <w:szCs w:val="21"/>
                      <w:highlight w:val="none"/>
                    </w:rPr>
                  </w:pPr>
                  <w:r>
                    <w:rPr>
                      <w:sz w:val="21"/>
                      <w:szCs w:val="21"/>
                      <w:highlight w:val="none"/>
                    </w:rPr>
                    <w:t>JC</w:t>
                  </w:r>
                  <w:r>
                    <w:rPr>
                      <w:rFonts w:hint="eastAsia"/>
                      <w:sz w:val="21"/>
                      <w:szCs w:val="21"/>
                      <w:highlight w:val="none"/>
                    </w:rPr>
                    <w:t>7</w:t>
                  </w:r>
                </w:p>
              </w:tc>
              <w:tc>
                <w:tcPr>
                  <w:tcW w:w="937" w:type="pct"/>
                  <w:tcBorders>
                    <w:tl2br w:val="nil"/>
                    <w:tr2bl w:val="nil"/>
                  </w:tcBorders>
                  <w:noWrap/>
                  <w:vAlign w:val="center"/>
                </w:tcPr>
                <w:p w14:paraId="0895F523">
                  <w:pPr>
                    <w:adjustRightInd w:val="0"/>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rFonts w:hint="eastAsia"/>
                      <w:sz w:val="21"/>
                      <w:szCs w:val="21"/>
                      <w:highlight w:val="none"/>
                    </w:rPr>
                    <w:t>29</w:t>
                  </w:r>
                  <w:r>
                    <w:rPr>
                      <w:rFonts w:hint="eastAsia"/>
                      <w:sz w:val="21"/>
                      <w:szCs w:val="21"/>
                      <w:highlight w:val="none"/>
                      <w:lang w:eastAsia="zh-CN"/>
                    </w:rPr>
                    <w:t>′</w:t>
                  </w:r>
                  <w:r>
                    <w:rPr>
                      <w:rFonts w:hint="eastAsia"/>
                      <w:sz w:val="21"/>
                      <w:szCs w:val="21"/>
                      <w:highlight w:val="none"/>
                    </w:rPr>
                    <w:t>44.52</w:t>
                  </w:r>
                  <w:r>
                    <w:rPr>
                      <w:rFonts w:hint="eastAsia"/>
                      <w:sz w:val="21"/>
                      <w:szCs w:val="21"/>
                      <w:highlight w:val="none"/>
                      <w:lang w:eastAsia="zh-CN"/>
                    </w:rPr>
                    <w:t>″</w:t>
                  </w:r>
                </w:p>
              </w:tc>
              <w:tc>
                <w:tcPr>
                  <w:tcW w:w="851" w:type="pct"/>
                  <w:tcBorders>
                    <w:tl2br w:val="nil"/>
                    <w:tr2bl w:val="nil"/>
                  </w:tcBorders>
                  <w:noWrap/>
                  <w:vAlign w:val="center"/>
                </w:tcPr>
                <w:p w14:paraId="0A284FD3">
                  <w:pPr>
                    <w:adjustRightInd w:val="0"/>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w:t>
                  </w:r>
                  <w:r>
                    <w:rPr>
                      <w:rFonts w:hint="eastAsia"/>
                      <w:sz w:val="21"/>
                      <w:szCs w:val="21"/>
                      <w:highlight w:val="none"/>
                    </w:rPr>
                    <w:t>2</w:t>
                  </w:r>
                  <w:r>
                    <w:rPr>
                      <w:rFonts w:hint="eastAsia"/>
                      <w:sz w:val="21"/>
                      <w:szCs w:val="21"/>
                      <w:highlight w:val="none"/>
                      <w:lang w:eastAsia="zh-CN"/>
                    </w:rPr>
                    <w:t>′</w:t>
                  </w:r>
                  <w:r>
                    <w:rPr>
                      <w:rFonts w:hint="eastAsia"/>
                      <w:sz w:val="21"/>
                      <w:szCs w:val="21"/>
                      <w:highlight w:val="none"/>
                    </w:rPr>
                    <w:t>06.00</w:t>
                  </w:r>
                  <w:r>
                    <w:rPr>
                      <w:rFonts w:hint="eastAsia"/>
                      <w:sz w:val="21"/>
                      <w:szCs w:val="21"/>
                      <w:highlight w:val="none"/>
                      <w:lang w:eastAsia="zh-CN"/>
                    </w:rPr>
                    <w:t>″</w:t>
                  </w:r>
                </w:p>
              </w:tc>
              <w:tc>
                <w:tcPr>
                  <w:tcW w:w="936" w:type="pct"/>
                  <w:tcBorders>
                    <w:tl2br w:val="nil"/>
                    <w:tr2bl w:val="nil"/>
                  </w:tcBorders>
                  <w:noWrap w:val="0"/>
                  <w:vAlign w:val="center"/>
                </w:tcPr>
                <w:p w14:paraId="1BE2C04A">
                  <w:pPr>
                    <w:snapToGrid w:val="0"/>
                    <w:jc w:val="center"/>
                    <w:rPr>
                      <w:sz w:val="21"/>
                      <w:szCs w:val="21"/>
                      <w:highlight w:val="none"/>
                    </w:rPr>
                  </w:pPr>
                  <w:r>
                    <w:rPr>
                      <w:sz w:val="21"/>
                      <w:szCs w:val="21"/>
                      <w:highlight w:val="none"/>
                    </w:rPr>
                    <w:t>微黄无味</w:t>
                  </w:r>
                  <w:r>
                    <w:rPr>
                      <w:rFonts w:hint="eastAsia"/>
                      <w:sz w:val="21"/>
                      <w:szCs w:val="21"/>
                      <w:highlight w:val="none"/>
                    </w:rPr>
                    <w:t>浑浊</w:t>
                  </w:r>
                </w:p>
              </w:tc>
              <w:tc>
                <w:tcPr>
                  <w:tcW w:w="341" w:type="pct"/>
                  <w:tcBorders>
                    <w:tl2br w:val="nil"/>
                    <w:tr2bl w:val="nil"/>
                  </w:tcBorders>
                  <w:noWrap/>
                  <w:vAlign w:val="center"/>
                </w:tcPr>
                <w:p w14:paraId="0CC83A06">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5A59EC71">
                  <w:pPr>
                    <w:snapToGrid w:val="0"/>
                    <w:jc w:val="center"/>
                    <w:rPr>
                      <w:sz w:val="21"/>
                      <w:szCs w:val="21"/>
                      <w:highlight w:val="none"/>
                    </w:rPr>
                  </w:pPr>
                  <w:r>
                    <w:rPr>
                      <w:sz w:val="21"/>
                      <w:szCs w:val="21"/>
                      <w:highlight w:val="none"/>
                    </w:rPr>
                    <w:t>监测井</w:t>
                  </w:r>
                </w:p>
              </w:tc>
              <w:tc>
                <w:tcPr>
                  <w:tcW w:w="739" w:type="pct"/>
                  <w:vMerge w:val="continue"/>
                  <w:tcBorders>
                    <w:tl2br w:val="nil"/>
                    <w:tr2bl w:val="nil"/>
                  </w:tcBorders>
                  <w:noWrap w:val="0"/>
                  <w:vAlign w:val="center"/>
                </w:tcPr>
                <w:p w14:paraId="69CB126F">
                  <w:pPr>
                    <w:snapToGrid w:val="0"/>
                    <w:jc w:val="center"/>
                    <w:rPr>
                      <w:sz w:val="21"/>
                      <w:szCs w:val="21"/>
                      <w:highlight w:val="none"/>
                    </w:rPr>
                  </w:pPr>
                </w:p>
              </w:tc>
            </w:tr>
            <w:tr w14:paraId="26EA0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14" w:type="pct"/>
                  <w:tcBorders>
                    <w:tl2br w:val="nil"/>
                    <w:tr2bl w:val="nil"/>
                  </w:tcBorders>
                  <w:noWrap w:val="0"/>
                  <w:vAlign w:val="center"/>
                </w:tcPr>
                <w:p w14:paraId="1CE39A18">
                  <w:pPr>
                    <w:jc w:val="center"/>
                    <w:rPr>
                      <w:sz w:val="21"/>
                      <w:szCs w:val="21"/>
                      <w:highlight w:val="none"/>
                    </w:rPr>
                  </w:pPr>
                  <w:r>
                    <w:rPr>
                      <w:sz w:val="21"/>
                      <w:szCs w:val="21"/>
                      <w:highlight w:val="none"/>
                    </w:rPr>
                    <w:t>JC</w:t>
                  </w:r>
                  <w:r>
                    <w:rPr>
                      <w:rFonts w:hint="eastAsia"/>
                      <w:sz w:val="21"/>
                      <w:szCs w:val="21"/>
                      <w:highlight w:val="none"/>
                    </w:rPr>
                    <w:t>8</w:t>
                  </w:r>
                </w:p>
              </w:tc>
              <w:tc>
                <w:tcPr>
                  <w:tcW w:w="937" w:type="pct"/>
                  <w:tcBorders>
                    <w:tl2br w:val="nil"/>
                    <w:tr2bl w:val="nil"/>
                  </w:tcBorders>
                  <w:noWrap/>
                  <w:vAlign w:val="center"/>
                </w:tcPr>
                <w:p w14:paraId="44BCA4F7">
                  <w:pPr>
                    <w:adjustRightInd w:val="0"/>
                    <w:snapToGrid w:val="0"/>
                    <w:jc w:val="center"/>
                    <w:rPr>
                      <w:sz w:val="21"/>
                      <w:szCs w:val="21"/>
                      <w:highlight w:val="none"/>
                    </w:rPr>
                  </w:pPr>
                  <w:r>
                    <w:rPr>
                      <w:sz w:val="21"/>
                      <w:szCs w:val="21"/>
                      <w:highlight w:val="none"/>
                    </w:rPr>
                    <w:t>108</w:t>
                  </w:r>
                  <w:r>
                    <w:rPr>
                      <w:rFonts w:hint="eastAsia"/>
                      <w:sz w:val="21"/>
                      <w:szCs w:val="21"/>
                      <w:highlight w:val="none"/>
                      <w:lang w:val="en-US" w:eastAsia="zh-CN"/>
                    </w:rPr>
                    <w:t>°</w:t>
                  </w:r>
                  <w:r>
                    <w:rPr>
                      <w:sz w:val="21"/>
                      <w:szCs w:val="21"/>
                      <w:highlight w:val="none"/>
                    </w:rPr>
                    <w:t>29</w:t>
                  </w:r>
                  <w:r>
                    <w:rPr>
                      <w:rFonts w:hint="eastAsia"/>
                      <w:sz w:val="21"/>
                      <w:szCs w:val="21"/>
                      <w:highlight w:val="none"/>
                      <w:lang w:eastAsia="zh-CN"/>
                    </w:rPr>
                    <w:t>′</w:t>
                  </w:r>
                  <w:r>
                    <w:rPr>
                      <w:rFonts w:hint="eastAsia"/>
                      <w:sz w:val="21"/>
                      <w:szCs w:val="21"/>
                      <w:highlight w:val="none"/>
                    </w:rPr>
                    <w:t>24.00</w:t>
                  </w:r>
                  <w:r>
                    <w:rPr>
                      <w:rFonts w:hint="eastAsia"/>
                      <w:sz w:val="21"/>
                      <w:szCs w:val="21"/>
                      <w:highlight w:val="none"/>
                      <w:lang w:eastAsia="zh-CN"/>
                    </w:rPr>
                    <w:t>″</w:t>
                  </w:r>
                </w:p>
              </w:tc>
              <w:tc>
                <w:tcPr>
                  <w:tcW w:w="851" w:type="pct"/>
                  <w:tcBorders>
                    <w:tl2br w:val="nil"/>
                    <w:tr2bl w:val="nil"/>
                  </w:tcBorders>
                  <w:noWrap/>
                  <w:vAlign w:val="center"/>
                </w:tcPr>
                <w:p w14:paraId="52C223B0">
                  <w:pPr>
                    <w:adjustRightInd w:val="0"/>
                    <w:snapToGrid w:val="0"/>
                    <w:jc w:val="center"/>
                    <w:rPr>
                      <w:sz w:val="21"/>
                      <w:szCs w:val="21"/>
                      <w:highlight w:val="none"/>
                    </w:rPr>
                  </w:pPr>
                  <w:r>
                    <w:rPr>
                      <w:sz w:val="21"/>
                      <w:szCs w:val="21"/>
                      <w:highlight w:val="none"/>
                    </w:rPr>
                    <w:t>40</w:t>
                  </w:r>
                  <w:r>
                    <w:rPr>
                      <w:rFonts w:hint="eastAsia"/>
                      <w:sz w:val="21"/>
                      <w:szCs w:val="21"/>
                      <w:highlight w:val="none"/>
                      <w:lang w:val="en-US" w:eastAsia="zh-CN"/>
                    </w:rPr>
                    <w:t>°</w:t>
                  </w:r>
                  <w:r>
                    <w:rPr>
                      <w:sz w:val="21"/>
                      <w:szCs w:val="21"/>
                      <w:highlight w:val="none"/>
                    </w:rPr>
                    <w:t>01</w:t>
                  </w:r>
                  <w:r>
                    <w:rPr>
                      <w:rFonts w:hint="eastAsia"/>
                      <w:sz w:val="21"/>
                      <w:szCs w:val="21"/>
                      <w:highlight w:val="none"/>
                      <w:lang w:eastAsia="zh-CN"/>
                    </w:rPr>
                    <w:t>′</w:t>
                  </w:r>
                  <w:r>
                    <w:rPr>
                      <w:rFonts w:hint="eastAsia"/>
                      <w:sz w:val="21"/>
                      <w:szCs w:val="21"/>
                      <w:highlight w:val="none"/>
                    </w:rPr>
                    <w:t>51.60</w:t>
                  </w:r>
                  <w:r>
                    <w:rPr>
                      <w:rFonts w:hint="eastAsia"/>
                      <w:sz w:val="21"/>
                      <w:szCs w:val="21"/>
                      <w:highlight w:val="none"/>
                      <w:lang w:eastAsia="zh-CN"/>
                    </w:rPr>
                    <w:t>″</w:t>
                  </w:r>
                </w:p>
              </w:tc>
              <w:tc>
                <w:tcPr>
                  <w:tcW w:w="936" w:type="pct"/>
                  <w:tcBorders>
                    <w:tl2br w:val="nil"/>
                    <w:tr2bl w:val="nil"/>
                  </w:tcBorders>
                  <w:noWrap w:val="0"/>
                  <w:vAlign w:val="center"/>
                </w:tcPr>
                <w:p w14:paraId="13F96CB6">
                  <w:pPr>
                    <w:snapToGrid w:val="0"/>
                    <w:jc w:val="center"/>
                    <w:rPr>
                      <w:sz w:val="21"/>
                      <w:szCs w:val="21"/>
                      <w:highlight w:val="none"/>
                    </w:rPr>
                  </w:pPr>
                  <w:r>
                    <w:rPr>
                      <w:sz w:val="21"/>
                      <w:szCs w:val="21"/>
                      <w:highlight w:val="none"/>
                    </w:rPr>
                    <w:t>微黄无味清澈</w:t>
                  </w:r>
                </w:p>
              </w:tc>
              <w:tc>
                <w:tcPr>
                  <w:tcW w:w="341" w:type="pct"/>
                  <w:tcBorders>
                    <w:tl2br w:val="nil"/>
                    <w:tr2bl w:val="nil"/>
                  </w:tcBorders>
                  <w:noWrap/>
                  <w:vAlign w:val="center"/>
                </w:tcPr>
                <w:p w14:paraId="2C00C4E2">
                  <w:pPr>
                    <w:snapToGrid w:val="0"/>
                    <w:jc w:val="center"/>
                    <w:rPr>
                      <w:sz w:val="21"/>
                      <w:szCs w:val="21"/>
                      <w:highlight w:val="none"/>
                    </w:rPr>
                  </w:pPr>
                  <w:r>
                    <w:rPr>
                      <w:sz w:val="21"/>
                      <w:szCs w:val="21"/>
                      <w:highlight w:val="none"/>
                    </w:rPr>
                    <w:t>30</w:t>
                  </w:r>
                </w:p>
              </w:tc>
              <w:tc>
                <w:tcPr>
                  <w:tcW w:w="681" w:type="pct"/>
                  <w:tcBorders>
                    <w:tl2br w:val="nil"/>
                    <w:tr2bl w:val="nil"/>
                  </w:tcBorders>
                  <w:noWrap/>
                  <w:vAlign w:val="center"/>
                </w:tcPr>
                <w:p w14:paraId="531DCB8E">
                  <w:pPr>
                    <w:snapToGrid w:val="0"/>
                    <w:jc w:val="center"/>
                    <w:rPr>
                      <w:sz w:val="21"/>
                      <w:szCs w:val="21"/>
                      <w:highlight w:val="none"/>
                    </w:rPr>
                  </w:pPr>
                  <w:r>
                    <w:rPr>
                      <w:sz w:val="21"/>
                      <w:szCs w:val="21"/>
                      <w:highlight w:val="none"/>
                    </w:rPr>
                    <w:t>监测井</w:t>
                  </w:r>
                </w:p>
              </w:tc>
              <w:tc>
                <w:tcPr>
                  <w:tcW w:w="739" w:type="pct"/>
                  <w:vMerge w:val="continue"/>
                  <w:tcBorders>
                    <w:tl2br w:val="nil"/>
                    <w:tr2bl w:val="nil"/>
                  </w:tcBorders>
                  <w:noWrap w:val="0"/>
                  <w:vAlign w:val="center"/>
                </w:tcPr>
                <w:p w14:paraId="0F9F5DC2">
                  <w:pPr>
                    <w:snapToGrid w:val="0"/>
                    <w:jc w:val="center"/>
                    <w:rPr>
                      <w:sz w:val="21"/>
                      <w:szCs w:val="21"/>
                      <w:highlight w:val="none"/>
                    </w:rPr>
                  </w:pPr>
                </w:p>
              </w:tc>
            </w:tr>
            <w:bookmarkEnd w:id="7"/>
          </w:tbl>
          <w:p w14:paraId="79516BE5">
            <w:pPr>
              <w:jc w:val="center"/>
              <w:rPr>
                <w:rFonts w:hint="eastAsia"/>
                <w:b/>
                <w:szCs w:val="21"/>
                <w:highlight w:val="none"/>
              </w:rPr>
            </w:pPr>
            <w:bookmarkStart w:id="8" w:name="OLE_LINK2"/>
            <w:bookmarkStart w:id="9" w:name="OLE_LINK1"/>
            <w:r>
              <w:rPr>
                <w:b/>
                <w:szCs w:val="21"/>
                <w:highlight w:val="none"/>
              </w:rPr>
              <w:drawing>
                <wp:inline distT="0" distB="0" distL="114300" distR="114300">
                  <wp:extent cx="4794250" cy="2623820"/>
                  <wp:effectExtent l="0" t="0" r="6350" b="5080"/>
                  <wp:docPr id="6" name="图片 113" descr="现状监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3" descr="现状监测"/>
                          <pic:cNvPicPr>
                            <a:picLocks noChangeAspect="1"/>
                          </pic:cNvPicPr>
                        </pic:nvPicPr>
                        <pic:blipFill>
                          <a:blip r:embed="rId22"/>
                          <a:stretch>
                            <a:fillRect/>
                          </a:stretch>
                        </pic:blipFill>
                        <pic:spPr>
                          <a:xfrm>
                            <a:off x="0" y="0"/>
                            <a:ext cx="4794250" cy="2623820"/>
                          </a:xfrm>
                          <a:prstGeom prst="rect">
                            <a:avLst/>
                          </a:prstGeom>
                          <a:noFill/>
                          <a:ln>
                            <a:noFill/>
                          </a:ln>
                        </pic:spPr>
                      </pic:pic>
                    </a:graphicData>
                  </a:graphic>
                </wp:inline>
              </w:drawing>
            </w:r>
          </w:p>
          <w:p w14:paraId="420C5E87">
            <w:pPr>
              <w:jc w:val="center"/>
              <w:rPr>
                <w:rFonts w:hint="eastAsia"/>
                <w:b/>
                <w:szCs w:val="21"/>
                <w:highlight w:val="none"/>
              </w:rPr>
            </w:pPr>
            <w:r>
              <w:rPr>
                <w:b/>
                <w:szCs w:val="21"/>
                <w:highlight w:val="none"/>
              </w:rPr>
              <w:t>图</w:t>
            </w:r>
            <w:r>
              <w:rPr>
                <w:rFonts w:hint="eastAsia"/>
                <w:b/>
                <w:szCs w:val="21"/>
                <w:highlight w:val="none"/>
                <w:lang w:val="en-US" w:eastAsia="zh-CN"/>
              </w:rPr>
              <w:t>3</w:t>
            </w:r>
            <w:r>
              <w:rPr>
                <w:rFonts w:hint="eastAsia"/>
                <w:b/>
                <w:szCs w:val="21"/>
                <w:highlight w:val="none"/>
              </w:rPr>
              <w:t>-1</w:t>
            </w:r>
            <w:bookmarkEnd w:id="8"/>
            <w:bookmarkEnd w:id="9"/>
            <w:r>
              <w:rPr>
                <w:rFonts w:hint="eastAsia"/>
                <w:b/>
                <w:szCs w:val="21"/>
                <w:highlight w:val="none"/>
                <w:lang w:eastAsia="zh-CN"/>
              </w:rPr>
              <w:t>：</w:t>
            </w:r>
            <w:r>
              <w:rPr>
                <w:b/>
                <w:szCs w:val="21"/>
                <w:highlight w:val="none"/>
              </w:rPr>
              <w:t>地下水水质监测布点分布示意图</w:t>
            </w:r>
          </w:p>
          <w:p w14:paraId="6AD320FE">
            <w:pPr>
              <w:snapToGrid w:val="0"/>
              <w:spacing w:line="360" w:lineRule="auto"/>
              <w:ind w:firstLine="482"/>
              <w:rPr>
                <w:sz w:val="24"/>
                <w:highlight w:val="none"/>
              </w:rPr>
            </w:pPr>
            <w:r>
              <w:rPr>
                <w:rFonts w:hint="eastAsia"/>
                <w:sz w:val="24"/>
                <w:highlight w:val="none"/>
                <w:lang w:val="en-US" w:eastAsia="zh-CN"/>
              </w:rPr>
              <w:t>4.2</w:t>
            </w:r>
            <w:r>
              <w:rPr>
                <w:sz w:val="24"/>
                <w:highlight w:val="none"/>
              </w:rPr>
              <w:t>监测项目</w:t>
            </w:r>
          </w:p>
          <w:p w14:paraId="054E98A4">
            <w:pPr>
              <w:snapToGrid w:val="0"/>
              <w:spacing w:line="360" w:lineRule="auto"/>
              <w:ind w:firstLine="482"/>
              <w:rPr>
                <w:sz w:val="24"/>
                <w:highlight w:val="none"/>
              </w:rPr>
            </w:pPr>
            <w:r>
              <w:rPr>
                <w:sz w:val="24"/>
                <w:highlight w:val="none"/>
              </w:rPr>
              <w:t>高锰酸盐指数（耗氧量）、氯化物、氟化物、硝酸盐氮、亚硝酸盐氮、硫酸盐、氨氮、苯、臭和味、钙、钙和镁总量、镉、汞、挥发酚、甲苯、甲基汞、钾、间对-二甲苯、邻二甲苯、硫化物、六价铬、铝、锰、钠、铅、氰化物、溶解性总固体、色度、砷、铁、铜、五日生化需氧量、硒、锌、乙苯、乙基汞、阴离子表面活性剂、pH值、肉眼可见物、浊度、石油类</w:t>
            </w:r>
            <w:r>
              <w:rPr>
                <w:rFonts w:hint="eastAsia"/>
                <w:sz w:val="24"/>
                <w:highlight w:val="none"/>
                <w:lang w:eastAsia="zh-CN"/>
              </w:rPr>
              <w:t>等</w:t>
            </w:r>
            <w:r>
              <w:rPr>
                <w:sz w:val="24"/>
                <w:highlight w:val="none"/>
              </w:rPr>
              <w:t>。</w:t>
            </w:r>
          </w:p>
          <w:p w14:paraId="56E7C30D">
            <w:pPr>
              <w:snapToGrid w:val="0"/>
              <w:spacing w:line="360" w:lineRule="auto"/>
              <w:ind w:firstLine="482"/>
              <w:rPr>
                <w:sz w:val="24"/>
                <w:highlight w:val="none"/>
              </w:rPr>
            </w:pPr>
            <w:r>
              <w:rPr>
                <w:rFonts w:hint="eastAsia"/>
                <w:sz w:val="24"/>
                <w:highlight w:val="none"/>
                <w:lang w:val="en-US" w:eastAsia="zh-CN"/>
              </w:rPr>
              <w:t>4.3</w:t>
            </w:r>
            <w:r>
              <w:rPr>
                <w:sz w:val="24"/>
                <w:highlight w:val="none"/>
              </w:rPr>
              <w:t>监测及评价结果</w:t>
            </w:r>
          </w:p>
          <w:p w14:paraId="51A1AFE1">
            <w:pPr>
              <w:snapToGrid w:val="0"/>
              <w:spacing w:line="360" w:lineRule="auto"/>
              <w:ind w:firstLine="482"/>
              <w:rPr>
                <w:sz w:val="24"/>
                <w:highlight w:val="none"/>
              </w:rPr>
            </w:pPr>
            <w:r>
              <w:rPr>
                <w:sz w:val="24"/>
                <w:highlight w:val="none"/>
              </w:rPr>
              <w:t>采用的评价方法为单因子指数法，采用的标准为《地下水质量标准》（GB/T14848-2017）Ⅲ类标准值，石油类、五日生化需氧量参考《地表水环境质量标准》（GB3838-2002）Ⅲ类标准值。</w:t>
            </w:r>
          </w:p>
          <w:p w14:paraId="505134AA">
            <w:pPr>
              <w:snapToGrid w:val="0"/>
              <w:spacing w:line="360" w:lineRule="auto"/>
              <w:ind w:firstLine="480" w:firstLineChars="200"/>
              <w:rPr>
                <w:rFonts w:hint="eastAsia"/>
                <w:highlight w:val="none"/>
                <w:lang w:eastAsia="zh-CN"/>
              </w:rPr>
            </w:pPr>
            <w:r>
              <w:rPr>
                <w:sz w:val="24"/>
                <w:highlight w:val="none"/>
              </w:rPr>
              <w:t>由监测结果可知，7个点位浊度均超标（超标倍数0.9-17），6个点位溶解性总固体超标（超标倍数0.52-1.45），7个点位钠均超标（超标倍数0.735-3.13），6个点位氟化物超标（超标倍数0.45-2.94），5个点位氯化物超标（超标倍数0.264-0.972），3个点位耗氧量超标（超标倍数0.133-0.23），1个点位硝酸盐氮超标（超标倍数0.33），6个点位硫酸盐超标（超标倍数0.528-1.448）。通过查阅2024年4个季度的《内蒙古伊泰化工有限责任公司地下水自行检测报告》，浑浊度、高锰酸盐指数（耗氧量）普遍超标，分析可能与成井工艺、地层含沙量较高有关。钠、氟化物、溶解性总固体、硫酸盐、氯化物</w:t>
            </w:r>
            <w:r>
              <w:rPr>
                <w:rFonts w:hint="eastAsia"/>
                <w:sz w:val="24"/>
                <w:highlight w:val="none"/>
                <w:lang w:eastAsia="zh-CN"/>
              </w:rPr>
              <w:t>等</w:t>
            </w:r>
            <w:r>
              <w:rPr>
                <w:sz w:val="24"/>
                <w:highlight w:val="none"/>
              </w:rPr>
              <w:t>普遍超标，原因主要为地质原因造成。其余各监测点各监测因子均满足《地下水质量标准》（</w:t>
            </w:r>
            <w:r>
              <w:rPr>
                <w:rFonts w:eastAsia="Times New Roman"/>
                <w:sz w:val="24"/>
                <w:highlight w:val="none"/>
              </w:rPr>
              <w:t>GB/T14848-2017</w:t>
            </w:r>
            <w:r>
              <w:rPr>
                <w:sz w:val="24"/>
                <w:highlight w:val="none"/>
              </w:rPr>
              <w:t>）</w:t>
            </w:r>
            <w:r>
              <w:rPr>
                <w:rFonts w:eastAsia="Times New Roman"/>
                <w:sz w:val="24"/>
                <w:highlight w:val="none"/>
              </w:rPr>
              <w:t>Ⅲ</w:t>
            </w:r>
            <w:r>
              <w:rPr>
                <w:sz w:val="24"/>
                <w:highlight w:val="none"/>
              </w:rPr>
              <w:t>类标准，石油类、五日生化需氧量满足</w:t>
            </w:r>
            <w:r>
              <w:rPr>
                <w:bCs/>
                <w:sz w:val="24"/>
                <w:highlight w:val="none"/>
              </w:rPr>
              <w:t>《地表水环境质量标准》（</w:t>
            </w:r>
            <w:r>
              <w:rPr>
                <w:rFonts w:eastAsia="Times New Roman"/>
                <w:bCs/>
                <w:sz w:val="24"/>
                <w:highlight w:val="none"/>
              </w:rPr>
              <w:t>GB3838-2002</w:t>
            </w:r>
            <w:r>
              <w:rPr>
                <w:bCs/>
                <w:sz w:val="24"/>
                <w:highlight w:val="none"/>
              </w:rPr>
              <w:t>）</w:t>
            </w:r>
            <w:r>
              <w:rPr>
                <w:rFonts w:eastAsia="Times New Roman"/>
                <w:bCs/>
                <w:sz w:val="24"/>
                <w:highlight w:val="none"/>
              </w:rPr>
              <w:t>Ⅲ</w:t>
            </w:r>
            <w:r>
              <w:rPr>
                <w:bCs/>
                <w:sz w:val="24"/>
                <w:highlight w:val="none"/>
              </w:rPr>
              <w:t>类标准</w:t>
            </w:r>
            <w:r>
              <w:rPr>
                <w:rFonts w:hint="eastAsia"/>
                <w:highlight w:val="none"/>
                <w:lang w:eastAsia="zh-CN"/>
              </w:rPr>
              <w:t>。</w:t>
            </w:r>
          </w:p>
          <w:p w14:paraId="7DD59C6C">
            <w:pPr>
              <w:jc w:val="center"/>
              <w:rPr>
                <w:rFonts w:hint="eastAsia"/>
                <w:b/>
                <w:szCs w:val="21"/>
                <w:highlight w:val="none"/>
              </w:rPr>
            </w:pPr>
            <w:r>
              <w:rPr>
                <w:b/>
                <w:szCs w:val="21"/>
                <w:highlight w:val="none"/>
              </w:rPr>
              <w:t>表</w:t>
            </w:r>
            <w:r>
              <w:rPr>
                <w:rFonts w:hint="eastAsia"/>
                <w:b/>
                <w:szCs w:val="21"/>
                <w:highlight w:val="none"/>
                <w:lang w:val="en-US" w:eastAsia="zh-CN"/>
              </w:rPr>
              <w:t>3</w:t>
            </w:r>
            <w:r>
              <w:rPr>
                <w:rFonts w:hint="eastAsia"/>
                <w:b/>
                <w:szCs w:val="21"/>
                <w:highlight w:val="none"/>
              </w:rPr>
              <w:t>-2</w:t>
            </w:r>
            <w:r>
              <w:rPr>
                <w:rFonts w:hint="eastAsia"/>
                <w:b/>
                <w:szCs w:val="21"/>
                <w:highlight w:val="none"/>
                <w:lang w:eastAsia="zh-CN"/>
              </w:rPr>
              <w:t>：</w:t>
            </w:r>
            <w:r>
              <w:rPr>
                <w:b/>
                <w:szCs w:val="21"/>
                <w:highlight w:val="none"/>
              </w:rPr>
              <w:t>地下水现状监测结果统计表</w:t>
            </w:r>
          </w:p>
          <w:tbl>
            <w:tblPr>
              <w:tblStyle w:val="41"/>
              <w:tblW w:w="8438"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4"/>
              <w:gridCol w:w="1003"/>
              <w:gridCol w:w="871"/>
              <w:gridCol w:w="871"/>
              <w:gridCol w:w="871"/>
              <w:gridCol w:w="871"/>
              <w:gridCol w:w="871"/>
              <w:gridCol w:w="871"/>
              <w:gridCol w:w="871"/>
              <w:gridCol w:w="944"/>
            </w:tblGrid>
            <w:tr w14:paraId="5FF3B9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restart"/>
                  <w:tcBorders>
                    <w:top w:val="single" w:color="auto" w:sz="4" w:space="0"/>
                    <w:left w:val="single" w:color="auto" w:sz="0" w:space="0"/>
                    <w:tl2br w:val="nil"/>
                    <w:tr2bl w:val="nil"/>
                  </w:tcBorders>
                  <w:noWrap/>
                  <w:vAlign w:val="center"/>
                </w:tcPr>
                <w:p w14:paraId="013F0299">
                  <w:pPr>
                    <w:widowControl/>
                    <w:jc w:val="center"/>
                    <w:rPr>
                      <w:b w:val="0"/>
                      <w:bCs/>
                      <w:kern w:val="0"/>
                      <w:sz w:val="21"/>
                      <w:szCs w:val="21"/>
                      <w:highlight w:val="none"/>
                    </w:rPr>
                  </w:pPr>
                  <w:r>
                    <w:rPr>
                      <w:b w:val="0"/>
                      <w:bCs/>
                      <w:kern w:val="0"/>
                      <w:sz w:val="21"/>
                      <w:szCs w:val="21"/>
                      <w:highlight w:val="none"/>
                    </w:rPr>
                    <w:t>序号</w:t>
                  </w:r>
                </w:p>
              </w:tc>
              <w:tc>
                <w:tcPr>
                  <w:tcW w:w="1003" w:type="dxa"/>
                  <w:vMerge w:val="restart"/>
                  <w:tcBorders>
                    <w:top w:val="single" w:color="auto" w:sz="4" w:space="0"/>
                    <w:tl2br w:val="nil"/>
                    <w:tr2bl w:val="nil"/>
                  </w:tcBorders>
                  <w:noWrap/>
                  <w:vAlign w:val="center"/>
                </w:tcPr>
                <w:p w14:paraId="65745900">
                  <w:pPr>
                    <w:widowControl/>
                    <w:jc w:val="center"/>
                    <w:rPr>
                      <w:b w:val="0"/>
                      <w:bCs/>
                      <w:kern w:val="0"/>
                      <w:sz w:val="21"/>
                      <w:szCs w:val="21"/>
                      <w:highlight w:val="none"/>
                    </w:rPr>
                  </w:pPr>
                  <w:r>
                    <w:rPr>
                      <w:rFonts w:hint="eastAsia"/>
                      <w:b w:val="0"/>
                      <w:bCs/>
                      <w:kern w:val="0"/>
                      <w:sz w:val="21"/>
                      <w:szCs w:val="21"/>
                      <w:highlight w:val="none"/>
                      <w:lang w:eastAsia="zh-CN"/>
                    </w:rPr>
                    <w:t>监测</w:t>
                  </w:r>
                  <w:r>
                    <w:rPr>
                      <w:b w:val="0"/>
                      <w:bCs/>
                      <w:kern w:val="0"/>
                      <w:sz w:val="21"/>
                      <w:szCs w:val="21"/>
                      <w:highlight w:val="none"/>
                    </w:rPr>
                    <w:t>项目</w:t>
                  </w:r>
                </w:p>
              </w:tc>
              <w:tc>
                <w:tcPr>
                  <w:tcW w:w="6097" w:type="dxa"/>
                  <w:gridSpan w:val="7"/>
                  <w:tcBorders>
                    <w:top w:val="single" w:color="auto" w:sz="4" w:space="0"/>
                    <w:tl2br w:val="nil"/>
                    <w:tr2bl w:val="nil"/>
                  </w:tcBorders>
                  <w:noWrap/>
                  <w:vAlign w:val="center"/>
                </w:tcPr>
                <w:p w14:paraId="0DD93319">
                  <w:pPr>
                    <w:widowControl/>
                    <w:jc w:val="center"/>
                    <w:rPr>
                      <w:b w:val="0"/>
                      <w:bCs/>
                      <w:kern w:val="0"/>
                      <w:sz w:val="21"/>
                      <w:szCs w:val="21"/>
                      <w:highlight w:val="none"/>
                    </w:rPr>
                  </w:pPr>
                  <w:r>
                    <w:rPr>
                      <w:b w:val="0"/>
                      <w:bCs/>
                      <w:kern w:val="0"/>
                      <w:sz w:val="21"/>
                      <w:szCs w:val="21"/>
                      <w:highlight w:val="none"/>
                    </w:rPr>
                    <w:t>监测结果</w:t>
                  </w:r>
                </w:p>
              </w:tc>
              <w:tc>
                <w:tcPr>
                  <w:tcW w:w="944" w:type="dxa"/>
                  <w:vMerge w:val="restart"/>
                  <w:tcBorders>
                    <w:top w:val="single" w:color="auto" w:sz="4" w:space="0"/>
                    <w:right w:val="single" w:color="auto" w:sz="4" w:space="0"/>
                    <w:tl2br w:val="nil"/>
                    <w:tr2bl w:val="nil"/>
                  </w:tcBorders>
                  <w:noWrap/>
                  <w:vAlign w:val="center"/>
                </w:tcPr>
                <w:p w14:paraId="3CD7F236">
                  <w:pPr>
                    <w:widowControl/>
                    <w:jc w:val="center"/>
                    <w:rPr>
                      <w:b w:val="0"/>
                      <w:bCs/>
                      <w:kern w:val="0"/>
                      <w:sz w:val="21"/>
                      <w:szCs w:val="21"/>
                      <w:highlight w:val="none"/>
                    </w:rPr>
                  </w:pPr>
                  <w:r>
                    <w:rPr>
                      <w:b w:val="0"/>
                      <w:bCs/>
                      <w:kern w:val="0"/>
                      <w:sz w:val="21"/>
                      <w:szCs w:val="21"/>
                      <w:highlight w:val="none"/>
                    </w:rPr>
                    <w:t>标准限值</w:t>
                  </w:r>
                </w:p>
              </w:tc>
            </w:tr>
            <w:tr w14:paraId="7979DB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vMerge w:val="continue"/>
                  <w:tcBorders>
                    <w:left w:val="single" w:color="auto" w:sz="4" w:space="0"/>
                    <w:tl2br w:val="nil"/>
                    <w:tr2bl w:val="nil"/>
                  </w:tcBorders>
                  <w:noWrap w:val="0"/>
                  <w:vAlign w:val="center"/>
                </w:tcPr>
                <w:p w14:paraId="3640D8CD">
                  <w:pPr>
                    <w:widowControl/>
                    <w:jc w:val="center"/>
                    <w:rPr>
                      <w:b w:val="0"/>
                      <w:bCs/>
                      <w:kern w:val="0"/>
                      <w:sz w:val="21"/>
                      <w:szCs w:val="21"/>
                      <w:highlight w:val="none"/>
                    </w:rPr>
                  </w:pPr>
                </w:p>
              </w:tc>
              <w:tc>
                <w:tcPr>
                  <w:tcW w:w="1003" w:type="dxa"/>
                  <w:vMerge w:val="continue"/>
                  <w:tcBorders>
                    <w:tl2br w:val="nil"/>
                    <w:tr2bl w:val="nil"/>
                  </w:tcBorders>
                  <w:noWrap w:val="0"/>
                  <w:vAlign w:val="center"/>
                </w:tcPr>
                <w:p w14:paraId="7175C382">
                  <w:pPr>
                    <w:widowControl/>
                    <w:jc w:val="center"/>
                    <w:rPr>
                      <w:b w:val="0"/>
                      <w:bCs/>
                      <w:kern w:val="0"/>
                      <w:sz w:val="21"/>
                      <w:szCs w:val="21"/>
                      <w:highlight w:val="none"/>
                    </w:rPr>
                  </w:pPr>
                </w:p>
              </w:tc>
              <w:tc>
                <w:tcPr>
                  <w:tcW w:w="871" w:type="dxa"/>
                  <w:tcBorders>
                    <w:tl2br w:val="nil"/>
                    <w:tr2bl w:val="nil"/>
                  </w:tcBorders>
                  <w:noWrap w:val="0"/>
                  <w:vAlign w:val="center"/>
                </w:tcPr>
                <w:p w14:paraId="469BD0B2">
                  <w:pPr>
                    <w:widowControl/>
                    <w:jc w:val="center"/>
                    <w:rPr>
                      <w:b w:val="0"/>
                      <w:bCs/>
                      <w:kern w:val="0"/>
                      <w:sz w:val="21"/>
                      <w:szCs w:val="21"/>
                      <w:highlight w:val="none"/>
                    </w:rPr>
                  </w:pPr>
                  <w:r>
                    <w:rPr>
                      <w:b w:val="0"/>
                      <w:bCs/>
                      <w:kern w:val="0"/>
                      <w:sz w:val="21"/>
                      <w:szCs w:val="21"/>
                      <w:highlight w:val="none"/>
                    </w:rPr>
                    <w:t>JC1</w:t>
                  </w:r>
                </w:p>
              </w:tc>
              <w:tc>
                <w:tcPr>
                  <w:tcW w:w="871" w:type="dxa"/>
                  <w:tcBorders>
                    <w:tl2br w:val="nil"/>
                    <w:tr2bl w:val="nil"/>
                  </w:tcBorders>
                  <w:noWrap w:val="0"/>
                  <w:vAlign w:val="center"/>
                </w:tcPr>
                <w:p w14:paraId="04FA117C">
                  <w:pPr>
                    <w:widowControl/>
                    <w:jc w:val="center"/>
                    <w:rPr>
                      <w:b w:val="0"/>
                      <w:bCs/>
                      <w:kern w:val="0"/>
                      <w:sz w:val="21"/>
                      <w:szCs w:val="21"/>
                      <w:highlight w:val="none"/>
                    </w:rPr>
                  </w:pPr>
                  <w:r>
                    <w:rPr>
                      <w:b w:val="0"/>
                      <w:bCs/>
                      <w:kern w:val="0"/>
                      <w:sz w:val="21"/>
                      <w:szCs w:val="21"/>
                      <w:highlight w:val="none"/>
                    </w:rPr>
                    <w:t>JC2</w:t>
                  </w:r>
                </w:p>
              </w:tc>
              <w:tc>
                <w:tcPr>
                  <w:tcW w:w="871" w:type="dxa"/>
                  <w:tcBorders>
                    <w:tl2br w:val="nil"/>
                    <w:tr2bl w:val="nil"/>
                  </w:tcBorders>
                  <w:noWrap w:val="0"/>
                  <w:vAlign w:val="center"/>
                </w:tcPr>
                <w:p w14:paraId="7131DAA9">
                  <w:pPr>
                    <w:widowControl/>
                    <w:jc w:val="center"/>
                    <w:rPr>
                      <w:b w:val="0"/>
                      <w:bCs/>
                      <w:kern w:val="0"/>
                      <w:sz w:val="21"/>
                      <w:szCs w:val="21"/>
                      <w:highlight w:val="none"/>
                    </w:rPr>
                  </w:pPr>
                  <w:r>
                    <w:rPr>
                      <w:b w:val="0"/>
                      <w:bCs/>
                      <w:kern w:val="0"/>
                      <w:sz w:val="21"/>
                      <w:szCs w:val="21"/>
                      <w:highlight w:val="none"/>
                    </w:rPr>
                    <w:t>JC4</w:t>
                  </w:r>
                </w:p>
              </w:tc>
              <w:tc>
                <w:tcPr>
                  <w:tcW w:w="871" w:type="dxa"/>
                  <w:tcBorders>
                    <w:tl2br w:val="nil"/>
                    <w:tr2bl w:val="nil"/>
                  </w:tcBorders>
                  <w:noWrap w:val="0"/>
                  <w:vAlign w:val="center"/>
                </w:tcPr>
                <w:p w14:paraId="5BA7E324">
                  <w:pPr>
                    <w:widowControl/>
                    <w:jc w:val="center"/>
                    <w:rPr>
                      <w:b w:val="0"/>
                      <w:bCs/>
                      <w:kern w:val="0"/>
                      <w:sz w:val="21"/>
                      <w:szCs w:val="21"/>
                      <w:highlight w:val="none"/>
                    </w:rPr>
                  </w:pPr>
                  <w:r>
                    <w:rPr>
                      <w:b w:val="0"/>
                      <w:bCs/>
                      <w:kern w:val="0"/>
                      <w:sz w:val="21"/>
                      <w:szCs w:val="21"/>
                      <w:highlight w:val="none"/>
                    </w:rPr>
                    <w:t>JC5</w:t>
                  </w:r>
                </w:p>
              </w:tc>
              <w:tc>
                <w:tcPr>
                  <w:tcW w:w="871" w:type="dxa"/>
                  <w:tcBorders>
                    <w:tl2br w:val="nil"/>
                    <w:tr2bl w:val="nil"/>
                  </w:tcBorders>
                  <w:noWrap w:val="0"/>
                  <w:vAlign w:val="center"/>
                </w:tcPr>
                <w:p w14:paraId="7E6D2D5E">
                  <w:pPr>
                    <w:widowControl/>
                    <w:jc w:val="center"/>
                    <w:rPr>
                      <w:b w:val="0"/>
                      <w:bCs/>
                      <w:kern w:val="0"/>
                      <w:sz w:val="21"/>
                      <w:szCs w:val="21"/>
                      <w:highlight w:val="none"/>
                    </w:rPr>
                  </w:pPr>
                  <w:r>
                    <w:rPr>
                      <w:b w:val="0"/>
                      <w:bCs/>
                      <w:kern w:val="0"/>
                      <w:sz w:val="21"/>
                      <w:szCs w:val="21"/>
                      <w:highlight w:val="none"/>
                    </w:rPr>
                    <w:t>JC6</w:t>
                  </w:r>
                </w:p>
              </w:tc>
              <w:tc>
                <w:tcPr>
                  <w:tcW w:w="871" w:type="dxa"/>
                  <w:tcBorders>
                    <w:tl2br w:val="nil"/>
                    <w:tr2bl w:val="nil"/>
                  </w:tcBorders>
                  <w:noWrap w:val="0"/>
                  <w:vAlign w:val="center"/>
                </w:tcPr>
                <w:p w14:paraId="30C2C7F9">
                  <w:pPr>
                    <w:widowControl/>
                    <w:jc w:val="center"/>
                    <w:rPr>
                      <w:b w:val="0"/>
                      <w:bCs/>
                      <w:kern w:val="0"/>
                      <w:sz w:val="21"/>
                      <w:szCs w:val="21"/>
                      <w:highlight w:val="none"/>
                    </w:rPr>
                  </w:pPr>
                  <w:r>
                    <w:rPr>
                      <w:b w:val="0"/>
                      <w:bCs/>
                      <w:kern w:val="0"/>
                      <w:sz w:val="21"/>
                      <w:szCs w:val="21"/>
                      <w:highlight w:val="none"/>
                    </w:rPr>
                    <w:t>JC7</w:t>
                  </w:r>
                </w:p>
              </w:tc>
              <w:tc>
                <w:tcPr>
                  <w:tcW w:w="871" w:type="dxa"/>
                  <w:tcBorders>
                    <w:tl2br w:val="nil"/>
                    <w:tr2bl w:val="nil"/>
                  </w:tcBorders>
                  <w:noWrap w:val="0"/>
                  <w:vAlign w:val="center"/>
                </w:tcPr>
                <w:p w14:paraId="64EB0A2D">
                  <w:pPr>
                    <w:widowControl/>
                    <w:jc w:val="center"/>
                    <w:rPr>
                      <w:b w:val="0"/>
                      <w:bCs/>
                      <w:kern w:val="0"/>
                      <w:sz w:val="21"/>
                      <w:szCs w:val="21"/>
                      <w:highlight w:val="none"/>
                    </w:rPr>
                  </w:pPr>
                  <w:r>
                    <w:rPr>
                      <w:b w:val="0"/>
                      <w:bCs/>
                      <w:kern w:val="0"/>
                      <w:sz w:val="21"/>
                      <w:szCs w:val="21"/>
                      <w:highlight w:val="none"/>
                    </w:rPr>
                    <w:t>JC8</w:t>
                  </w:r>
                </w:p>
              </w:tc>
              <w:tc>
                <w:tcPr>
                  <w:tcW w:w="944" w:type="dxa"/>
                  <w:vMerge w:val="continue"/>
                  <w:tcBorders>
                    <w:right w:val="single" w:color="auto" w:sz="4" w:space="0"/>
                    <w:tl2br w:val="nil"/>
                    <w:tr2bl w:val="nil"/>
                  </w:tcBorders>
                  <w:noWrap/>
                  <w:vAlign w:val="center"/>
                </w:tcPr>
                <w:p w14:paraId="502444DA">
                  <w:pPr>
                    <w:widowControl/>
                    <w:jc w:val="center"/>
                    <w:rPr>
                      <w:b w:val="0"/>
                      <w:bCs/>
                      <w:kern w:val="0"/>
                      <w:sz w:val="21"/>
                      <w:szCs w:val="21"/>
                      <w:highlight w:val="none"/>
                    </w:rPr>
                  </w:pPr>
                </w:p>
              </w:tc>
            </w:tr>
            <w:tr w14:paraId="0B493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99904E2">
                  <w:pPr>
                    <w:widowControl/>
                    <w:jc w:val="center"/>
                    <w:rPr>
                      <w:kern w:val="0"/>
                      <w:sz w:val="21"/>
                      <w:szCs w:val="21"/>
                      <w:highlight w:val="none"/>
                    </w:rPr>
                  </w:pPr>
                  <w:r>
                    <w:rPr>
                      <w:kern w:val="0"/>
                      <w:sz w:val="21"/>
                      <w:szCs w:val="21"/>
                      <w:highlight w:val="none"/>
                    </w:rPr>
                    <w:t>1</w:t>
                  </w:r>
                </w:p>
              </w:tc>
              <w:tc>
                <w:tcPr>
                  <w:tcW w:w="1003" w:type="dxa"/>
                  <w:tcBorders>
                    <w:tl2br w:val="nil"/>
                    <w:tr2bl w:val="nil"/>
                  </w:tcBorders>
                  <w:noWrap/>
                  <w:vAlign w:val="center"/>
                </w:tcPr>
                <w:p w14:paraId="3B0169CD">
                  <w:pPr>
                    <w:widowControl/>
                    <w:jc w:val="center"/>
                    <w:rPr>
                      <w:kern w:val="0"/>
                      <w:sz w:val="21"/>
                      <w:szCs w:val="21"/>
                      <w:highlight w:val="none"/>
                    </w:rPr>
                  </w:pPr>
                  <w:r>
                    <w:rPr>
                      <w:kern w:val="0"/>
                      <w:sz w:val="21"/>
                      <w:szCs w:val="21"/>
                      <w:highlight w:val="none"/>
                    </w:rPr>
                    <w:t>色度</w:t>
                  </w:r>
                  <w:r>
                    <w:rPr>
                      <w:rFonts w:hint="eastAsia"/>
                      <w:kern w:val="0"/>
                      <w:sz w:val="21"/>
                      <w:szCs w:val="21"/>
                      <w:highlight w:val="none"/>
                      <w:lang w:eastAsia="zh-CN"/>
                    </w:rPr>
                    <w:t>（</w:t>
                  </w:r>
                  <w:r>
                    <w:rPr>
                      <w:kern w:val="0"/>
                      <w:sz w:val="21"/>
                      <w:szCs w:val="21"/>
                      <w:highlight w:val="none"/>
                    </w:rPr>
                    <w:t>度</w:t>
                  </w:r>
                  <w:r>
                    <w:rPr>
                      <w:rFonts w:hint="eastAsia"/>
                      <w:kern w:val="0"/>
                      <w:sz w:val="21"/>
                      <w:szCs w:val="21"/>
                      <w:highlight w:val="none"/>
                      <w:lang w:eastAsia="zh-CN"/>
                    </w:rPr>
                    <w:t>）</w:t>
                  </w:r>
                </w:p>
              </w:tc>
              <w:tc>
                <w:tcPr>
                  <w:tcW w:w="871" w:type="dxa"/>
                  <w:tcBorders>
                    <w:tl2br w:val="nil"/>
                    <w:tr2bl w:val="nil"/>
                  </w:tcBorders>
                  <w:noWrap/>
                  <w:vAlign w:val="center"/>
                </w:tcPr>
                <w:p w14:paraId="40A5044C">
                  <w:pPr>
                    <w:widowControl/>
                    <w:jc w:val="center"/>
                    <w:rPr>
                      <w:kern w:val="0"/>
                      <w:sz w:val="21"/>
                      <w:szCs w:val="21"/>
                      <w:highlight w:val="none"/>
                    </w:rPr>
                  </w:pPr>
                  <w:r>
                    <w:rPr>
                      <w:kern w:val="0"/>
                      <w:sz w:val="21"/>
                      <w:szCs w:val="21"/>
                      <w:highlight w:val="none"/>
                    </w:rPr>
                    <w:t>10</w:t>
                  </w:r>
                </w:p>
              </w:tc>
              <w:tc>
                <w:tcPr>
                  <w:tcW w:w="871" w:type="dxa"/>
                  <w:tcBorders>
                    <w:tl2br w:val="nil"/>
                    <w:tr2bl w:val="nil"/>
                  </w:tcBorders>
                  <w:noWrap/>
                  <w:vAlign w:val="center"/>
                </w:tcPr>
                <w:p w14:paraId="5137D486">
                  <w:pPr>
                    <w:widowControl/>
                    <w:jc w:val="center"/>
                    <w:rPr>
                      <w:kern w:val="0"/>
                      <w:sz w:val="21"/>
                      <w:szCs w:val="21"/>
                      <w:highlight w:val="none"/>
                    </w:rPr>
                  </w:pPr>
                  <w:r>
                    <w:rPr>
                      <w:kern w:val="0"/>
                      <w:sz w:val="21"/>
                      <w:szCs w:val="21"/>
                      <w:highlight w:val="none"/>
                    </w:rPr>
                    <w:t>10</w:t>
                  </w:r>
                </w:p>
              </w:tc>
              <w:tc>
                <w:tcPr>
                  <w:tcW w:w="871" w:type="dxa"/>
                  <w:tcBorders>
                    <w:tl2br w:val="nil"/>
                    <w:tr2bl w:val="nil"/>
                  </w:tcBorders>
                  <w:noWrap/>
                  <w:vAlign w:val="center"/>
                </w:tcPr>
                <w:p w14:paraId="2DE441D0">
                  <w:pPr>
                    <w:widowControl/>
                    <w:jc w:val="center"/>
                    <w:rPr>
                      <w:kern w:val="0"/>
                      <w:sz w:val="21"/>
                      <w:szCs w:val="21"/>
                      <w:highlight w:val="none"/>
                    </w:rPr>
                  </w:pPr>
                  <w:r>
                    <w:rPr>
                      <w:kern w:val="0"/>
                      <w:sz w:val="21"/>
                      <w:szCs w:val="21"/>
                      <w:highlight w:val="none"/>
                    </w:rPr>
                    <w:t>15</w:t>
                  </w:r>
                </w:p>
              </w:tc>
              <w:tc>
                <w:tcPr>
                  <w:tcW w:w="871" w:type="dxa"/>
                  <w:tcBorders>
                    <w:tl2br w:val="nil"/>
                    <w:tr2bl w:val="nil"/>
                  </w:tcBorders>
                  <w:noWrap/>
                  <w:vAlign w:val="center"/>
                </w:tcPr>
                <w:p w14:paraId="5921C8F5">
                  <w:pPr>
                    <w:widowControl/>
                    <w:jc w:val="center"/>
                    <w:rPr>
                      <w:kern w:val="0"/>
                      <w:sz w:val="21"/>
                      <w:szCs w:val="21"/>
                      <w:highlight w:val="none"/>
                    </w:rPr>
                  </w:pPr>
                  <w:r>
                    <w:rPr>
                      <w:kern w:val="0"/>
                      <w:sz w:val="21"/>
                      <w:szCs w:val="21"/>
                      <w:highlight w:val="none"/>
                    </w:rPr>
                    <w:t>5</w:t>
                  </w:r>
                </w:p>
              </w:tc>
              <w:tc>
                <w:tcPr>
                  <w:tcW w:w="871" w:type="dxa"/>
                  <w:tcBorders>
                    <w:tl2br w:val="nil"/>
                    <w:tr2bl w:val="nil"/>
                  </w:tcBorders>
                  <w:noWrap/>
                  <w:vAlign w:val="center"/>
                </w:tcPr>
                <w:p w14:paraId="6D5395F2">
                  <w:pPr>
                    <w:widowControl/>
                    <w:jc w:val="center"/>
                    <w:rPr>
                      <w:kern w:val="0"/>
                      <w:sz w:val="21"/>
                      <w:szCs w:val="21"/>
                      <w:highlight w:val="none"/>
                    </w:rPr>
                  </w:pPr>
                  <w:r>
                    <w:rPr>
                      <w:kern w:val="0"/>
                      <w:sz w:val="21"/>
                      <w:szCs w:val="21"/>
                      <w:highlight w:val="none"/>
                    </w:rPr>
                    <w:t>5</w:t>
                  </w:r>
                </w:p>
              </w:tc>
              <w:tc>
                <w:tcPr>
                  <w:tcW w:w="871" w:type="dxa"/>
                  <w:tcBorders>
                    <w:tl2br w:val="nil"/>
                    <w:tr2bl w:val="nil"/>
                  </w:tcBorders>
                  <w:noWrap/>
                  <w:vAlign w:val="center"/>
                </w:tcPr>
                <w:p w14:paraId="453006F5">
                  <w:pPr>
                    <w:widowControl/>
                    <w:jc w:val="center"/>
                    <w:rPr>
                      <w:kern w:val="0"/>
                      <w:sz w:val="21"/>
                      <w:szCs w:val="21"/>
                      <w:highlight w:val="none"/>
                    </w:rPr>
                  </w:pPr>
                  <w:r>
                    <w:rPr>
                      <w:kern w:val="0"/>
                      <w:sz w:val="21"/>
                      <w:szCs w:val="21"/>
                      <w:highlight w:val="none"/>
                    </w:rPr>
                    <w:t>5</w:t>
                  </w:r>
                </w:p>
              </w:tc>
              <w:tc>
                <w:tcPr>
                  <w:tcW w:w="871" w:type="dxa"/>
                  <w:tcBorders>
                    <w:tl2br w:val="nil"/>
                    <w:tr2bl w:val="nil"/>
                  </w:tcBorders>
                  <w:noWrap/>
                  <w:vAlign w:val="center"/>
                </w:tcPr>
                <w:p w14:paraId="37E70022">
                  <w:pPr>
                    <w:widowControl/>
                    <w:jc w:val="center"/>
                    <w:rPr>
                      <w:kern w:val="0"/>
                      <w:sz w:val="21"/>
                      <w:szCs w:val="21"/>
                      <w:highlight w:val="none"/>
                    </w:rPr>
                  </w:pPr>
                  <w:r>
                    <w:rPr>
                      <w:kern w:val="0"/>
                      <w:sz w:val="21"/>
                      <w:szCs w:val="21"/>
                      <w:highlight w:val="none"/>
                    </w:rPr>
                    <w:t>10</w:t>
                  </w:r>
                </w:p>
              </w:tc>
              <w:tc>
                <w:tcPr>
                  <w:tcW w:w="944" w:type="dxa"/>
                  <w:tcBorders>
                    <w:right w:val="single" w:color="auto" w:sz="4" w:space="0"/>
                    <w:tl2br w:val="nil"/>
                    <w:tr2bl w:val="nil"/>
                  </w:tcBorders>
                  <w:noWrap/>
                  <w:vAlign w:val="center"/>
                </w:tcPr>
                <w:p w14:paraId="4FB74D28">
                  <w:pPr>
                    <w:widowControl/>
                    <w:jc w:val="center"/>
                    <w:rPr>
                      <w:kern w:val="0"/>
                      <w:sz w:val="21"/>
                      <w:szCs w:val="21"/>
                      <w:highlight w:val="none"/>
                    </w:rPr>
                  </w:pPr>
                  <w:r>
                    <w:rPr>
                      <w:kern w:val="0"/>
                      <w:sz w:val="21"/>
                      <w:szCs w:val="21"/>
                      <w:highlight w:val="none"/>
                    </w:rPr>
                    <w:t>15</w:t>
                  </w:r>
                </w:p>
              </w:tc>
            </w:tr>
            <w:tr w14:paraId="43A1F0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7DBC839">
                  <w:pPr>
                    <w:widowControl/>
                    <w:jc w:val="center"/>
                    <w:rPr>
                      <w:kern w:val="0"/>
                      <w:sz w:val="21"/>
                      <w:szCs w:val="21"/>
                      <w:highlight w:val="none"/>
                    </w:rPr>
                  </w:pPr>
                  <w:r>
                    <w:rPr>
                      <w:kern w:val="0"/>
                      <w:sz w:val="21"/>
                      <w:szCs w:val="21"/>
                      <w:highlight w:val="none"/>
                    </w:rPr>
                    <w:t>2</w:t>
                  </w:r>
                </w:p>
              </w:tc>
              <w:tc>
                <w:tcPr>
                  <w:tcW w:w="1003" w:type="dxa"/>
                  <w:tcBorders>
                    <w:tl2br w:val="nil"/>
                    <w:tr2bl w:val="nil"/>
                  </w:tcBorders>
                  <w:noWrap/>
                  <w:vAlign w:val="center"/>
                </w:tcPr>
                <w:p w14:paraId="33ED43E7">
                  <w:pPr>
                    <w:widowControl/>
                    <w:jc w:val="center"/>
                    <w:rPr>
                      <w:kern w:val="0"/>
                      <w:sz w:val="21"/>
                      <w:szCs w:val="21"/>
                      <w:highlight w:val="none"/>
                    </w:rPr>
                  </w:pPr>
                  <w:r>
                    <w:rPr>
                      <w:kern w:val="0"/>
                      <w:sz w:val="21"/>
                      <w:szCs w:val="21"/>
                      <w:highlight w:val="none"/>
                    </w:rPr>
                    <w:t>钙和镁总量</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408C0847">
                  <w:pPr>
                    <w:widowControl/>
                    <w:jc w:val="center"/>
                    <w:rPr>
                      <w:kern w:val="0"/>
                      <w:sz w:val="21"/>
                      <w:szCs w:val="21"/>
                      <w:highlight w:val="none"/>
                    </w:rPr>
                  </w:pPr>
                  <w:r>
                    <w:rPr>
                      <w:kern w:val="0"/>
                      <w:sz w:val="21"/>
                      <w:szCs w:val="21"/>
                      <w:highlight w:val="none"/>
                    </w:rPr>
                    <w:t>385</w:t>
                  </w:r>
                </w:p>
              </w:tc>
              <w:tc>
                <w:tcPr>
                  <w:tcW w:w="871" w:type="dxa"/>
                  <w:tcBorders>
                    <w:tl2br w:val="nil"/>
                    <w:tr2bl w:val="nil"/>
                  </w:tcBorders>
                  <w:noWrap/>
                  <w:vAlign w:val="center"/>
                </w:tcPr>
                <w:p w14:paraId="40E677A0">
                  <w:pPr>
                    <w:widowControl/>
                    <w:jc w:val="center"/>
                    <w:rPr>
                      <w:kern w:val="0"/>
                      <w:sz w:val="21"/>
                      <w:szCs w:val="21"/>
                      <w:highlight w:val="none"/>
                    </w:rPr>
                  </w:pPr>
                  <w:r>
                    <w:rPr>
                      <w:kern w:val="0"/>
                      <w:sz w:val="21"/>
                      <w:szCs w:val="21"/>
                      <w:highlight w:val="none"/>
                    </w:rPr>
                    <w:t>327</w:t>
                  </w:r>
                </w:p>
              </w:tc>
              <w:tc>
                <w:tcPr>
                  <w:tcW w:w="871" w:type="dxa"/>
                  <w:tcBorders>
                    <w:tl2br w:val="nil"/>
                    <w:tr2bl w:val="nil"/>
                  </w:tcBorders>
                  <w:noWrap/>
                  <w:vAlign w:val="center"/>
                </w:tcPr>
                <w:p w14:paraId="4B4F60A0">
                  <w:pPr>
                    <w:widowControl/>
                    <w:jc w:val="center"/>
                    <w:rPr>
                      <w:kern w:val="0"/>
                      <w:sz w:val="21"/>
                      <w:szCs w:val="21"/>
                      <w:highlight w:val="none"/>
                    </w:rPr>
                  </w:pPr>
                  <w:r>
                    <w:rPr>
                      <w:kern w:val="0"/>
                      <w:sz w:val="21"/>
                      <w:szCs w:val="21"/>
                      <w:highlight w:val="none"/>
                    </w:rPr>
                    <w:t>224</w:t>
                  </w:r>
                </w:p>
              </w:tc>
              <w:tc>
                <w:tcPr>
                  <w:tcW w:w="871" w:type="dxa"/>
                  <w:tcBorders>
                    <w:tl2br w:val="nil"/>
                    <w:tr2bl w:val="nil"/>
                  </w:tcBorders>
                  <w:noWrap/>
                  <w:vAlign w:val="center"/>
                </w:tcPr>
                <w:p w14:paraId="3619E789">
                  <w:pPr>
                    <w:widowControl/>
                    <w:jc w:val="center"/>
                    <w:rPr>
                      <w:kern w:val="0"/>
                      <w:sz w:val="21"/>
                      <w:szCs w:val="21"/>
                      <w:highlight w:val="none"/>
                    </w:rPr>
                  </w:pPr>
                  <w:r>
                    <w:rPr>
                      <w:kern w:val="0"/>
                      <w:sz w:val="21"/>
                      <w:szCs w:val="21"/>
                      <w:highlight w:val="none"/>
                    </w:rPr>
                    <w:t>366</w:t>
                  </w:r>
                </w:p>
              </w:tc>
              <w:tc>
                <w:tcPr>
                  <w:tcW w:w="871" w:type="dxa"/>
                  <w:tcBorders>
                    <w:tl2br w:val="nil"/>
                    <w:tr2bl w:val="nil"/>
                  </w:tcBorders>
                  <w:noWrap/>
                  <w:vAlign w:val="center"/>
                </w:tcPr>
                <w:p w14:paraId="36976FB6">
                  <w:pPr>
                    <w:widowControl/>
                    <w:jc w:val="center"/>
                    <w:rPr>
                      <w:kern w:val="0"/>
                      <w:sz w:val="21"/>
                      <w:szCs w:val="21"/>
                      <w:highlight w:val="none"/>
                    </w:rPr>
                  </w:pPr>
                  <w:r>
                    <w:rPr>
                      <w:kern w:val="0"/>
                      <w:sz w:val="21"/>
                      <w:szCs w:val="21"/>
                      <w:highlight w:val="none"/>
                    </w:rPr>
                    <w:t>421</w:t>
                  </w:r>
                </w:p>
              </w:tc>
              <w:tc>
                <w:tcPr>
                  <w:tcW w:w="871" w:type="dxa"/>
                  <w:tcBorders>
                    <w:tl2br w:val="nil"/>
                    <w:tr2bl w:val="nil"/>
                  </w:tcBorders>
                  <w:noWrap/>
                  <w:vAlign w:val="center"/>
                </w:tcPr>
                <w:p w14:paraId="37C17B33">
                  <w:pPr>
                    <w:widowControl/>
                    <w:jc w:val="center"/>
                    <w:rPr>
                      <w:kern w:val="0"/>
                      <w:sz w:val="21"/>
                      <w:szCs w:val="21"/>
                      <w:highlight w:val="none"/>
                    </w:rPr>
                  </w:pPr>
                  <w:r>
                    <w:rPr>
                      <w:kern w:val="0"/>
                      <w:sz w:val="21"/>
                      <w:szCs w:val="21"/>
                      <w:highlight w:val="none"/>
                    </w:rPr>
                    <w:t>395</w:t>
                  </w:r>
                </w:p>
              </w:tc>
              <w:tc>
                <w:tcPr>
                  <w:tcW w:w="871" w:type="dxa"/>
                  <w:tcBorders>
                    <w:tl2br w:val="nil"/>
                    <w:tr2bl w:val="nil"/>
                  </w:tcBorders>
                  <w:noWrap/>
                  <w:vAlign w:val="center"/>
                </w:tcPr>
                <w:p w14:paraId="4E04BF20">
                  <w:pPr>
                    <w:widowControl/>
                    <w:jc w:val="center"/>
                    <w:rPr>
                      <w:kern w:val="0"/>
                      <w:sz w:val="21"/>
                      <w:szCs w:val="21"/>
                      <w:highlight w:val="none"/>
                    </w:rPr>
                  </w:pPr>
                  <w:r>
                    <w:rPr>
                      <w:kern w:val="0"/>
                      <w:sz w:val="21"/>
                      <w:szCs w:val="21"/>
                      <w:highlight w:val="none"/>
                    </w:rPr>
                    <w:t>232</w:t>
                  </w:r>
                </w:p>
              </w:tc>
              <w:tc>
                <w:tcPr>
                  <w:tcW w:w="944" w:type="dxa"/>
                  <w:tcBorders>
                    <w:right w:val="single" w:color="auto" w:sz="4" w:space="0"/>
                    <w:tl2br w:val="nil"/>
                    <w:tr2bl w:val="nil"/>
                  </w:tcBorders>
                  <w:noWrap/>
                  <w:vAlign w:val="center"/>
                </w:tcPr>
                <w:p w14:paraId="3CD5D744">
                  <w:pPr>
                    <w:widowControl/>
                    <w:jc w:val="center"/>
                    <w:rPr>
                      <w:kern w:val="0"/>
                      <w:sz w:val="21"/>
                      <w:szCs w:val="21"/>
                      <w:highlight w:val="none"/>
                    </w:rPr>
                  </w:pPr>
                  <w:r>
                    <w:rPr>
                      <w:kern w:val="0"/>
                      <w:sz w:val="21"/>
                      <w:szCs w:val="21"/>
                      <w:highlight w:val="none"/>
                    </w:rPr>
                    <w:t>450</w:t>
                  </w:r>
                </w:p>
              </w:tc>
            </w:tr>
            <w:tr w14:paraId="250C8C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0A693E3C">
                  <w:pPr>
                    <w:widowControl/>
                    <w:jc w:val="center"/>
                    <w:rPr>
                      <w:kern w:val="0"/>
                      <w:sz w:val="21"/>
                      <w:szCs w:val="21"/>
                      <w:highlight w:val="none"/>
                    </w:rPr>
                  </w:pPr>
                  <w:r>
                    <w:rPr>
                      <w:kern w:val="0"/>
                      <w:sz w:val="21"/>
                      <w:szCs w:val="21"/>
                      <w:highlight w:val="none"/>
                    </w:rPr>
                    <w:t>3</w:t>
                  </w:r>
                </w:p>
              </w:tc>
              <w:tc>
                <w:tcPr>
                  <w:tcW w:w="1003" w:type="dxa"/>
                  <w:tcBorders>
                    <w:tl2br w:val="nil"/>
                    <w:tr2bl w:val="nil"/>
                  </w:tcBorders>
                  <w:noWrap/>
                  <w:vAlign w:val="center"/>
                </w:tcPr>
                <w:p w14:paraId="10A48ED3">
                  <w:pPr>
                    <w:widowControl/>
                    <w:jc w:val="center"/>
                    <w:rPr>
                      <w:kern w:val="0"/>
                      <w:sz w:val="21"/>
                      <w:szCs w:val="21"/>
                      <w:highlight w:val="none"/>
                    </w:rPr>
                  </w:pPr>
                  <w:r>
                    <w:rPr>
                      <w:kern w:val="0"/>
                      <w:sz w:val="21"/>
                      <w:szCs w:val="21"/>
                      <w:highlight w:val="none"/>
                    </w:rPr>
                    <w:t>浊度</w:t>
                  </w:r>
                  <w:r>
                    <w:rPr>
                      <w:kern w:val="0"/>
                      <w:sz w:val="21"/>
                      <w:szCs w:val="21"/>
                      <w:highlight w:val="none"/>
                    </w:rPr>
                    <w:br w:type="textWrapping"/>
                  </w:r>
                  <w:r>
                    <w:rPr>
                      <w:rFonts w:hint="eastAsia"/>
                      <w:kern w:val="0"/>
                      <w:sz w:val="21"/>
                      <w:szCs w:val="21"/>
                      <w:highlight w:val="none"/>
                      <w:lang w:eastAsia="zh-CN"/>
                    </w:rPr>
                    <w:t>（</w:t>
                  </w:r>
                  <w:r>
                    <w:rPr>
                      <w:kern w:val="0"/>
                      <w:sz w:val="21"/>
                      <w:szCs w:val="21"/>
                      <w:highlight w:val="none"/>
                    </w:rPr>
                    <w:t>NTU</w:t>
                  </w:r>
                  <w:r>
                    <w:rPr>
                      <w:rFonts w:hint="eastAsia"/>
                      <w:kern w:val="0"/>
                      <w:sz w:val="21"/>
                      <w:szCs w:val="21"/>
                      <w:highlight w:val="none"/>
                      <w:lang w:eastAsia="zh-CN"/>
                    </w:rPr>
                    <w:t>）</w:t>
                  </w:r>
                </w:p>
              </w:tc>
              <w:tc>
                <w:tcPr>
                  <w:tcW w:w="871" w:type="dxa"/>
                  <w:tcBorders>
                    <w:tl2br w:val="nil"/>
                    <w:tr2bl w:val="nil"/>
                  </w:tcBorders>
                  <w:noWrap/>
                  <w:vAlign w:val="center"/>
                </w:tcPr>
                <w:p w14:paraId="3A5BDA07">
                  <w:pPr>
                    <w:widowControl/>
                    <w:jc w:val="center"/>
                    <w:rPr>
                      <w:kern w:val="0"/>
                      <w:sz w:val="21"/>
                      <w:szCs w:val="21"/>
                      <w:highlight w:val="none"/>
                    </w:rPr>
                  </w:pPr>
                  <w:r>
                    <w:rPr>
                      <w:kern w:val="0"/>
                      <w:sz w:val="21"/>
                      <w:szCs w:val="21"/>
                      <w:highlight w:val="none"/>
                    </w:rPr>
                    <w:t>6.8</w:t>
                  </w:r>
                </w:p>
              </w:tc>
              <w:tc>
                <w:tcPr>
                  <w:tcW w:w="871" w:type="dxa"/>
                  <w:tcBorders>
                    <w:tl2br w:val="nil"/>
                    <w:tr2bl w:val="nil"/>
                  </w:tcBorders>
                  <w:noWrap/>
                  <w:vAlign w:val="center"/>
                </w:tcPr>
                <w:p w14:paraId="096F25EF">
                  <w:pPr>
                    <w:widowControl/>
                    <w:jc w:val="center"/>
                    <w:rPr>
                      <w:kern w:val="0"/>
                      <w:sz w:val="21"/>
                      <w:szCs w:val="21"/>
                      <w:highlight w:val="none"/>
                    </w:rPr>
                  </w:pPr>
                  <w:r>
                    <w:rPr>
                      <w:kern w:val="0"/>
                      <w:sz w:val="21"/>
                      <w:szCs w:val="21"/>
                      <w:highlight w:val="none"/>
                    </w:rPr>
                    <w:t>11</w:t>
                  </w:r>
                </w:p>
              </w:tc>
              <w:tc>
                <w:tcPr>
                  <w:tcW w:w="871" w:type="dxa"/>
                  <w:tcBorders>
                    <w:tl2br w:val="nil"/>
                    <w:tr2bl w:val="nil"/>
                  </w:tcBorders>
                  <w:noWrap/>
                  <w:vAlign w:val="center"/>
                </w:tcPr>
                <w:p w14:paraId="32D8895F">
                  <w:pPr>
                    <w:widowControl/>
                    <w:jc w:val="center"/>
                    <w:rPr>
                      <w:kern w:val="0"/>
                      <w:sz w:val="21"/>
                      <w:szCs w:val="21"/>
                      <w:highlight w:val="none"/>
                    </w:rPr>
                  </w:pPr>
                  <w:r>
                    <w:rPr>
                      <w:kern w:val="0"/>
                      <w:sz w:val="21"/>
                      <w:szCs w:val="21"/>
                      <w:highlight w:val="none"/>
                    </w:rPr>
                    <w:t>14</w:t>
                  </w:r>
                </w:p>
              </w:tc>
              <w:tc>
                <w:tcPr>
                  <w:tcW w:w="871" w:type="dxa"/>
                  <w:tcBorders>
                    <w:tl2br w:val="nil"/>
                    <w:tr2bl w:val="nil"/>
                  </w:tcBorders>
                  <w:noWrap/>
                  <w:vAlign w:val="center"/>
                </w:tcPr>
                <w:p w14:paraId="73F0AE96">
                  <w:pPr>
                    <w:widowControl/>
                    <w:jc w:val="center"/>
                    <w:rPr>
                      <w:kern w:val="0"/>
                      <w:sz w:val="21"/>
                      <w:szCs w:val="21"/>
                      <w:highlight w:val="none"/>
                    </w:rPr>
                  </w:pPr>
                  <w:r>
                    <w:rPr>
                      <w:kern w:val="0"/>
                      <w:sz w:val="21"/>
                      <w:szCs w:val="21"/>
                      <w:highlight w:val="none"/>
                    </w:rPr>
                    <w:t>24</w:t>
                  </w:r>
                </w:p>
              </w:tc>
              <w:tc>
                <w:tcPr>
                  <w:tcW w:w="871" w:type="dxa"/>
                  <w:tcBorders>
                    <w:tl2br w:val="nil"/>
                    <w:tr2bl w:val="nil"/>
                  </w:tcBorders>
                  <w:noWrap/>
                  <w:vAlign w:val="center"/>
                </w:tcPr>
                <w:p w14:paraId="3B4992AF">
                  <w:pPr>
                    <w:widowControl/>
                    <w:jc w:val="center"/>
                    <w:rPr>
                      <w:kern w:val="0"/>
                      <w:sz w:val="21"/>
                      <w:szCs w:val="21"/>
                      <w:highlight w:val="none"/>
                    </w:rPr>
                  </w:pPr>
                  <w:r>
                    <w:rPr>
                      <w:kern w:val="0"/>
                      <w:sz w:val="21"/>
                      <w:szCs w:val="21"/>
                      <w:highlight w:val="none"/>
                    </w:rPr>
                    <w:t>5.7</w:t>
                  </w:r>
                </w:p>
              </w:tc>
              <w:tc>
                <w:tcPr>
                  <w:tcW w:w="871" w:type="dxa"/>
                  <w:tcBorders>
                    <w:tl2br w:val="nil"/>
                    <w:tr2bl w:val="nil"/>
                  </w:tcBorders>
                  <w:noWrap/>
                  <w:vAlign w:val="center"/>
                </w:tcPr>
                <w:p w14:paraId="5B4AD6A2">
                  <w:pPr>
                    <w:widowControl/>
                    <w:jc w:val="center"/>
                    <w:rPr>
                      <w:kern w:val="0"/>
                      <w:sz w:val="21"/>
                      <w:szCs w:val="21"/>
                      <w:highlight w:val="none"/>
                    </w:rPr>
                  </w:pPr>
                  <w:r>
                    <w:rPr>
                      <w:kern w:val="0"/>
                      <w:sz w:val="21"/>
                      <w:szCs w:val="21"/>
                      <w:highlight w:val="none"/>
                    </w:rPr>
                    <w:t>54</w:t>
                  </w:r>
                </w:p>
              </w:tc>
              <w:tc>
                <w:tcPr>
                  <w:tcW w:w="871" w:type="dxa"/>
                  <w:tcBorders>
                    <w:tl2br w:val="nil"/>
                    <w:tr2bl w:val="nil"/>
                  </w:tcBorders>
                  <w:noWrap/>
                  <w:vAlign w:val="center"/>
                </w:tcPr>
                <w:p w14:paraId="72BD2F6B">
                  <w:pPr>
                    <w:widowControl/>
                    <w:jc w:val="center"/>
                    <w:rPr>
                      <w:kern w:val="0"/>
                      <w:sz w:val="21"/>
                      <w:szCs w:val="21"/>
                      <w:highlight w:val="none"/>
                    </w:rPr>
                  </w:pPr>
                  <w:r>
                    <w:rPr>
                      <w:kern w:val="0"/>
                      <w:sz w:val="21"/>
                      <w:szCs w:val="21"/>
                      <w:highlight w:val="none"/>
                    </w:rPr>
                    <w:t>15</w:t>
                  </w:r>
                </w:p>
              </w:tc>
              <w:tc>
                <w:tcPr>
                  <w:tcW w:w="944" w:type="dxa"/>
                  <w:tcBorders>
                    <w:right w:val="single" w:color="auto" w:sz="4" w:space="0"/>
                    <w:tl2br w:val="nil"/>
                    <w:tr2bl w:val="nil"/>
                  </w:tcBorders>
                  <w:noWrap/>
                  <w:vAlign w:val="center"/>
                </w:tcPr>
                <w:p w14:paraId="1E269A32">
                  <w:pPr>
                    <w:widowControl/>
                    <w:jc w:val="center"/>
                    <w:rPr>
                      <w:kern w:val="0"/>
                      <w:sz w:val="21"/>
                      <w:szCs w:val="21"/>
                      <w:highlight w:val="none"/>
                    </w:rPr>
                  </w:pPr>
                  <w:r>
                    <w:rPr>
                      <w:kern w:val="0"/>
                      <w:sz w:val="21"/>
                      <w:szCs w:val="21"/>
                      <w:highlight w:val="none"/>
                    </w:rPr>
                    <w:t>3</w:t>
                  </w:r>
                </w:p>
              </w:tc>
            </w:tr>
            <w:tr w14:paraId="7AD5D5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75ECF7B">
                  <w:pPr>
                    <w:widowControl/>
                    <w:jc w:val="center"/>
                    <w:rPr>
                      <w:kern w:val="0"/>
                      <w:sz w:val="21"/>
                      <w:szCs w:val="21"/>
                      <w:highlight w:val="none"/>
                    </w:rPr>
                  </w:pPr>
                  <w:r>
                    <w:rPr>
                      <w:kern w:val="0"/>
                      <w:sz w:val="21"/>
                      <w:szCs w:val="21"/>
                      <w:highlight w:val="none"/>
                    </w:rPr>
                    <w:t>4</w:t>
                  </w:r>
                </w:p>
              </w:tc>
              <w:tc>
                <w:tcPr>
                  <w:tcW w:w="1003" w:type="dxa"/>
                  <w:tcBorders>
                    <w:tl2br w:val="nil"/>
                    <w:tr2bl w:val="nil"/>
                  </w:tcBorders>
                  <w:noWrap/>
                  <w:vAlign w:val="center"/>
                </w:tcPr>
                <w:p w14:paraId="69FFE9DB">
                  <w:pPr>
                    <w:widowControl/>
                    <w:jc w:val="center"/>
                    <w:rPr>
                      <w:kern w:val="0"/>
                      <w:sz w:val="21"/>
                      <w:szCs w:val="21"/>
                      <w:highlight w:val="none"/>
                    </w:rPr>
                  </w:pPr>
                  <w:r>
                    <w:rPr>
                      <w:kern w:val="0"/>
                      <w:sz w:val="21"/>
                      <w:szCs w:val="21"/>
                      <w:highlight w:val="none"/>
                    </w:rPr>
                    <w:t>pH值</w:t>
                  </w:r>
                  <w:r>
                    <w:rPr>
                      <w:rFonts w:hint="eastAsia"/>
                      <w:kern w:val="0"/>
                      <w:sz w:val="21"/>
                      <w:szCs w:val="21"/>
                      <w:highlight w:val="none"/>
                      <w:lang w:eastAsia="zh-CN"/>
                    </w:rPr>
                    <w:t>（</w:t>
                  </w:r>
                  <w:r>
                    <w:rPr>
                      <w:kern w:val="0"/>
                      <w:sz w:val="21"/>
                      <w:szCs w:val="21"/>
                      <w:highlight w:val="none"/>
                    </w:rPr>
                    <w:t>无量纲</w:t>
                  </w:r>
                  <w:r>
                    <w:rPr>
                      <w:rFonts w:hint="eastAsia"/>
                      <w:kern w:val="0"/>
                      <w:sz w:val="21"/>
                      <w:szCs w:val="21"/>
                      <w:highlight w:val="none"/>
                      <w:lang w:eastAsia="zh-CN"/>
                    </w:rPr>
                    <w:t>）</w:t>
                  </w:r>
                </w:p>
              </w:tc>
              <w:tc>
                <w:tcPr>
                  <w:tcW w:w="871" w:type="dxa"/>
                  <w:tcBorders>
                    <w:tl2br w:val="nil"/>
                    <w:tr2bl w:val="nil"/>
                  </w:tcBorders>
                  <w:noWrap/>
                  <w:vAlign w:val="center"/>
                </w:tcPr>
                <w:p w14:paraId="18FF9B1E">
                  <w:pPr>
                    <w:widowControl/>
                    <w:jc w:val="center"/>
                    <w:rPr>
                      <w:kern w:val="0"/>
                      <w:sz w:val="21"/>
                      <w:szCs w:val="21"/>
                      <w:highlight w:val="none"/>
                    </w:rPr>
                  </w:pPr>
                  <w:r>
                    <w:rPr>
                      <w:kern w:val="0"/>
                      <w:sz w:val="21"/>
                      <w:szCs w:val="21"/>
                      <w:highlight w:val="none"/>
                    </w:rPr>
                    <w:t>7.7</w:t>
                  </w:r>
                </w:p>
              </w:tc>
              <w:tc>
                <w:tcPr>
                  <w:tcW w:w="871" w:type="dxa"/>
                  <w:tcBorders>
                    <w:tl2br w:val="nil"/>
                    <w:tr2bl w:val="nil"/>
                  </w:tcBorders>
                  <w:noWrap/>
                  <w:vAlign w:val="center"/>
                </w:tcPr>
                <w:p w14:paraId="07A5EE08">
                  <w:pPr>
                    <w:widowControl/>
                    <w:jc w:val="center"/>
                    <w:rPr>
                      <w:kern w:val="0"/>
                      <w:sz w:val="21"/>
                      <w:szCs w:val="21"/>
                      <w:highlight w:val="none"/>
                    </w:rPr>
                  </w:pPr>
                  <w:r>
                    <w:rPr>
                      <w:kern w:val="0"/>
                      <w:sz w:val="21"/>
                      <w:szCs w:val="21"/>
                      <w:highlight w:val="none"/>
                    </w:rPr>
                    <w:t>7.7</w:t>
                  </w:r>
                </w:p>
              </w:tc>
              <w:tc>
                <w:tcPr>
                  <w:tcW w:w="871" w:type="dxa"/>
                  <w:tcBorders>
                    <w:tl2br w:val="nil"/>
                    <w:tr2bl w:val="nil"/>
                  </w:tcBorders>
                  <w:noWrap/>
                  <w:vAlign w:val="center"/>
                </w:tcPr>
                <w:p w14:paraId="2D789631">
                  <w:pPr>
                    <w:widowControl/>
                    <w:jc w:val="center"/>
                    <w:rPr>
                      <w:kern w:val="0"/>
                      <w:sz w:val="21"/>
                      <w:szCs w:val="21"/>
                      <w:highlight w:val="none"/>
                    </w:rPr>
                  </w:pPr>
                  <w:r>
                    <w:rPr>
                      <w:kern w:val="0"/>
                      <w:sz w:val="21"/>
                      <w:szCs w:val="21"/>
                      <w:highlight w:val="none"/>
                    </w:rPr>
                    <w:t>7.9</w:t>
                  </w:r>
                </w:p>
              </w:tc>
              <w:tc>
                <w:tcPr>
                  <w:tcW w:w="871" w:type="dxa"/>
                  <w:tcBorders>
                    <w:tl2br w:val="nil"/>
                    <w:tr2bl w:val="nil"/>
                  </w:tcBorders>
                  <w:noWrap/>
                  <w:vAlign w:val="center"/>
                </w:tcPr>
                <w:p w14:paraId="4F910417">
                  <w:pPr>
                    <w:widowControl/>
                    <w:jc w:val="center"/>
                    <w:rPr>
                      <w:kern w:val="0"/>
                      <w:sz w:val="21"/>
                      <w:szCs w:val="21"/>
                      <w:highlight w:val="none"/>
                    </w:rPr>
                  </w:pPr>
                  <w:r>
                    <w:rPr>
                      <w:kern w:val="0"/>
                      <w:sz w:val="21"/>
                      <w:szCs w:val="21"/>
                      <w:highlight w:val="none"/>
                    </w:rPr>
                    <w:t>7.7</w:t>
                  </w:r>
                </w:p>
              </w:tc>
              <w:tc>
                <w:tcPr>
                  <w:tcW w:w="871" w:type="dxa"/>
                  <w:tcBorders>
                    <w:tl2br w:val="nil"/>
                    <w:tr2bl w:val="nil"/>
                  </w:tcBorders>
                  <w:noWrap/>
                  <w:vAlign w:val="center"/>
                </w:tcPr>
                <w:p w14:paraId="3B190DDD">
                  <w:pPr>
                    <w:widowControl/>
                    <w:jc w:val="center"/>
                    <w:rPr>
                      <w:kern w:val="0"/>
                      <w:sz w:val="21"/>
                      <w:szCs w:val="21"/>
                      <w:highlight w:val="none"/>
                    </w:rPr>
                  </w:pPr>
                  <w:r>
                    <w:rPr>
                      <w:kern w:val="0"/>
                      <w:sz w:val="21"/>
                      <w:szCs w:val="21"/>
                      <w:highlight w:val="none"/>
                    </w:rPr>
                    <w:t>8</w:t>
                  </w:r>
                </w:p>
              </w:tc>
              <w:tc>
                <w:tcPr>
                  <w:tcW w:w="871" w:type="dxa"/>
                  <w:tcBorders>
                    <w:tl2br w:val="nil"/>
                    <w:tr2bl w:val="nil"/>
                  </w:tcBorders>
                  <w:noWrap/>
                  <w:vAlign w:val="center"/>
                </w:tcPr>
                <w:p w14:paraId="3B036D31">
                  <w:pPr>
                    <w:widowControl/>
                    <w:jc w:val="center"/>
                    <w:rPr>
                      <w:kern w:val="0"/>
                      <w:sz w:val="21"/>
                      <w:szCs w:val="21"/>
                      <w:highlight w:val="none"/>
                    </w:rPr>
                  </w:pPr>
                  <w:r>
                    <w:rPr>
                      <w:kern w:val="0"/>
                      <w:sz w:val="21"/>
                      <w:szCs w:val="21"/>
                      <w:highlight w:val="none"/>
                    </w:rPr>
                    <w:t>8</w:t>
                  </w:r>
                </w:p>
              </w:tc>
              <w:tc>
                <w:tcPr>
                  <w:tcW w:w="871" w:type="dxa"/>
                  <w:tcBorders>
                    <w:tl2br w:val="nil"/>
                    <w:tr2bl w:val="nil"/>
                  </w:tcBorders>
                  <w:noWrap/>
                  <w:vAlign w:val="center"/>
                </w:tcPr>
                <w:p w14:paraId="5B338179">
                  <w:pPr>
                    <w:widowControl/>
                    <w:jc w:val="center"/>
                    <w:rPr>
                      <w:kern w:val="0"/>
                      <w:sz w:val="21"/>
                      <w:szCs w:val="21"/>
                      <w:highlight w:val="none"/>
                    </w:rPr>
                  </w:pPr>
                  <w:r>
                    <w:rPr>
                      <w:kern w:val="0"/>
                      <w:sz w:val="21"/>
                      <w:szCs w:val="21"/>
                      <w:highlight w:val="none"/>
                    </w:rPr>
                    <w:t>7.9</w:t>
                  </w:r>
                </w:p>
              </w:tc>
              <w:tc>
                <w:tcPr>
                  <w:tcW w:w="944" w:type="dxa"/>
                  <w:tcBorders>
                    <w:right w:val="single" w:color="auto" w:sz="4" w:space="0"/>
                    <w:tl2br w:val="nil"/>
                    <w:tr2bl w:val="nil"/>
                  </w:tcBorders>
                  <w:noWrap/>
                  <w:vAlign w:val="center"/>
                </w:tcPr>
                <w:p w14:paraId="7A17134B">
                  <w:pPr>
                    <w:widowControl/>
                    <w:jc w:val="center"/>
                    <w:rPr>
                      <w:kern w:val="0"/>
                      <w:sz w:val="21"/>
                      <w:szCs w:val="21"/>
                      <w:highlight w:val="none"/>
                    </w:rPr>
                  </w:pPr>
                  <w:r>
                    <w:rPr>
                      <w:kern w:val="0"/>
                      <w:sz w:val="21"/>
                      <w:szCs w:val="21"/>
                      <w:highlight w:val="none"/>
                    </w:rPr>
                    <w:t>6.5&lt;pH&lt;8.5</w:t>
                  </w:r>
                </w:p>
              </w:tc>
            </w:tr>
            <w:tr w14:paraId="6432A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0BE39E8C">
                  <w:pPr>
                    <w:widowControl/>
                    <w:jc w:val="center"/>
                    <w:rPr>
                      <w:kern w:val="0"/>
                      <w:sz w:val="21"/>
                      <w:szCs w:val="21"/>
                      <w:highlight w:val="none"/>
                    </w:rPr>
                  </w:pPr>
                  <w:r>
                    <w:rPr>
                      <w:kern w:val="0"/>
                      <w:sz w:val="21"/>
                      <w:szCs w:val="21"/>
                      <w:highlight w:val="none"/>
                    </w:rPr>
                    <w:t>5</w:t>
                  </w:r>
                </w:p>
              </w:tc>
              <w:tc>
                <w:tcPr>
                  <w:tcW w:w="1003" w:type="dxa"/>
                  <w:tcBorders>
                    <w:tl2br w:val="nil"/>
                    <w:tr2bl w:val="nil"/>
                  </w:tcBorders>
                  <w:noWrap/>
                  <w:vAlign w:val="center"/>
                </w:tcPr>
                <w:p w14:paraId="1251EB91">
                  <w:pPr>
                    <w:widowControl/>
                    <w:jc w:val="center"/>
                    <w:rPr>
                      <w:kern w:val="0"/>
                      <w:sz w:val="21"/>
                      <w:szCs w:val="21"/>
                      <w:highlight w:val="none"/>
                    </w:rPr>
                  </w:pPr>
                  <w:r>
                    <w:rPr>
                      <w:kern w:val="0"/>
                      <w:sz w:val="21"/>
                      <w:szCs w:val="21"/>
                      <w:highlight w:val="none"/>
                    </w:rPr>
                    <w:t>肉眼可见物</w:t>
                  </w:r>
                </w:p>
              </w:tc>
              <w:tc>
                <w:tcPr>
                  <w:tcW w:w="871" w:type="dxa"/>
                  <w:tcBorders>
                    <w:tl2br w:val="nil"/>
                    <w:tr2bl w:val="nil"/>
                  </w:tcBorders>
                  <w:noWrap/>
                  <w:vAlign w:val="center"/>
                </w:tcPr>
                <w:p w14:paraId="347C2714">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3D79AE4C">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0A021917">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527AC61D">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49CFFD21">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06657050">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4CA2BED2">
                  <w:pPr>
                    <w:widowControl/>
                    <w:jc w:val="center"/>
                    <w:rPr>
                      <w:kern w:val="0"/>
                      <w:sz w:val="21"/>
                      <w:szCs w:val="21"/>
                      <w:highlight w:val="none"/>
                    </w:rPr>
                  </w:pPr>
                  <w:r>
                    <w:rPr>
                      <w:kern w:val="0"/>
                      <w:sz w:val="21"/>
                      <w:szCs w:val="21"/>
                      <w:highlight w:val="none"/>
                    </w:rPr>
                    <w:t>无</w:t>
                  </w:r>
                </w:p>
              </w:tc>
              <w:tc>
                <w:tcPr>
                  <w:tcW w:w="944" w:type="dxa"/>
                  <w:tcBorders>
                    <w:right w:val="single" w:color="auto" w:sz="4" w:space="0"/>
                    <w:tl2br w:val="nil"/>
                    <w:tr2bl w:val="nil"/>
                  </w:tcBorders>
                  <w:noWrap/>
                  <w:vAlign w:val="center"/>
                </w:tcPr>
                <w:p w14:paraId="535BC138">
                  <w:pPr>
                    <w:widowControl/>
                    <w:jc w:val="center"/>
                    <w:rPr>
                      <w:kern w:val="0"/>
                      <w:sz w:val="21"/>
                      <w:szCs w:val="21"/>
                      <w:highlight w:val="none"/>
                    </w:rPr>
                  </w:pPr>
                  <w:r>
                    <w:rPr>
                      <w:kern w:val="0"/>
                      <w:sz w:val="21"/>
                      <w:szCs w:val="21"/>
                      <w:highlight w:val="none"/>
                    </w:rPr>
                    <w:t>无</w:t>
                  </w:r>
                </w:p>
              </w:tc>
            </w:tr>
            <w:tr w14:paraId="0801A5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8350983">
                  <w:pPr>
                    <w:widowControl/>
                    <w:jc w:val="center"/>
                    <w:rPr>
                      <w:kern w:val="0"/>
                      <w:sz w:val="21"/>
                      <w:szCs w:val="21"/>
                      <w:highlight w:val="none"/>
                    </w:rPr>
                  </w:pPr>
                  <w:r>
                    <w:rPr>
                      <w:kern w:val="0"/>
                      <w:sz w:val="21"/>
                      <w:szCs w:val="21"/>
                      <w:highlight w:val="none"/>
                    </w:rPr>
                    <w:t>6</w:t>
                  </w:r>
                </w:p>
              </w:tc>
              <w:tc>
                <w:tcPr>
                  <w:tcW w:w="1003" w:type="dxa"/>
                  <w:tcBorders>
                    <w:tl2br w:val="nil"/>
                    <w:tr2bl w:val="nil"/>
                  </w:tcBorders>
                  <w:noWrap/>
                  <w:vAlign w:val="center"/>
                </w:tcPr>
                <w:p w14:paraId="780B63A2">
                  <w:pPr>
                    <w:widowControl/>
                    <w:jc w:val="center"/>
                    <w:rPr>
                      <w:kern w:val="0"/>
                      <w:sz w:val="21"/>
                      <w:szCs w:val="21"/>
                      <w:highlight w:val="none"/>
                    </w:rPr>
                  </w:pPr>
                  <w:r>
                    <w:rPr>
                      <w:kern w:val="0"/>
                      <w:sz w:val="21"/>
                      <w:szCs w:val="21"/>
                      <w:highlight w:val="none"/>
                    </w:rPr>
                    <w:t>臭和味</w:t>
                  </w:r>
                </w:p>
              </w:tc>
              <w:tc>
                <w:tcPr>
                  <w:tcW w:w="871" w:type="dxa"/>
                  <w:tcBorders>
                    <w:tl2br w:val="nil"/>
                    <w:tr2bl w:val="nil"/>
                  </w:tcBorders>
                  <w:noWrap/>
                  <w:vAlign w:val="center"/>
                </w:tcPr>
                <w:p w14:paraId="03F38D94">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335BA365">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2C9011E6">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765DC225">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2D2A69EC">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241EBBAE">
                  <w:pPr>
                    <w:widowControl/>
                    <w:jc w:val="center"/>
                    <w:rPr>
                      <w:kern w:val="0"/>
                      <w:sz w:val="21"/>
                      <w:szCs w:val="21"/>
                      <w:highlight w:val="none"/>
                    </w:rPr>
                  </w:pPr>
                  <w:r>
                    <w:rPr>
                      <w:kern w:val="0"/>
                      <w:sz w:val="21"/>
                      <w:szCs w:val="21"/>
                      <w:highlight w:val="none"/>
                    </w:rPr>
                    <w:t>无</w:t>
                  </w:r>
                </w:p>
              </w:tc>
              <w:tc>
                <w:tcPr>
                  <w:tcW w:w="871" w:type="dxa"/>
                  <w:tcBorders>
                    <w:tl2br w:val="nil"/>
                    <w:tr2bl w:val="nil"/>
                  </w:tcBorders>
                  <w:noWrap/>
                  <w:vAlign w:val="center"/>
                </w:tcPr>
                <w:p w14:paraId="47D1AB77">
                  <w:pPr>
                    <w:widowControl/>
                    <w:jc w:val="center"/>
                    <w:rPr>
                      <w:kern w:val="0"/>
                      <w:sz w:val="21"/>
                      <w:szCs w:val="21"/>
                      <w:highlight w:val="none"/>
                    </w:rPr>
                  </w:pPr>
                  <w:r>
                    <w:rPr>
                      <w:kern w:val="0"/>
                      <w:sz w:val="21"/>
                      <w:szCs w:val="21"/>
                      <w:highlight w:val="none"/>
                    </w:rPr>
                    <w:t>无</w:t>
                  </w:r>
                </w:p>
              </w:tc>
              <w:tc>
                <w:tcPr>
                  <w:tcW w:w="944" w:type="dxa"/>
                  <w:tcBorders>
                    <w:right w:val="single" w:color="auto" w:sz="4" w:space="0"/>
                    <w:tl2br w:val="nil"/>
                    <w:tr2bl w:val="nil"/>
                  </w:tcBorders>
                  <w:noWrap/>
                  <w:vAlign w:val="center"/>
                </w:tcPr>
                <w:p w14:paraId="50823A1D">
                  <w:pPr>
                    <w:widowControl/>
                    <w:jc w:val="center"/>
                    <w:rPr>
                      <w:kern w:val="0"/>
                      <w:sz w:val="21"/>
                      <w:szCs w:val="21"/>
                      <w:highlight w:val="none"/>
                    </w:rPr>
                  </w:pPr>
                  <w:r>
                    <w:rPr>
                      <w:kern w:val="0"/>
                      <w:sz w:val="21"/>
                      <w:szCs w:val="21"/>
                      <w:highlight w:val="none"/>
                    </w:rPr>
                    <w:t>无</w:t>
                  </w:r>
                </w:p>
              </w:tc>
            </w:tr>
            <w:tr w14:paraId="73F7CB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1EA8CB3D">
                  <w:pPr>
                    <w:widowControl/>
                    <w:jc w:val="center"/>
                    <w:rPr>
                      <w:kern w:val="0"/>
                      <w:sz w:val="21"/>
                      <w:szCs w:val="21"/>
                      <w:highlight w:val="none"/>
                    </w:rPr>
                  </w:pPr>
                  <w:r>
                    <w:rPr>
                      <w:kern w:val="0"/>
                      <w:sz w:val="21"/>
                      <w:szCs w:val="21"/>
                      <w:highlight w:val="none"/>
                    </w:rPr>
                    <w:t>7</w:t>
                  </w:r>
                </w:p>
              </w:tc>
              <w:tc>
                <w:tcPr>
                  <w:tcW w:w="1003" w:type="dxa"/>
                  <w:tcBorders>
                    <w:tl2br w:val="nil"/>
                    <w:tr2bl w:val="nil"/>
                  </w:tcBorders>
                  <w:noWrap/>
                  <w:vAlign w:val="center"/>
                </w:tcPr>
                <w:p w14:paraId="2022BC64">
                  <w:pPr>
                    <w:widowControl/>
                    <w:jc w:val="center"/>
                    <w:rPr>
                      <w:rFonts w:hint="eastAsia" w:eastAsia="宋体"/>
                      <w:kern w:val="0"/>
                      <w:sz w:val="21"/>
                      <w:szCs w:val="21"/>
                      <w:highlight w:val="none"/>
                      <w:lang w:eastAsia="zh-CN"/>
                    </w:rPr>
                  </w:pPr>
                  <w:r>
                    <w:rPr>
                      <w:kern w:val="0"/>
                      <w:sz w:val="21"/>
                      <w:szCs w:val="21"/>
                      <w:highlight w:val="none"/>
                    </w:rPr>
                    <w:t>溶解性总固体</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6B9F8E19">
                  <w:pPr>
                    <w:widowControl/>
                    <w:jc w:val="center"/>
                    <w:rPr>
                      <w:kern w:val="0"/>
                      <w:sz w:val="21"/>
                      <w:szCs w:val="21"/>
                      <w:highlight w:val="none"/>
                    </w:rPr>
                  </w:pPr>
                  <w:r>
                    <w:rPr>
                      <w:kern w:val="0"/>
                      <w:sz w:val="21"/>
                      <w:szCs w:val="21"/>
                      <w:highlight w:val="none"/>
                    </w:rPr>
                    <w:t>1950</w:t>
                  </w:r>
                </w:p>
              </w:tc>
              <w:tc>
                <w:tcPr>
                  <w:tcW w:w="871" w:type="dxa"/>
                  <w:tcBorders>
                    <w:tl2br w:val="nil"/>
                    <w:tr2bl w:val="nil"/>
                  </w:tcBorders>
                  <w:noWrap/>
                  <w:vAlign w:val="center"/>
                </w:tcPr>
                <w:p w14:paraId="0D0B2542">
                  <w:pPr>
                    <w:widowControl/>
                    <w:jc w:val="center"/>
                    <w:rPr>
                      <w:kern w:val="0"/>
                      <w:sz w:val="21"/>
                      <w:szCs w:val="21"/>
                      <w:highlight w:val="none"/>
                    </w:rPr>
                  </w:pPr>
                  <w:r>
                    <w:rPr>
                      <w:kern w:val="0"/>
                      <w:sz w:val="21"/>
                      <w:szCs w:val="21"/>
                      <w:highlight w:val="none"/>
                    </w:rPr>
                    <w:t>2230</w:t>
                  </w:r>
                </w:p>
              </w:tc>
              <w:tc>
                <w:tcPr>
                  <w:tcW w:w="871" w:type="dxa"/>
                  <w:tcBorders>
                    <w:tl2br w:val="nil"/>
                    <w:tr2bl w:val="nil"/>
                  </w:tcBorders>
                  <w:noWrap/>
                  <w:vAlign w:val="center"/>
                </w:tcPr>
                <w:p w14:paraId="5F1C7FBD">
                  <w:pPr>
                    <w:widowControl/>
                    <w:jc w:val="center"/>
                    <w:rPr>
                      <w:kern w:val="0"/>
                      <w:sz w:val="21"/>
                      <w:szCs w:val="21"/>
                      <w:highlight w:val="none"/>
                    </w:rPr>
                  </w:pPr>
                  <w:r>
                    <w:rPr>
                      <w:kern w:val="0"/>
                      <w:sz w:val="21"/>
                      <w:szCs w:val="21"/>
                      <w:highlight w:val="none"/>
                    </w:rPr>
                    <w:t>926</w:t>
                  </w:r>
                </w:p>
              </w:tc>
              <w:tc>
                <w:tcPr>
                  <w:tcW w:w="871" w:type="dxa"/>
                  <w:tcBorders>
                    <w:tl2br w:val="nil"/>
                    <w:tr2bl w:val="nil"/>
                  </w:tcBorders>
                  <w:noWrap/>
                  <w:vAlign w:val="center"/>
                </w:tcPr>
                <w:p w14:paraId="1AB088BC">
                  <w:pPr>
                    <w:widowControl/>
                    <w:jc w:val="center"/>
                    <w:rPr>
                      <w:kern w:val="0"/>
                      <w:sz w:val="21"/>
                      <w:szCs w:val="21"/>
                      <w:highlight w:val="none"/>
                    </w:rPr>
                  </w:pPr>
                  <w:r>
                    <w:rPr>
                      <w:kern w:val="0"/>
                      <w:sz w:val="21"/>
                      <w:szCs w:val="21"/>
                      <w:highlight w:val="none"/>
                    </w:rPr>
                    <w:t>2270</w:t>
                  </w:r>
                </w:p>
              </w:tc>
              <w:tc>
                <w:tcPr>
                  <w:tcW w:w="871" w:type="dxa"/>
                  <w:tcBorders>
                    <w:tl2br w:val="nil"/>
                    <w:tr2bl w:val="nil"/>
                  </w:tcBorders>
                  <w:noWrap/>
                  <w:vAlign w:val="center"/>
                </w:tcPr>
                <w:p w14:paraId="3D4ED7EF">
                  <w:pPr>
                    <w:widowControl/>
                    <w:jc w:val="center"/>
                    <w:rPr>
                      <w:kern w:val="0"/>
                      <w:sz w:val="21"/>
                      <w:szCs w:val="21"/>
                      <w:highlight w:val="none"/>
                    </w:rPr>
                  </w:pPr>
                  <w:r>
                    <w:rPr>
                      <w:kern w:val="0"/>
                      <w:sz w:val="21"/>
                      <w:szCs w:val="21"/>
                      <w:highlight w:val="none"/>
                    </w:rPr>
                    <w:t>2210</w:t>
                  </w:r>
                </w:p>
              </w:tc>
              <w:tc>
                <w:tcPr>
                  <w:tcW w:w="871" w:type="dxa"/>
                  <w:tcBorders>
                    <w:tl2br w:val="nil"/>
                    <w:tr2bl w:val="nil"/>
                  </w:tcBorders>
                  <w:noWrap/>
                  <w:vAlign w:val="center"/>
                </w:tcPr>
                <w:p w14:paraId="51351A45">
                  <w:pPr>
                    <w:widowControl/>
                    <w:jc w:val="center"/>
                    <w:rPr>
                      <w:kern w:val="0"/>
                      <w:sz w:val="21"/>
                      <w:szCs w:val="21"/>
                      <w:highlight w:val="none"/>
                    </w:rPr>
                  </w:pPr>
                  <w:r>
                    <w:rPr>
                      <w:kern w:val="0"/>
                      <w:sz w:val="21"/>
                      <w:szCs w:val="21"/>
                      <w:highlight w:val="none"/>
                    </w:rPr>
                    <w:t>2450</w:t>
                  </w:r>
                </w:p>
              </w:tc>
              <w:tc>
                <w:tcPr>
                  <w:tcW w:w="871" w:type="dxa"/>
                  <w:tcBorders>
                    <w:tl2br w:val="nil"/>
                    <w:tr2bl w:val="nil"/>
                  </w:tcBorders>
                  <w:noWrap/>
                  <w:vAlign w:val="center"/>
                </w:tcPr>
                <w:p w14:paraId="4BDEC2BB">
                  <w:pPr>
                    <w:widowControl/>
                    <w:jc w:val="center"/>
                    <w:rPr>
                      <w:kern w:val="0"/>
                      <w:sz w:val="21"/>
                      <w:szCs w:val="21"/>
                      <w:highlight w:val="none"/>
                    </w:rPr>
                  </w:pPr>
                  <w:r>
                    <w:rPr>
                      <w:kern w:val="0"/>
                      <w:sz w:val="21"/>
                      <w:szCs w:val="21"/>
                      <w:highlight w:val="none"/>
                    </w:rPr>
                    <w:t>1520</w:t>
                  </w:r>
                </w:p>
              </w:tc>
              <w:tc>
                <w:tcPr>
                  <w:tcW w:w="944" w:type="dxa"/>
                  <w:tcBorders>
                    <w:right w:val="single" w:color="auto" w:sz="4" w:space="0"/>
                    <w:tl2br w:val="nil"/>
                    <w:tr2bl w:val="nil"/>
                  </w:tcBorders>
                  <w:noWrap/>
                  <w:vAlign w:val="center"/>
                </w:tcPr>
                <w:p w14:paraId="60D3866F">
                  <w:pPr>
                    <w:widowControl/>
                    <w:jc w:val="center"/>
                    <w:rPr>
                      <w:kern w:val="0"/>
                      <w:sz w:val="21"/>
                      <w:szCs w:val="21"/>
                      <w:highlight w:val="none"/>
                    </w:rPr>
                  </w:pPr>
                  <w:r>
                    <w:rPr>
                      <w:kern w:val="0"/>
                      <w:sz w:val="21"/>
                      <w:szCs w:val="21"/>
                      <w:highlight w:val="none"/>
                    </w:rPr>
                    <w:t>1000</w:t>
                  </w:r>
                </w:p>
              </w:tc>
            </w:tr>
            <w:tr w14:paraId="09EE8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77C37F58">
                  <w:pPr>
                    <w:widowControl/>
                    <w:jc w:val="center"/>
                    <w:rPr>
                      <w:kern w:val="0"/>
                      <w:sz w:val="21"/>
                      <w:szCs w:val="21"/>
                      <w:highlight w:val="none"/>
                    </w:rPr>
                  </w:pPr>
                  <w:r>
                    <w:rPr>
                      <w:kern w:val="0"/>
                      <w:sz w:val="21"/>
                      <w:szCs w:val="21"/>
                      <w:highlight w:val="none"/>
                    </w:rPr>
                    <w:t>8</w:t>
                  </w:r>
                </w:p>
              </w:tc>
              <w:tc>
                <w:tcPr>
                  <w:tcW w:w="1003" w:type="dxa"/>
                  <w:tcBorders>
                    <w:tl2br w:val="nil"/>
                    <w:tr2bl w:val="nil"/>
                  </w:tcBorders>
                  <w:noWrap/>
                  <w:vAlign w:val="center"/>
                </w:tcPr>
                <w:p w14:paraId="5EB7AB7D">
                  <w:pPr>
                    <w:widowControl/>
                    <w:jc w:val="center"/>
                    <w:rPr>
                      <w:rFonts w:hint="eastAsia" w:eastAsia="宋体"/>
                      <w:kern w:val="0"/>
                      <w:sz w:val="21"/>
                      <w:szCs w:val="21"/>
                      <w:highlight w:val="none"/>
                      <w:lang w:eastAsia="zh-CN"/>
                    </w:rPr>
                  </w:pPr>
                  <w:r>
                    <w:rPr>
                      <w:kern w:val="0"/>
                      <w:sz w:val="21"/>
                      <w:szCs w:val="21"/>
                      <w:highlight w:val="none"/>
                    </w:rPr>
                    <w:t>铁</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172507B">
                  <w:pPr>
                    <w:widowControl/>
                    <w:jc w:val="center"/>
                    <w:rPr>
                      <w:kern w:val="0"/>
                      <w:sz w:val="21"/>
                      <w:szCs w:val="21"/>
                      <w:highlight w:val="none"/>
                    </w:rPr>
                  </w:pPr>
                  <w:r>
                    <w:rPr>
                      <w:kern w:val="0"/>
                      <w:sz w:val="21"/>
                      <w:szCs w:val="21"/>
                      <w:highlight w:val="none"/>
                    </w:rPr>
                    <w:t>0.02L</w:t>
                  </w:r>
                </w:p>
              </w:tc>
              <w:tc>
                <w:tcPr>
                  <w:tcW w:w="871" w:type="dxa"/>
                  <w:tcBorders>
                    <w:tl2br w:val="nil"/>
                    <w:tr2bl w:val="nil"/>
                  </w:tcBorders>
                  <w:noWrap/>
                  <w:vAlign w:val="center"/>
                </w:tcPr>
                <w:p w14:paraId="79AA6847">
                  <w:pPr>
                    <w:widowControl/>
                    <w:jc w:val="center"/>
                    <w:rPr>
                      <w:kern w:val="0"/>
                      <w:sz w:val="21"/>
                      <w:szCs w:val="21"/>
                      <w:highlight w:val="none"/>
                    </w:rPr>
                  </w:pPr>
                  <w:r>
                    <w:rPr>
                      <w:kern w:val="0"/>
                      <w:sz w:val="21"/>
                      <w:szCs w:val="21"/>
                      <w:highlight w:val="none"/>
                    </w:rPr>
                    <w:t>0.02L</w:t>
                  </w:r>
                </w:p>
              </w:tc>
              <w:tc>
                <w:tcPr>
                  <w:tcW w:w="871" w:type="dxa"/>
                  <w:tcBorders>
                    <w:tl2br w:val="nil"/>
                    <w:tr2bl w:val="nil"/>
                  </w:tcBorders>
                  <w:noWrap/>
                  <w:vAlign w:val="center"/>
                </w:tcPr>
                <w:p w14:paraId="6F80E6D3">
                  <w:pPr>
                    <w:widowControl/>
                    <w:jc w:val="center"/>
                    <w:rPr>
                      <w:kern w:val="0"/>
                      <w:sz w:val="21"/>
                      <w:szCs w:val="21"/>
                      <w:highlight w:val="none"/>
                    </w:rPr>
                  </w:pPr>
                  <w:r>
                    <w:rPr>
                      <w:kern w:val="0"/>
                      <w:sz w:val="21"/>
                      <w:szCs w:val="21"/>
                      <w:highlight w:val="none"/>
                    </w:rPr>
                    <w:t>0.02L</w:t>
                  </w:r>
                </w:p>
              </w:tc>
              <w:tc>
                <w:tcPr>
                  <w:tcW w:w="871" w:type="dxa"/>
                  <w:tcBorders>
                    <w:tl2br w:val="nil"/>
                    <w:tr2bl w:val="nil"/>
                  </w:tcBorders>
                  <w:noWrap/>
                  <w:vAlign w:val="center"/>
                </w:tcPr>
                <w:p w14:paraId="6648A8D1">
                  <w:pPr>
                    <w:widowControl/>
                    <w:jc w:val="center"/>
                    <w:rPr>
                      <w:kern w:val="0"/>
                      <w:sz w:val="21"/>
                      <w:szCs w:val="21"/>
                      <w:highlight w:val="none"/>
                    </w:rPr>
                  </w:pPr>
                  <w:r>
                    <w:rPr>
                      <w:kern w:val="0"/>
                      <w:sz w:val="21"/>
                      <w:szCs w:val="21"/>
                      <w:highlight w:val="none"/>
                    </w:rPr>
                    <w:t>0.02L</w:t>
                  </w:r>
                </w:p>
              </w:tc>
              <w:tc>
                <w:tcPr>
                  <w:tcW w:w="871" w:type="dxa"/>
                  <w:tcBorders>
                    <w:tl2br w:val="nil"/>
                    <w:tr2bl w:val="nil"/>
                  </w:tcBorders>
                  <w:noWrap/>
                  <w:vAlign w:val="center"/>
                </w:tcPr>
                <w:p w14:paraId="00F4FF6D">
                  <w:pPr>
                    <w:widowControl/>
                    <w:jc w:val="center"/>
                    <w:rPr>
                      <w:kern w:val="0"/>
                      <w:sz w:val="21"/>
                      <w:szCs w:val="21"/>
                      <w:highlight w:val="none"/>
                    </w:rPr>
                  </w:pPr>
                  <w:r>
                    <w:rPr>
                      <w:kern w:val="0"/>
                      <w:sz w:val="21"/>
                      <w:szCs w:val="21"/>
                      <w:highlight w:val="none"/>
                    </w:rPr>
                    <w:t>0.02L</w:t>
                  </w:r>
                </w:p>
              </w:tc>
              <w:tc>
                <w:tcPr>
                  <w:tcW w:w="871" w:type="dxa"/>
                  <w:tcBorders>
                    <w:tl2br w:val="nil"/>
                    <w:tr2bl w:val="nil"/>
                  </w:tcBorders>
                  <w:noWrap/>
                  <w:vAlign w:val="center"/>
                </w:tcPr>
                <w:p w14:paraId="1EA8F857">
                  <w:pPr>
                    <w:widowControl/>
                    <w:jc w:val="center"/>
                    <w:rPr>
                      <w:kern w:val="0"/>
                      <w:sz w:val="21"/>
                      <w:szCs w:val="21"/>
                      <w:highlight w:val="none"/>
                    </w:rPr>
                  </w:pPr>
                  <w:r>
                    <w:rPr>
                      <w:kern w:val="0"/>
                      <w:sz w:val="21"/>
                      <w:szCs w:val="21"/>
                      <w:highlight w:val="none"/>
                    </w:rPr>
                    <w:t>0.02L</w:t>
                  </w:r>
                </w:p>
              </w:tc>
              <w:tc>
                <w:tcPr>
                  <w:tcW w:w="871" w:type="dxa"/>
                  <w:tcBorders>
                    <w:tl2br w:val="nil"/>
                    <w:tr2bl w:val="nil"/>
                  </w:tcBorders>
                  <w:noWrap/>
                  <w:vAlign w:val="center"/>
                </w:tcPr>
                <w:p w14:paraId="62456973">
                  <w:pPr>
                    <w:widowControl/>
                    <w:jc w:val="center"/>
                    <w:rPr>
                      <w:kern w:val="0"/>
                      <w:sz w:val="21"/>
                      <w:szCs w:val="21"/>
                      <w:highlight w:val="none"/>
                    </w:rPr>
                  </w:pPr>
                  <w:r>
                    <w:rPr>
                      <w:kern w:val="0"/>
                      <w:sz w:val="21"/>
                      <w:szCs w:val="21"/>
                      <w:highlight w:val="none"/>
                    </w:rPr>
                    <w:t>0.02L</w:t>
                  </w:r>
                </w:p>
              </w:tc>
              <w:tc>
                <w:tcPr>
                  <w:tcW w:w="944" w:type="dxa"/>
                  <w:tcBorders>
                    <w:right w:val="single" w:color="auto" w:sz="4" w:space="0"/>
                    <w:tl2br w:val="nil"/>
                    <w:tr2bl w:val="nil"/>
                  </w:tcBorders>
                  <w:noWrap/>
                  <w:vAlign w:val="center"/>
                </w:tcPr>
                <w:p w14:paraId="12F26CDD">
                  <w:pPr>
                    <w:widowControl/>
                    <w:jc w:val="center"/>
                    <w:rPr>
                      <w:kern w:val="0"/>
                      <w:sz w:val="21"/>
                      <w:szCs w:val="21"/>
                      <w:highlight w:val="none"/>
                    </w:rPr>
                  </w:pPr>
                  <w:r>
                    <w:rPr>
                      <w:kern w:val="0"/>
                      <w:sz w:val="21"/>
                      <w:szCs w:val="21"/>
                      <w:highlight w:val="none"/>
                    </w:rPr>
                    <w:t>0.3</w:t>
                  </w:r>
                </w:p>
              </w:tc>
            </w:tr>
            <w:tr w14:paraId="0B1021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086E63F7">
                  <w:pPr>
                    <w:widowControl/>
                    <w:jc w:val="center"/>
                    <w:rPr>
                      <w:kern w:val="0"/>
                      <w:sz w:val="21"/>
                      <w:szCs w:val="21"/>
                      <w:highlight w:val="none"/>
                    </w:rPr>
                  </w:pPr>
                  <w:r>
                    <w:rPr>
                      <w:kern w:val="0"/>
                      <w:sz w:val="21"/>
                      <w:szCs w:val="21"/>
                      <w:highlight w:val="none"/>
                    </w:rPr>
                    <w:t>9</w:t>
                  </w:r>
                </w:p>
              </w:tc>
              <w:tc>
                <w:tcPr>
                  <w:tcW w:w="1003" w:type="dxa"/>
                  <w:tcBorders>
                    <w:tl2br w:val="nil"/>
                    <w:tr2bl w:val="nil"/>
                  </w:tcBorders>
                  <w:noWrap/>
                  <w:vAlign w:val="center"/>
                </w:tcPr>
                <w:p w14:paraId="0CC43D35">
                  <w:pPr>
                    <w:widowControl/>
                    <w:jc w:val="center"/>
                    <w:rPr>
                      <w:rFonts w:hint="eastAsia" w:eastAsia="宋体"/>
                      <w:kern w:val="0"/>
                      <w:sz w:val="21"/>
                      <w:szCs w:val="21"/>
                      <w:highlight w:val="none"/>
                      <w:lang w:eastAsia="zh-CN"/>
                    </w:rPr>
                  </w:pPr>
                  <w:r>
                    <w:rPr>
                      <w:kern w:val="0"/>
                      <w:sz w:val="21"/>
                      <w:szCs w:val="21"/>
                      <w:highlight w:val="none"/>
                    </w:rPr>
                    <w:t>铜</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1F31A795">
                  <w:pPr>
                    <w:widowControl/>
                    <w:jc w:val="center"/>
                    <w:rPr>
                      <w:kern w:val="0"/>
                      <w:sz w:val="21"/>
                      <w:szCs w:val="21"/>
                      <w:highlight w:val="none"/>
                    </w:rPr>
                  </w:pPr>
                  <w:r>
                    <w:rPr>
                      <w:kern w:val="0"/>
                      <w:sz w:val="21"/>
                      <w:szCs w:val="21"/>
                      <w:highlight w:val="none"/>
                    </w:rPr>
                    <w:t>0.006L</w:t>
                  </w:r>
                </w:p>
              </w:tc>
              <w:tc>
                <w:tcPr>
                  <w:tcW w:w="871" w:type="dxa"/>
                  <w:tcBorders>
                    <w:tl2br w:val="nil"/>
                    <w:tr2bl w:val="nil"/>
                  </w:tcBorders>
                  <w:noWrap/>
                  <w:vAlign w:val="center"/>
                </w:tcPr>
                <w:p w14:paraId="13174944">
                  <w:pPr>
                    <w:widowControl/>
                    <w:jc w:val="center"/>
                    <w:rPr>
                      <w:kern w:val="0"/>
                      <w:sz w:val="21"/>
                      <w:szCs w:val="21"/>
                      <w:highlight w:val="none"/>
                    </w:rPr>
                  </w:pPr>
                  <w:r>
                    <w:rPr>
                      <w:kern w:val="0"/>
                      <w:sz w:val="21"/>
                      <w:szCs w:val="21"/>
                      <w:highlight w:val="none"/>
                    </w:rPr>
                    <w:t>0.006L</w:t>
                  </w:r>
                </w:p>
              </w:tc>
              <w:tc>
                <w:tcPr>
                  <w:tcW w:w="871" w:type="dxa"/>
                  <w:tcBorders>
                    <w:tl2br w:val="nil"/>
                    <w:tr2bl w:val="nil"/>
                  </w:tcBorders>
                  <w:noWrap/>
                  <w:vAlign w:val="center"/>
                </w:tcPr>
                <w:p w14:paraId="7B966C14">
                  <w:pPr>
                    <w:widowControl/>
                    <w:jc w:val="center"/>
                    <w:rPr>
                      <w:kern w:val="0"/>
                      <w:sz w:val="21"/>
                      <w:szCs w:val="21"/>
                      <w:highlight w:val="none"/>
                    </w:rPr>
                  </w:pPr>
                  <w:r>
                    <w:rPr>
                      <w:kern w:val="0"/>
                      <w:sz w:val="21"/>
                      <w:szCs w:val="21"/>
                      <w:highlight w:val="none"/>
                    </w:rPr>
                    <w:t>0.006L</w:t>
                  </w:r>
                </w:p>
              </w:tc>
              <w:tc>
                <w:tcPr>
                  <w:tcW w:w="871" w:type="dxa"/>
                  <w:tcBorders>
                    <w:tl2br w:val="nil"/>
                    <w:tr2bl w:val="nil"/>
                  </w:tcBorders>
                  <w:noWrap/>
                  <w:vAlign w:val="center"/>
                </w:tcPr>
                <w:p w14:paraId="16A0CA9B">
                  <w:pPr>
                    <w:widowControl/>
                    <w:jc w:val="center"/>
                    <w:rPr>
                      <w:kern w:val="0"/>
                      <w:sz w:val="21"/>
                      <w:szCs w:val="21"/>
                      <w:highlight w:val="none"/>
                    </w:rPr>
                  </w:pPr>
                  <w:r>
                    <w:rPr>
                      <w:kern w:val="0"/>
                      <w:sz w:val="21"/>
                      <w:szCs w:val="21"/>
                      <w:highlight w:val="none"/>
                    </w:rPr>
                    <w:t>0.006L</w:t>
                  </w:r>
                </w:p>
              </w:tc>
              <w:tc>
                <w:tcPr>
                  <w:tcW w:w="871" w:type="dxa"/>
                  <w:tcBorders>
                    <w:tl2br w:val="nil"/>
                    <w:tr2bl w:val="nil"/>
                  </w:tcBorders>
                  <w:noWrap/>
                  <w:vAlign w:val="center"/>
                </w:tcPr>
                <w:p w14:paraId="4C59499C">
                  <w:pPr>
                    <w:widowControl/>
                    <w:jc w:val="center"/>
                    <w:rPr>
                      <w:kern w:val="0"/>
                      <w:sz w:val="21"/>
                      <w:szCs w:val="21"/>
                      <w:highlight w:val="none"/>
                    </w:rPr>
                  </w:pPr>
                  <w:r>
                    <w:rPr>
                      <w:kern w:val="0"/>
                      <w:sz w:val="21"/>
                      <w:szCs w:val="21"/>
                      <w:highlight w:val="none"/>
                    </w:rPr>
                    <w:t>0.006L</w:t>
                  </w:r>
                </w:p>
              </w:tc>
              <w:tc>
                <w:tcPr>
                  <w:tcW w:w="871" w:type="dxa"/>
                  <w:tcBorders>
                    <w:tl2br w:val="nil"/>
                    <w:tr2bl w:val="nil"/>
                  </w:tcBorders>
                  <w:noWrap/>
                  <w:vAlign w:val="center"/>
                </w:tcPr>
                <w:p w14:paraId="2D1F910E">
                  <w:pPr>
                    <w:widowControl/>
                    <w:jc w:val="center"/>
                    <w:rPr>
                      <w:kern w:val="0"/>
                      <w:sz w:val="21"/>
                      <w:szCs w:val="21"/>
                      <w:highlight w:val="none"/>
                    </w:rPr>
                  </w:pPr>
                  <w:r>
                    <w:rPr>
                      <w:kern w:val="0"/>
                      <w:sz w:val="21"/>
                      <w:szCs w:val="21"/>
                      <w:highlight w:val="none"/>
                    </w:rPr>
                    <w:t>0.006L</w:t>
                  </w:r>
                </w:p>
              </w:tc>
              <w:tc>
                <w:tcPr>
                  <w:tcW w:w="871" w:type="dxa"/>
                  <w:tcBorders>
                    <w:tl2br w:val="nil"/>
                    <w:tr2bl w:val="nil"/>
                  </w:tcBorders>
                  <w:noWrap/>
                  <w:vAlign w:val="center"/>
                </w:tcPr>
                <w:p w14:paraId="367085CD">
                  <w:pPr>
                    <w:widowControl/>
                    <w:jc w:val="center"/>
                    <w:rPr>
                      <w:kern w:val="0"/>
                      <w:sz w:val="21"/>
                      <w:szCs w:val="21"/>
                      <w:highlight w:val="none"/>
                    </w:rPr>
                  </w:pPr>
                  <w:r>
                    <w:rPr>
                      <w:kern w:val="0"/>
                      <w:sz w:val="21"/>
                      <w:szCs w:val="21"/>
                      <w:highlight w:val="none"/>
                    </w:rPr>
                    <w:t>0.006L</w:t>
                  </w:r>
                </w:p>
              </w:tc>
              <w:tc>
                <w:tcPr>
                  <w:tcW w:w="944" w:type="dxa"/>
                  <w:tcBorders>
                    <w:right w:val="single" w:color="auto" w:sz="4" w:space="0"/>
                    <w:tl2br w:val="nil"/>
                    <w:tr2bl w:val="nil"/>
                  </w:tcBorders>
                  <w:noWrap/>
                  <w:vAlign w:val="center"/>
                </w:tcPr>
                <w:p w14:paraId="647075AD">
                  <w:pPr>
                    <w:widowControl/>
                    <w:jc w:val="center"/>
                    <w:rPr>
                      <w:kern w:val="0"/>
                      <w:sz w:val="21"/>
                      <w:szCs w:val="21"/>
                      <w:highlight w:val="none"/>
                    </w:rPr>
                  </w:pPr>
                  <w:r>
                    <w:rPr>
                      <w:kern w:val="0"/>
                      <w:sz w:val="21"/>
                      <w:szCs w:val="21"/>
                      <w:highlight w:val="none"/>
                    </w:rPr>
                    <w:t>1</w:t>
                  </w:r>
                </w:p>
              </w:tc>
            </w:tr>
            <w:tr w14:paraId="3AA74C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7E940751">
                  <w:pPr>
                    <w:widowControl/>
                    <w:jc w:val="center"/>
                    <w:rPr>
                      <w:kern w:val="0"/>
                      <w:sz w:val="21"/>
                      <w:szCs w:val="21"/>
                      <w:highlight w:val="none"/>
                    </w:rPr>
                  </w:pPr>
                  <w:r>
                    <w:rPr>
                      <w:kern w:val="0"/>
                      <w:sz w:val="21"/>
                      <w:szCs w:val="21"/>
                      <w:highlight w:val="none"/>
                    </w:rPr>
                    <w:t>10</w:t>
                  </w:r>
                </w:p>
              </w:tc>
              <w:tc>
                <w:tcPr>
                  <w:tcW w:w="1003" w:type="dxa"/>
                  <w:tcBorders>
                    <w:tl2br w:val="nil"/>
                    <w:tr2bl w:val="nil"/>
                  </w:tcBorders>
                  <w:noWrap/>
                  <w:vAlign w:val="center"/>
                </w:tcPr>
                <w:p w14:paraId="437908D3">
                  <w:pPr>
                    <w:widowControl/>
                    <w:jc w:val="center"/>
                    <w:rPr>
                      <w:rFonts w:hint="eastAsia" w:eastAsia="宋体"/>
                      <w:kern w:val="0"/>
                      <w:sz w:val="21"/>
                      <w:szCs w:val="21"/>
                      <w:highlight w:val="none"/>
                      <w:lang w:eastAsia="zh-CN"/>
                    </w:rPr>
                  </w:pPr>
                  <w:r>
                    <w:rPr>
                      <w:kern w:val="0"/>
                      <w:sz w:val="21"/>
                      <w:szCs w:val="21"/>
                      <w:highlight w:val="none"/>
                    </w:rPr>
                    <w:t>锰</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35EB936">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6DAFE172">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1E120305">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01D2ABF2">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504A1890">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094DE534">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4436EDA4">
                  <w:pPr>
                    <w:widowControl/>
                    <w:jc w:val="center"/>
                    <w:rPr>
                      <w:kern w:val="0"/>
                      <w:sz w:val="21"/>
                      <w:szCs w:val="21"/>
                      <w:highlight w:val="none"/>
                    </w:rPr>
                  </w:pPr>
                  <w:r>
                    <w:rPr>
                      <w:kern w:val="0"/>
                      <w:sz w:val="21"/>
                      <w:szCs w:val="21"/>
                      <w:highlight w:val="none"/>
                    </w:rPr>
                    <w:t>0.004L</w:t>
                  </w:r>
                </w:p>
              </w:tc>
              <w:tc>
                <w:tcPr>
                  <w:tcW w:w="944" w:type="dxa"/>
                  <w:tcBorders>
                    <w:right w:val="single" w:color="auto" w:sz="4" w:space="0"/>
                    <w:tl2br w:val="nil"/>
                    <w:tr2bl w:val="nil"/>
                  </w:tcBorders>
                  <w:noWrap/>
                  <w:vAlign w:val="center"/>
                </w:tcPr>
                <w:p w14:paraId="3044E925">
                  <w:pPr>
                    <w:widowControl/>
                    <w:jc w:val="center"/>
                    <w:rPr>
                      <w:kern w:val="0"/>
                      <w:sz w:val="21"/>
                      <w:szCs w:val="21"/>
                      <w:highlight w:val="none"/>
                    </w:rPr>
                  </w:pPr>
                  <w:r>
                    <w:rPr>
                      <w:kern w:val="0"/>
                      <w:sz w:val="21"/>
                      <w:szCs w:val="21"/>
                      <w:highlight w:val="none"/>
                    </w:rPr>
                    <w:t>0.1</w:t>
                  </w:r>
                </w:p>
              </w:tc>
            </w:tr>
            <w:tr w14:paraId="1975C6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63A81535">
                  <w:pPr>
                    <w:widowControl/>
                    <w:jc w:val="center"/>
                    <w:rPr>
                      <w:kern w:val="0"/>
                      <w:sz w:val="21"/>
                      <w:szCs w:val="21"/>
                      <w:highlight w:val="none"/>
                    </w:rPr>
                  </w:pPr>
                  <w:r>
                    <w:rPr>
                      <w:kern w:val="0"/>
                      <w:sz w:val="21"/>
                      <w:szCs w:val="21"/>
                      <w:highlight w:val="none"/>
                    </w:rPr>
                    <w:t>11</w:t>
                  </w:r>
                </w:p>
              </w:tc>
              <w:tc>
                <w:tcPr>
                  <w:tcW w:w="1003" w:type="dxa"/>
                  <w:tcBorders>
                    <w:tl2br w:val="nil"/>
                    <w:tr2bl w:val="nil"/>
                  </w:tcBorders>
                  <w:noWrap/>
                  <w:vAlign w:val="center"/>
                </w:tcPr>
                <w:p w14:paraId="65752CC8">
                  <w:pPr>
                    <w:widowControl/>
                    <w:jc w:val="center"/>
                    <w:rPr>
                      <w:rFonts w:hint="eastAsia" w:eastAsia="宋体"/>
                      <w:kern w:val="0"/>
                      <w:sz w:val="21"/>
                      <w:szCs w:val="21"/>
                      <w:highlight w:val="none"/>
                      <w:lang w:eastAsia="zh-CN"/>
                    </w:rPr>
                  </w:pPr>
                  <w:r>
                    <w:rPr>
                      <w:kern w:val="0"/>
                      <w:sz w:val="21"/>
                      <w:szCs w:val="21"/>
                      <w:highlight w:val="none"/>
                    </w:rPr>
                    <w:t>锌</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685ADF42">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116B300B">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61D89130">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1884DCD8">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4C8F3F12">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11DF7F2F">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6E4B5D62">
                  <w:pPr>
                    <w:widowControl/>
                    <w:jc w:val="center"/>
                    <w:rPr>
                      <w:kern w:val="0"/>
                      <w:sz w:val="21"/>
                      <w:szCs w:val="21"/>
                      <w:highlight w:val="none"/>
                    </w:rPr>
                  </w:pPr>
                  <w:r>
                    <w:rPr>
                      <w:kern w:val="0"/>
                      <w:sz w:val="21"/>
                      <w:szCs w:val="21"/>
                      <w:highlight w:val="none"/>
                    </w:rPr>
                    <w:t>0.004L</w:t>
                  </w:r>
                </w:p>
              </w:tc>
              <w:tc>
                <w:tcPr>
                  <w:tcW w:w="944" w:type="dxa"/>
                  <w:tcBorders>
                    <w:right w:val="single" w:color="auto" w:sz="4" w:space="0"/>
                    <w:tl2br w:val="nil"/>
                    <w:tr2bl w:val="nil"/>
                  </w:tcBorders>
                  <w:noWrap/>
                  <w:vAlign w:val="center"/>
                </w:tcPr>
                <w:p w14:paraId="3D16B0BA">
                  <w:pPr>
                    <w:widowControl/>
                    <w:jc w:val="center"/>
                    <w:rPr>
                      <w:kern w:val="0"/>
                      <w:sz w:val="21"/>
                      <w:szCs w:val="21"/>
                      <w:highlight w:val="none"/>
                    </w:rPr>
                  </w:pPr>
                  <w:r>
                    <w:rPr>
                      <w:kern w:val="0"/>
                      <w:sz w:val="21"/>
                      <w:szCs w:val="21"/>
                      <w:highlight w:val="none"/>
                    </w:rPr>
                    <w:t>1</w:t>
                  </w:r>
                </w:p>
              </w:tc>
            </w:tr>
            <w:tr w14:paraId="238F93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74815091">
                  <w:pPr>
                    <w:widowControl/>
                    <w:jc w:val="center"/>
                    <w:rPr>
                      <w:kern w:val="0"/>
                      <w:sz w:val="21"/>
                      <w:szCs w:val="21"/>
                      <w:highlight w:val="none"/>
                    </w:rPr>
                  </w:pPr>
                  <w:r>
                    <w:rPr>
                      <w:kern w:val="0"/>
                      <w:sz w:val="21"/>
                      <w:szCs w:val="21"/>
                      <w:highlight w:val="none"/>
                    </w:rPr>
                    <w:t>12</w:t>
                  </w:r>
                </w:p>
              </w:tc>
              <w:tc>
                <w:tcPr>
                  <w:tcW w:w="1003" w:type="dxa"/>
                  <w:tcBorders>
                    <w:tl2br w:val="nil"/>
                    <w:tr2bl w:val="nil"/>
                  </w:tcBorders>
                  <w:noWrap/>
                  <w:vAlign w:val="center"/>
                </w:tcPr>
                <w:p w14:paraId="4D5041BF">
                  <w:pPr>
                    <w:widowControl/>
                    <w:jc w:val="center"/>
                    <w:rPr>
                      <w:rFonts w:hint="eastAsia" w:eastAsia="宋体"/>
                      <w:kern w:val="0"/>
                      <w:sz w:val="21"/>
                      <w:szCs w:val="21"/>
                      <w:highlight w:val="none"/>
                      <w:lang w:eastAsia="zh-CN"/>
                    </w:rPr>
                  </w:pPr>
                  <w:r>
                    <w:rPr>
                      <w:kern w:val="0"/>
                      <w:sz w:val="21"/>
                      <w:szCs w:val="21"/>
                      <w:highlight w:val="none"/>
                    </w:rPr>
                    <w:t>铝</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249ABEEC">
                  <w:pPr>
                    <w:widowControl/>
                    <w:jc w:val="center"/>
                    <w:rPr>
                      <w:kern w:val="0"/>
                      <w:sz w:val="21"/>
                      <w:szCs w:val="21"/>
                      <w:highlight w:val="none"/>
                    </w:rPr>
                  </w:pPr>
                  <w:r>
                    <w:rPr>
                      <w:kern w:val="0"/>
                      <w:sz w:val="21"/>
                      <w:szCs w:val="21"/>
                      <w:highlight w:val="none"/>
                    </w:rPr>
                    <w:t>0.07L</w:t>
                  </w:r>
                </w:p>
              </w:tc>
              <w:tc>
                <w:tcPr>
                  <w:tcW w:w="871" w:type="dxa"/>
                  <w:tcBorders>
                    <w:tl2br w:val="nil"/>
                    <w:tr2bl w:val="nil"/>
                  </w:tcBorders>
                  <w:noWrap/>
                  <w:vAlign w:val="center"/>
                </w:tcPr>
                <w:p w14:paraId="2D35CDFF">
                  <w:pPr>
                    <w:widowControl/>
                    <w:jc w:val="center"/>
                    <w:rPr>
                      <w:kern w:val="0"/>
                      <w:sz w:val="21"/>
                      <w:szCs w:val="21"/>
                      <w:highlight w:val="none"/>
                    </w:rPr>
                  </w:pPr>
                  <w:r>
                    <w:rPr>
                      <w:kern w:val="0"/>
                      <w:sz w:val="21"/>
                      <w:szCs w:val="21"/>
                      <w:highlight w:val="none"/>
                    </w:rPr>
                    <w:t>0.07L</w:t>
                  </w:r>
                </w:p>
              </w:tc>
              <w:tc>
                <w:tcPr>
                  <w:tcW w:w="871" w:type="dxa"/>
                  <w:tcBorders>
                    <w:tl2br w:val="nil"/>
                    <w:tr2bl w:val="nil"/>
                  </w:tcBorders>
                  <w:noWrap/>
                  <w:vAlign w:val="center"/>
                </w:tcPr>
                <w:p w14:paraId="78AD166A">
                  <w:pPr>
                    <w:widowControl/>
                    <w:jc w:val="center"/>
                    <w:rPr>
                      <w:kern w:val="0"/>
                      <w:sz w:val="21"/>
                      <w:szCs w:val="21"/>
                      <w:highlight w:val="none"/>
                    </w:rPr>
                  </w:pPr>
                  <w:r>
                    <w:rPr>
                      <w:kern w:val="0"/>
                      <w:sz w:val="21"/>
                      <w:szCs w:val="21"/>
                      <w:highlight w:val="none"/>
                    </w:rPr>
                    <w:t>0.07L</w:t>
                  </w:r>
                </w:p>
              </w:tc>
              <w:tc>
                <w:tcPr>
                  <w:tcW w:w="871" w:type="dxa"/>
                  <w:tcBorders>
                    <w:tl2br w:val="nil"/>
                    <w:tr2bl w:val="nil"/>
                  </w:tcBorders>
                  <w:noWrap/>
                  <w:vAlign w:val="center"/>
                </w:tcPr>
                <w:p w14:paraId="6A96F792">
                  <w:pPr>
                    <w:widowControl/>
                    <w:jc w:val="center"/>
                    <w:rPr>
                      <w:kern w:val="0"/>
                      <w:sz w:val="21"/>
                      <w:szCs w:val="21"/>
                      <w:highlight w:val="none"/>
                    </w:rPr>
                  </w:pPr>
                  <w:r>
                    <w:rPr>
                      <w:kern w:val="0"/>
                      <w:sz w:val="21"/>
                      <w:szCs w:val="21"/>
                      <w:highlight w:val="none"/>
                    </w:rPr>
                    <w:t>0.07L</w:t>
                  </w:r>
                </w:p>
              </w:tc>
              <w:tc>
                <w:tcPr>
                  <w:tcW w:w="871" w:type="dxa"/>
                  <w:tcBorders>
                    <w:tl2br w:val="nil"/>
                    <w:tr2bl w:val="nil"/>
                  </w:tcBorders>
                  <w:noWrap/>
                  <w:vAlign w:val="center"/>
                </w:tcPr>
                <w:p w14:paraId="6C4549A4">
                  <w:pPr>
                    <w:widowControl/>
                    <w:jc w:val="center"/>
                    <w:rPr>
                      <w:kern w:val="0"/>
                      <w:sz w:val="21"/>
                      <w:szCs w:val="21"/>
                      <w:highlight w:val="none"/>
                    </w:rPr>
                  </w:pPr>
                  <w:r>
                    <w:rPr>
                      <w:kern w:val="0"/>
                      <w:sz w:val="21"/>
                      <w:szCs w:val="21"/>
                      <w:highlight w:val="none"/>
                    </w:rPr>
                    <w:t>0.07L</w:t>
                  </w:r>
                </w:p>
              </w:tc>
              <w:tc>
                <w:tcPr>
                  <w:tcW w:w="871" w:type="dxa"/>
                  <w:tcBorders>
                    <w:tl2br w:val="nil"/>
                    <w:tr2bl w:val="nil"/>
                  </w:tcBorders>
                  <w:noWrap/>
                  <w:vAlign w:val="center"/>
                </w:tcPr>
                <w:p w14:paraId="27395945">
                  <w:pPr>
                    <w:widowControl/>
                    <w:jc w:val="center"/>
                    <w:rPr>
                      <w:kern w:val="0"/>
                      <w:sz w:val="21"/>
                      <w:szCs w:val="21"/>
                      <w:highlight w:val="none"/>
                    </w:rPr>
                  </w:pPr>
                  <w:r>
                    <w:rPr>
                      <w:kern w:val="0"/>
                      <w:sz w:val="21"/>
                      <w:szCs w:val="21"/>
                      <w:highlight w:val="none"/>
                    </w:rPr>
                    <w:t>0.07L</w:t>
                  </w:r>
                </w:p>
              </w:tc>
              <w:tc>
                <w:tcPr>
                  <w:tcW w:w="871" w:type="dxa"/>
                  <w:tcBorders>
                    <w:tl2br w:val="nil"/>
                    <w:tr2bl w:val="nil"/>
                  </w:tcBorders>
                  <w:noWrap/>
                  <w:vAlign w:val="center"/>
                </w:tcPr>
                <w:p w14:paraId="632876A1">
                  <w:pPr>
                    <w:widowControl/>
                    <w:jc w:val="center"/>
                    <w:rPr>
                      <w:kern w:val="0"/>
                      <w:sz w:val="21"/>
                      <w:szCs w:val="21"/>
                      <w:highlight w:val="none"/>
                    </w:rPr>
                  </w:pPr>
                  <w:r>
                    <w:rPr>
                      <w:kern w:val="0"/>
                      <w:sz w:val="21"/>
                      <w:szCs w:val="21"/>
                      <w:highlight w:val="none"/>
                    </w:rPr>
                    <w:t>0.07L</w:t>
                  </w:r>
                </w:p>
              </w:tc>
              <w:tc>
                <w:tcPr>
                  <w:tcW w:w="944" w:type="dxa"/>
                  <w:tcBorders>
                    <w:right w:val="single" w:color="auto" w:sz="4" w:space="0"/>
                    <w:tl2br w:val="nil"/>
                    <w:tr2bl w:val="nil"/>
                  </w:tcBorders>
                  <w:noWrap/>
                  <w:vAlign w:val="center"/>
                </w:tcPr>
                <w:p w14:paraId="22E5802B">
                  <w:pPr>
                    <w:widowControl/>
                    <w:jc w:val="center"/>
                    <w:rPr>
                      <w:kern w:val="0"/>
                      <w:sz w:val="21"/>
                      <w:szCs w:val="21"/>
                      <w:highlight w:val="none"/>
                    </w:rPr>
                  </w:pPr>
                  <w:r>
                    <w:rPr>
                      <w:kern w:val="0"/>
                      <w:sz w:val="21"/>
                      <w:szCs w:val="21"/>
                      <w:highlight w:val="none"/>
                    </w:rPr>
                    <w:t>0.2</w:t>
                  </w:r>
                </w:p>
              </w:tc>
            </w:tr>
            <w:tr w14:paraId="00B7E6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4DEC2418">
                  <w:pPr>
                    <w:widowControl/>
                    <w:jc w:val="center"/>
                    <w:rPr>
                      <w:kern w:val="0"/>
                      <w:sz w:val="21"/>
                      <w:szCs w:val="21"/>
                      <w:highlight w:val="none"/>
                    </w:rPr>
                  </w:pPr>
                  <w:r>
                    <w:rPr>
                      <w:kern w:val="0"/>
                      <w:sz w:val="21"/>
                      <w:szCs w:val="21"/>
                      <w:highlight w:val="none"/>
                    </w:rPr>
                    <w:t>13</w:t>
                  </w:r>
                </w:p>
              </w:tc>
              <w:tc>
                <w:tcPr>
                  <w:tcW w:w="1003" w:type="dxa"/>
                  <w:tcBorders>
                    <w:tl2br w:val="nil"/>
                    <w:tr2bl w:val="nil"/>
                  </w:tcBorders>
                  <w:noWrap/>
                  <w:vAlign w:val="center"/>
                </w:tcPr>
                <w:p w14:paraId="4EFD0355">
                  <w:pPr>
                    <w:widowControl/>
                    <w:jc w:val="center"/>
                    <w:rPr>
                      <w:rFonts w:hint="eastAsia" w:eastAsia="宋体"/>
                      <w:kern w:val="0"/>
                      <w:sz w:val="21"/>
                      <w:szCs w:val="21"/>
                      <w:highlight w:val="none"/>
                      <w:lang w:eastAsia="zh-CN"/>
                    </w:rPr>
                  </w:pPr>
                  <w:r>
                    <w:rPr>
                      <w:kern w:val="0"/>
                      <w:sz w:val="21"/>
                      <w:szCs w:val="21"/>
                      <w:highlight w:val="none"/>
                    </w:rPr>
                    <w:t>阴离子表面活性剂</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1B3DA011">
                  <w:pPr>
                    <w:widowControl/>
                    <w:jc w:val="center"/>
                    <w:rPr>
                      <w:kern w:val="0"/>
                      <w:sz w:val="21"/>
                      <w:szCs w:val="21"/>
                      <w:highlight w:val="none"/>
                    </w:rPr>
                  </w:pPr>
                  <w:r>
                    <w:rPr>
                      <w:kern w:val="0"/>
                      <w:sz w:val="21"/>
                      <w:szCs w:val="21"/>
                      <w:highlight w:val="none"/>
                    </w:rPr>
                    <w:t>0.04L</w:t>
                  </w:r>
                </w:p>
              </w:tc>
              <w:tc>
                <w:tcPr>
                  <w:tcW w:w="871" w:type="dxa"/>
                  <w:tcBorders>
                    <w:tl2br w:val="nil"/>
                    <w:tr2bl w:val="nil"/>
                  </w:tcBorders>
                  <w:noWrap/>
                  <w:vAlign w:val="center"/>
                </w:tcPr>
                <w:p w14:paraId="1C2FBDAC">
                  <w:pPr>
                    <w:widowControl/>
                    <w:jc w:val="center"/>
                    <w:rPr>
                      <w:kern w:val="0"/>
                      <w:sz w:val="21"/>
                      <w:szCs w:val="21"/>
                      <w:highlight w:val="none"/>
                    </w:rPr>
                  </w:pPr>
                  <w:r>
                    <w:rPr>
                      <w:kern w:val="0"/>
                      <w:sz w:val="21"/>
                      <w:szCs w:val="21"/>
                      <w:highlight w:val="none"/>
                    </w:rPr>
                    <w:t>0.04L</w:t>
                  </w:r>
                </w:p>
              </w:tc>
              <w:tc>
                <w:tcPr>
                  <w:tcW w:w="871" w:type="dxa"/>
                  <w:tcBorders>
                    <w:tl2br w:val="nil"/>
                    <w:tr2bl w:val="nil"/>
                  </w:tcBorders>
                  <w:noWrap/>
                  <w:vAlign w:val="center"/>
                </w:tcPr>
                <w:p w14:paraId="34A5EA0C">
                  <w:pPr>
                    <w:widowControl/>
                    <w:jc w:val="center"/>
                    <w:rPr>
                      <w:kern w:val="0"/>
                      <w:sz w:val="21"/>
                      <w:szCs w:val="21"/>
                      <w:highlight w:val="none"/>
                    </w:rPr>
                  </w:pPr>
                  <w:r>
                    <w:rPr>
                      <w:kern w:val="0"/>
                      <w:sz w:val="21"/>
                      <w:szCs w:val="21"/>
                      <w:highlight w:val="none"/>
                    </w:rPr>
                    <w:t>0.04L</w:t>
                  </w:r>
                </w:p>
              </w:tc>
              <w:tc>
                <w:tcPr>
                  <w:tcW w:w="871" w:type="dxa"/>
                  <w:tcBorders>
                    <w:tl2br w:val="nil"/>
                    <w:tr2bl w:val="nil"/>
                  </w:tcBorders>
                  <w:noWrap/>
                  <w:vAlign w:val="center"/>
                </w:tcPr>
                <w:p w14:paraId="08B5D848">
                  <w:pPr>
                    <w:widowControl/>
                    <w:jc w:val="center"/>
                    <w:rPr>
                      <w:kern w:val="0"/>
                      <w:sz w:val="21"/>
                      <w:szCs w:val="21"/>
                      <w:highlight w:val="none"/>
                    </w:rPr>
                  </w:pPr>
                  <w:r>
                    <w:rPr>
                      <w:kern w:val="0"/>
                      <w:sz w:val="21"/>
                      <w:szCs w:val="21"/>
                      <w:highlight w:val="none"/>
                    </w:rPr>
                    <w:t>0.04L</w:t>
                  </w:r>
                </w:p>
              </w:tc>
              <w:tc>
                <w:tcPr>
                  <w:tcW w:w="871" w:type="dxa"/>
                  <w:tcBorders>
                    <w:tl2br w:val="nil"/>
                    <w:tr2bl w:val="nil"/>
                  </w:tcBorders>
                  <w:noWrap/>
                  <w:vAlign w:val="center"/>
                </w:tcPr>
                <w:p w14:paraId="705518ED">
                  <w:pPr>
                    <w:widowControl/>
                    <w:jc w:val="center"/>
                    <w:rPr>
                      <w:kern w:val="0"/>
                      <w:sz w:val="21"/>
                      <w:szCs w:val="21"/>
                      <w:highlight w:val="none"/>
                    </w:rPr>
                  </w:pPr>
                  <w:r>
                    <w:rPr>
                      <w:kern w:val="0"/>
                      <w:sz w:val="21"/>
                      <w:szCs w:val="21"/>
                      <w:highlight w:val="none"/>
                    </w:rPr>
                    <w:t>0.04L</w:t>
                  </w:r>
                </w:p>
              </w:tc>
              <w:tc>
                <w:tcPr>
                  <w:tcW w:w="871" w:type="dxa"/>
                  <w:tcBorders>
                    <w:tl2br w:val="nil"/>
                    <w:tr2bl w:val="nil"/>
                  </w:tcBorders>
                  <w:noWrap/>
                  <w:vAlign w:val="center"/>
                </w:tcPr>
                <w:p w14:paraId="7380501B">
                  <w:pPr>
                    <w:widowControl/>
                    <w:jc w:val="center"/>
                    <w:rPr>
                      <w:kern w:val="0"/>
                      <w:sz w:val="21"/>
                      <w:szCs w:val="21"/>
                      <w:highlight w:val="none"/>
                    </w:rPr>
                  </w:pPr>
                  <w:r>
                    <w:rPr>
                      <w:kern w:val="0"/>
                      <w:sz w:val="21"/>
                      <w:szCs w:val="21"/>
                      <w:highlight w:val="none"/>
                    </w:rPr>
                    <w:t>0.04L</w:t>
                  </w:r>
                </w:p>
              </w:tc>
              <w:tc>
                <w:tcPr>
                  <w:tcW w:w="871" w:type="dxa"/>
                  <w:tcBorders>
                    <w:tl2br w:val="nil"/>
                    <w:tr2bl w:val="nil"/>
                  </w:tcBorders>
                  <w:noWrap/>
                  <w:vAlign w:val="center"/>
                </w:tcPr>
                <w:p w14:paraId="1EE95474">
                  <w:pPr>
                    <w:widowControl/>
                    <w:jc w:val="center"/>
                    <w:rPr>
                      <w:kern w:val="0"/>
                      <w:sz w:val="21"/>
                      <w:szCs w:val="21"/>
                      <w:highlight w:val="none"/>
                    </w:rPr>
                  </w:pPr>
                  <w:r>
                    <w:rPr>
                      <w:kern w:val="0"/>
                      <w:sz w:val="21"/>
                      <w:szCs w:val="21"/>
                      <w:highlight w:val="none"/>
                    </w:rPr>
                    <w:t>0.04L</w:t>
                  </w:r>
                </w:p>
              </w:tc>
              <w:tc>
                <w:tcPr>
                  <w:tcW w:w="944" w:type="dxa"/>
                  <w:tcBorders>
                    <w:right w:val="single" w:color="auto" w:sz="4" w:space="0"/>
                    <w:tl2br w:val="nil"/>
                    <w:tr2bl w:val="nil"/>
                  </w:tcBorders>
                  <w:noWrap/>
                  <w:vAlign w:val="center"/>
                </w:tcPr>
                <w:p w14:paraId="4D42A8F9">
                  <w:pPr>
                    <w:widowControl/>
                    <w:jc w:val="center"/>
                    <w:rPr>
                      <w:kern w:val="0"/>
                      <w:sz w:val="21"/>
                      <w:szCs w:val="21"/>
                      <w:highlight w:val="none"/>
                    </w:rPr>
                  </w:pPr>
                  <w:r>
                    <w:rPr>
                      <w:kern w:val="0"/>
                      <w:sz w:val="21"/>
                      <w:szCs w:val="21"/>
                      <w:highlight w:val="none"/>
                    </w:rPr>
                    <w:t>0.3</w:t>
                  </w:r>
                </w:p>
              </w:tc>
            </w:tr>
            <w:tr w14:paraId="758996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552CF752">
                  <w:pPr>
                    <w:widowControl/>
                    <w:jc w:val="center"/>
                    <w:rPr>
                      <w:kern w:val="0"/>
                      <w:sz w:val="21"/>
                      <w:szCs w:val="21"/>
                      <w:highlight w:val="none"/>
                    </w:rPr>
                  </w:pPr>
                  <w:r>
                    <w:rPr>
                      <w:kern w:val="0"/>
                      <w:sz w:val="21"/>
                      <w:szCs w:val="21"/>
                      <w:highlight w:val="none"/>
                    </w:rPr>
                    <w:t>14</w:t>
                  </w:r>
                </w:p>
              </w:tc>
              <w:tc>
                <w:tcPr>
                  <w:tcW w:w="1003" w:type="dxa"/>
                  <w:tcBorders>
                    <w:tl2br w:val="nil"/>
                    <w:tr2bl w:val="nil"/>
                  </w:tcBorders>
                  <w:noWrap/>
                  <w:vAlign w:val="center"/>
                </w:tcPr>
                <w:p w14:paraId="75C5857D">
                  <w:pPr>
                    <w:widowControl/>
                    <w:jc w:val="center"/>
                    <w:rPr>
                      <w:rFonts w:hint="eastAsia" w:eastAsia="宋体"/>
                      <w:kern w:val="0"/>
                      <w:sz w:val="21"/>
                      <w:szCs w:val="21"/>
                      <w:highlight w:val="none"/>
                      <w:lang w:eastAsia="zh-CN"/>
                    </w:rPr>
                  </w:pPr>
                  <w:r>
                    <w:rPr>
                      <w:kern w:val="0"/>
                      <w:sz w:val="21"/>
                      <w:szCs w:val="21"/>
                      <w:highlight w:val="none"/>
                    </w:rPr>
                    <w:t>挥发酚</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4EF817CF">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3E473DB7">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0AD5AC14">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40BF84D2">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43B3CEFB">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7C675DF5">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2B6F7DE8">
                  <w:pPr>
                    <w:widowControl/>
                    <w:jc w:val="center"/>
                    <w:rPr>
                      <w:kern w:val="0"/>
                      <w:sz w:val="21"/>
                      <w:szCs w:val="21"/>
                      <w:highlight w:val="none"/>
                    </w:rPr>
                  </w:pPr>
                  <w:r>
                    <w:rPr>
                      <w:kern w:val="0"/>
                      <w:sz w:val="21"/>
                      <w:szCs w:val="21"/>
                      <w:highlight w:val="none"/>
                    </w:rPr>
                    <w:t>0.0003L</w:t>
                  </w:r>
                </w:p>
              </w:tc>
              <w:tc>
                <w:tcPr>
                  <w:tcW w:w="944" w:type="dxa"/>
                  <w:tcBorders>
                    <w:right w:val="single" w:color="auto" w:sz="4" w:space="0"/>
                    <w:tl2br w:val="nil"/>
                    <w:tr2bl w:val="nil"/>
                  </w:tcBorders>
                  <w:noWrap/>
                  <w:vAlign w:val="center"/>
                </w:tcPr>
                <w:p w14:paraId="2C9B7B65">
                  <w:pPr>
                    <w:widowControl/>
                    <w:jc w:val="center"/>
                    <w:rPr>
                      <w:kern w:val="0"/>
                      <w:sz w:val="21"/>
                      <w:szCs w:val="21"/>
                      <w:highlight w:val="none"/>
                    </w:rPr>
                  </w:pPr>
                  <w:r>
                    <w:rPr>
                      <w:kern w:val="0"/>
                      <w:sz w:val="21"/>
                      <w:szCs w:val="21"/>
                      <w:highlight w:val="none"/>
                    </w:rPr>
                    <w:t>0.002</w:t>
                  </w:r>
                </w:p>
              </w:tc>
            </w:tr>
            <w:tr w14:paraId="35637A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556FD606">
                  <w:pPr>
                    <w:widowControl/>
                    <w:jc w:val="center"/>
                    <w:rPr>
                      <w:kern w:val="0"/>
                      <w:sz w:val="21"/>
                      <w:szCs w:val="21"/>
                      <w:highlight w:val="none"/>
                    </w:rPr>
                  </w:pPr>
                  <w:r>
                    <w:rPr>
                      <w:kern w:val="0"/>
                      <w:sz w:val="21"/>
                      <w:szCs w:val="21"/>
                      <w:highlight w:val="none"/>
                    </w:rPr>
                    <w:t>15</w:t>
                  </w:r>
                </w:p>
              </w:tc>
              <w:tc>
                <w:tcPr>
                  <w:tcW w:w="1003" w:type="dxa"/>
                  <w:tcBorders>
                    <w:tl2br w:val="nil"/>
                    <w:tr2bl w:val="nil"/>
                  </w:tcBorders>
                  <w:noWrap/>
                  <w:vAlign w:val="center"/>
                </w:tcPr>
                <w:p w14:paraId="7C692E3D">
                  <w:pPr>
                    <w:widowControl/>
                    <w:jc w:val="center"/>
                    <w:rPr>
                      <w:rFonts w:hint="eastAsia" w:eastAsia="宋体"/>
                      <w:kern w:val="0"/>
                      <w:sz w:val="21"/>
                      <w:szCs w:val="21"/>
                      <w:highlight w:val="none"/>
                      <w:lang w:eastAsia="zh-CN"/>
                    </w:rPr>
                  </w:pPr>
                  <w:r>
                    <w:rPr>
                      <w:kern w:val="0"/>
                      <w:sz w:val="21"/>
                      <w:szCs w:val="21"/>
                      <w:highlight w:val="none"/>
                    </w:rPr>
                    <w:t>五日生化需氧量</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66D36AAE">
                  <w:pPr>
                    <w:widowControl/>
                    <w:jc w:val="center"/>
                    <w:rPr>
                      <w:kern w:val="0"/>
                      <w:sz w:val="21"/>
                      <w:szCs w:val="21"/>
                      <w:highlight w:val="none"/>
                    </w:rPr>
                  </w:pPr>
                  <w:r>
                    <w:rPr>
                      <w:kern w:val="0"/>
                      <w:sz w:val="21"/>
                      <w:szCs w:val="21"/>
                      <w:highlight w:val="none"/>
                    </w:rPr>
                    <w:t>2.4</w:t>
                  </w:r>
                </w:p>
              </w:tc>
              <w:tc>
                <w:tcPr>
                  <w:tcW w:w="871" w:type="dxa"/>
                  <w:tcBorders>
                    <w:tl2br w:val="nil"/>
                    <w:tr2bl w:val="nil"/>
                  </w:tcBorders>
                  <w:noWrap/>
                  <w:vAlign w:val="center"/>
                </w:tcPr>
                <w:p w14:paraId="1FF42BA5">
                  <w:pPr>
                    <w:widowControl/>
                    <w:jc w:val="center"/>
                    <w:rPr>
                      <w:kern w:val="0"/>
                      <w:sz w:val="21"/>
                      <w:szCs w:val="21"/>
                      <w:highlight w:val="none"/>
                    </w:rPr>
                  </w:pPr>
                  <w:r>
                    <w:rPr>
                      <w:kern w:val="0"/>
                      <w:sz w:val="21"/>
                      <w:szCs w:val="21"/>
                      <w:highlight w:val="none"/>
                    </w:rPr>
                    <w:t>2.2</w:t>
                  </w:r>
                </w:p>
              </w:tc>
              <w:tc>
                <w:tcPr>
                  <w:tcW w:w="871" w:type="dxa"/>
                  <w:tcBorders>
                    <w:tl2br w:val="nil"/>
                    <w:tr2bl w:val="nil"/>
                  </w:tcBorders>
                  <w:noWrap/>
                  <w:vAlign w:val="center"/>
                </w:tcPr>
                <w:p w14:paraId="0C1C0E65">
                  <w:pPr>
                    <w:widowControl/>
                    <w:jc w:val="center"/>
                    <w:rPr>
                      <w:kern w:val="0"/>
                      <w:sz w:val="21"/>
                      <w:szCs w:val="21"/>
                      <w:highlight w:val="none"/>
                    </w:rPr>
                  </w:pPr>
                  <w:r>
                    <w:rPr>
                      <w:kern w:val="0"/>
                      <w:sz w:val="21"/>
                      <w:szCs w:val="21"/>
                      <w:highlight w:val="none"/>
                    </w:rPr>
                    <w:t>2.1</w:t>
                  </w:r>
                </w:p>
              </w:tc>
              <w:tc>
                <w:tcPr>
                  <w:tcW w:w="871" w:type="dxa"/>
                  <w:tcBorders>
                    <w:tl2br w:val="nil"/>
                    <w:tr2bl w:val="nil"/>
                  </w:tcBorders>
                  <w:noWrap/>
                  <w:vAlign w:val="center"/>
                </w:tcPr>
                <w:p w14:paraId="0AE4642F">
                  <w:pPr>
                    <w:widowControl/>
                    <w:jc w:val="center"/>
                    <w:rPr>
                      <w:kern w:val="0"/>
                      <w:sz w:val="21"/>
                      <w:szCs w:val="21"/>
                      <w:highlight w:val="none"/>
                    </w:rPr>
                  </w:pPr>
                  <w:r>
                    <w:rPr>
                      <w:kern w:val="0"/>
                      <w:sz w:val="21"/>
                      <w:szCs w:val="21"/>
                      <w:highlight w:val="none"/>
                    </w:rPr>
                    <w:t>2.6</w:t>
                  </w:r>
                </w:p>
              </w:tc>
              <w:tc>
                <w:tcPr>
                  <w:tcW w:w="871" w:type="dxa"/>
                  <w:tcBorders>
                    <w:tl2br w:val="nil"/>
                    <w:tr2bl w:val="nil"/>
                  </w:tcBorders>
                  <w:noWrap/>
                  <w:vAlign w:val="center"/>
                </w:tcPr>
                <w:p w14:paraId="3FA5E24E">
                  <w:pPr>
                    <w:widowControl/>
                    <w:jc w:val="center"/>
                    <w:rPr>
                      <w:kern w:val="0"/>
                      <w:sz w:val="21"/>
                      <w:szCs w:val="21"/>
                      <w:highlight w:val="none"/>
                    </w:rPr>
                  </w:pPr>
                  <w:r>
                    <w:rPr>
                      <w:kern w:val="0"/>
                      <w:sz w:val="21"/>
                      <w:szCs w:val="21"/>
                      <w:highlight w:val="none"/>
                    </w:rPr>
                    <w:t>2.2</w:t>
                  </w:r>
                </w:p>
              </w:tc>
              <w:tc>
                <w:tcPr>
                  <w:tcW w:w="871" w:type="dxa"/>
                  <w:tcBorders>
                    <w:tl2br w:val="nil"/>
                    <w:tr2bl w:val="nil"/>
                  </w:tcBorders>
                  <w:noWrap/>
                  <w:vAlign w:val="center"/>
                </w:tcPr>
                <w:p w14:paraId="1AD7F294">
                  <w:pPr>
                    <w:widowControl/>
                    <w:jc w:val="center"/>
                    <w:rPr>
                      <w:kern w:val="0"/>
                      <w:sz w:val="21"/>
                      <w:szCs w:val="21"/>
                      <w:highlight w:val="none"/>
                    </w:rPr>
                  </w:pPr>
                  <w:r>
                    <w:rPr>
                      <w:kern w:val="0"/>
                      <w:sz w:val="21"/>
                      <w:szCs w:val="21"/>
                      <w:highlight w:val="none"/>
                    </w:rPr>
                    <w:t>2.6</w:t>
                  </w:r>
                </w:p>
              </w:tc>
              <w:tc>
                <w:tcPr>
                  <w:tcW w:w="871" w:type="dxa"/>
                  <w:tcBorders>
                    <w:tl2br w:val="nil"/>
                    <w:tr2bl w:val="nil"/>
                  </w:tcBorders>
                  <w:noWrap/>
                  <w:vAlign w:val="center"/>
                </w:tcPr>
                <w:p w14:paraId="0D4386DE">
                  <w:pPr>
                    <w:widowControl/>
                    <w:jc w:val="center"/>
                    <w:rPr>
                      <w:kern w:val="0"/>
                      <w:sz w:val="21"/>
                      <w:szCs w:val="21"/>
                      <w:highlight w:val="none"/>
                    </w:rPr>
                  </w:pPr>
                  <w:r>
                    <w:rPr>
                      <w:kern w:val="0"/>
                      <w:sz w:val="21"/>
                      <w:szCs w:val="21"/>
                      <w:highlight w:val="none"/>
                    </w:rPr>
                    <w:t>2.5</w:t>
                  </w:r>
                </w:p>
              </w:tc>
              <w:tc>
                <w:tcPr>
                  <w:tcW w:w="944" w:type="dxa"/>
                  <w:tcBorders>
                    <w:right w:val="single" w:color="auto" w:sz="4" w:space="0"/>
                    <w:tl2br w:val="nil"/>
                    <w:tr2bl w:val="nil"/>
                  </w:tcBorders>
                  <w:noWrap/>
                  <w:vAlign w:val="center"/>
                </w:tcPr>
                <w:p w14:paraId="4E582CD7">
                  <w:pPr>
                    <w:widowControl/>
                    <w:jc w:val="center"/>
                    <w:rPr>
                      <w:kern w:val="0"/>
                      <w:sz w:val="21"/>
                      <w:szCs w:val="21"/>
                      <w:highlight w:val="none"/>
                    </w:rPr>
                  </w:pPr>
                  <w:r>
                    <w:rPr>
                      <w:kern w:val="0"/>
                      <w:sz w:val="21"/>
                      <w:szCs w:val="21"/>
                      <w:highlight w:val="none"/>
                    </w:rPr>
                    <w:t>4</w:t>
                  </w:r>
                </w:p>
              </w:tc>
            </w:tr>
            <w:tr w14:paraId="63A01B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9613BAA">
                  <w:pPr>
                    <w:widowControl/>
                    <w:jc w:val="center"/>
                    <w:rPr>
                      <w:kern w:val="0"/>
                      <w:sz w:val="21"/>
                      <w:szCs w:val="21"/>
                      <w:highlight w:val="none"/>
                    </w:rPr>
                  </w:pPr>
                  <w:r>
                    <w:rPr>
                      <w:kern w:val="0"/>
                      <w:sz w:val="21"/>
                      <w:szCs w:val="21"/>
                      <w:highlight w:val="none"/>
                    </w:rPr>
                    <w:t>16</w:t>
                  </w:r>
                </w:p>
              </w:tc>
              <w:tc>
                <w:tcPr>
                  <w:tcW w:w="1003" w:type="dxa"/>
                  <w:tcBorders>
                    <w:tl2br w:val="nil"/>
                    <w:tr2bl w:val="nil"/>
                  </w:tcBorders>
                  <w:noWrap/>
                  <w:vAlign w:val="center"/>
                </w:tcPr>
                <w:p w14:paraId="67A5DBD9">
                  <w:pPr>
                    <w:widowControl/>
                    <w:jc w:val="center"/>
                    <w:rPr>
                      <w:rFonts w:hint="eastAsia" w:eastAsia="宋体"/>
                      <w:kern w:val="0"/>
                      <w:sz w:val="21"/>
                      <w:szCs w:val="21"/>
                      <w:highlight w:val="none"/>
                      <w:lang w:eastAsia="zh-CN"/>
                    </w:rPr>
                  </w:pPr>
                  <w:r>
                    <w:rPr>
                      <w:kern w:val="0"/>
                      <w:sz w:val="21"/>
                      <w:szCs w:val="21"/>
                      <w:highlight w:val="none"/>
                    </w:rPr>
                    <w:t>氨氮</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2FD5990C">
                  <w:pPr>
                    <w:widowControl/>
                    <w:jc w:val="center"/>
                    <w:rPr>
                      <w:kern w:val="0"/>
                      <w:sz w:val="21"/>
                      <w:szCs w:val="21"/>
                      <w:highlight w:val="none"/>
                    </w:rPr>
                  </w:pPr>
                  <w:r>
                    <w:rPr>
                      <w:kern w:val="0"/>
                      <w:sz w:val="21"/>
                      <w:szCs w:val="21"/>
                      <w:highlight w:val="none"/>
                    </w:rPr>
                    <w:t>0.254</w:t>
                  </w:r>
                </w:p>
              </w:tc>
              <w:tc>
                <w:tcPr>
                  <w:tcW w:w="871" w:type="dxa"/>
                  <w:tcBorders>
                    <w:tl2br w:val="nil"/>
                    <w:tr2bl w:val="nil"/>
                  </w:tcBorders>
                  <w:noWrap/>
                  <w:vAlign w:val="center"/>
                </w:tcPr>
                <w:p w14:paraId="5910EF7C">
                  <w:pPr>
                    <w:widowControl/>
                    <w:jc w:val="center"/>
                    <w:rPr>
                      <w:kern w:val="0"/>
                      <w:sz w:val="21"/>
                      <w:szCs w:val="21"/>
                      <w:highlight w:val="none"/>
                    </w:rPr>
                  </w:pPr>
                  <w:r>
                    <w:rPr>
                      <w:kern w:val="0"/>
                      <w:sz w:val="21"/>
                      <w:szCs w:val="21"/>
                      <w:highlight w:val="none"/>
                    </w:rPr>
                    <w:t>0.151</w:t>
                  </w:r>
                </w:p>
              </w:tc>
              <w:tc>
                <w:tcPr>
                  <w:tcW w:w="871" w:type="dxa"/>
                  <w:tcBorders>
                    <w:tl2br w:val="nil"/>
                    <w:tr2bl w:val="nil"/>
                  </w:tcBorders>
                  <w:noWrap/>
                  <w:vAlign w:val="center"/>
                </w:tcPr>
                <w:p w14:paraId="3DEDD8BE">
                  <w:pPr>
                    <w:widowControl/>
                    <w:jc w:val="center"/>
                    <w:rPr>
                      <w:kern w:val="0"/>
                      <w:sz w:val="21"/>
                      <w:szCs w:val="21"/>
                      <w:highlight w:val="none"/>
                    </w:rPr>
                  </w:pPr>
                  <w:r>
                    <w:rPr>
                      <w:kern w:val="0"/>
                      <w:sz w:val="21"/>
                      <w:szCs w:val="21"/>
                      <w:highlight w:val="none"/>
                    </w:rPr>
                    <w:t>0.214</w:t>
                  </w:r>
                </w:p>
              </w:tc>
              <w:tc>
                <w:tcPr>
                  <w:tcW w:w="871" w:type="dxa"/>
                  <w:tcBorders>
                    <w:tl2br w:val="nil"/>
                    <w:tr2bl w:val="nil"/>
                  </w:tcBorders>
                  <w:noWrap/>
                  <w:vAlign w:val="center"/>
                </w:tcPr>
                <w:p w14:paraId="61613ED2">
                  <w:pPr>
                    <w:widowControl/>
                    <w:jc w:val="center"/>
                    <w:rPr>
                      <w:kern w:val="0"/>
                      <w:sz w:val="21"/>
                      <w:szCs w:val="21"/>
                      <w:highlight w:val="none"/>
                    </w:rPr>
                  </w:pPr>
                  <w:r>
                    <w:rPr>
                      <w:kern w:val="0"/>
                      <w:sz w:val="21"/>
                      <w:szCs w:val="21"/>
                      <w:highlight w:val="none"/>
                    </w:rPr>
                    <w:t>0.227</w:t>
                  </w:r>
                </w:p>
              </w:tc>
              <w:tc>
                <w:tcPr>
                  <w:tcW w:w="871" w:type="dxa"/>
                  <w:tcBorders>
                    <w:tl2br w:val="nil"/>
                    <w:tr2bl w:val="nil"/>
                  </w:tcBorders>
                  <w:noWrap/>
                  <w:vAlign w:val="center"/>
                </w:tcPr>
                <w:p w14:paraId="033ADACC">
                  <w:pPr>
                    <w:widowControl/>
                    <w:jc w:val="center"/>
                    <w:rPr>
                      <w:kern w:val="0"/>
                      <w:sz w:val="21"/>
                      <w:szCs w:val="21"/>
                      <w:highlight w:val="none"/>
                    </w:rPr>
                  </w:pPr>
                  <w:r>
                    <w:rPr>
                      <w:kern w:val="0"/>
                      <w:sz w:val="21"/>
                      <w:szCs w:val="21"/>
                      <w:highlight w:val="none"/>
                    </w:rPr>
                    <w:t>0.189</w:t>
                  </w:r>
                </w:p>
              </w:tc>
              <w:tc>
                <w:tcPr>
                  <w:tcW w:w="871" w:type="dxa"/>
                  <w:tcBorders>
                    <w:tl2br w:val="nil"/>
                    <w:tr2bl w:val="nil"/>
                  </w:tcBorders>
                  <w:noWrap/>
                  <w:vAlign w:val="center"/>
                </w:tcPr>
                <w:p w14:paraId="1FEA6945">
                  <w:pPr>
                    <w:widowControl/>
                    <w:jc w:val="center"/>
                    <w:rPr>
                      <w:kern w:val="0"/>
                      <w:sz w:val="21"/>
                      <w:szCs w:val="21"/>
                      <w:highlight w:val="none"/>
                    </w:rPr>
                  </w:pPr>
                  <w:r>
                    <w:rPr>
                      <w:kern w:val="0"/>
                      <w:sz w:val="21"/>
                      <w:szCs w:val="21"/>
                      <w:highlight w:val="none"/>
                    </w:rPr>
                    <w:t>0.293</w:t>
                  </w:r>
                </w:p>
              </w:tc>
              <w:tc>
                <w:tcPr>
                  <w:tcW w:w="871" w:type="dxa"/>
                  <w:tcBorders>
                    <w:tl2br w:val="nil"/>
                    <w:tr2bl w:val="nil"/>
                  </w:tcBorders>
                  <w:noWrap/>
                  <w:vAlign w:val="center"/>
                </w:tcPr>
                <w:p w14:paraId="2057F983">
                  <w:pPr>
                    <w:widowControl/>
                    <w:jc w:val="center"/>
                    <w:rPr>
                      <w:kern w:val="0"/>
                      <w:sz w:val="21"/>
                      <w:szCs w:val="21"/>
                      <w:highlight w:val="none"/>
                    </w:rPr>
                  </w:pPr>
                  <w:r>
                    <w:rPr>
                      <w:kern w:val="0"/>
                      <w:sz w:val="21"/>
                      <w:szCs w:val="21"/>
                      <w:highlight w:val="none"/>
                    </w:rPr>
                    <w:t>0.427</w:t>
                  </w:r>
                </w:p>
              </w:tc>
              <w:tc>
                <w:tcPr>
                  <w:tcW w:w="944" w:type="dxa"/>
                  <w:tcBorders>
                    <w:right w:val="single" w:color="auto" w:sz="4" w:space="0"/>
                    <w:tl2br w:val="nil"/>
                    <w:tr2bl w:val="nil"/>
                  </w:tcBorders>
                  <w:noWrap/>
                  <w:vAlign w:val="center"/>
                </w:tcPr>
                <w:p w14:paraId="77D6DF24">
                  <w:pPr>
                    <w:widowControl/>
                    <w:jc w:val="center"/>
                    <w:rPr>
                      <w:kern w:val="0"/>
                      <w:sz w:val="21"/>
                      <w:szCs w:val="21"/>
                      <w:highlight w:val="none"/>
                    </w:rPr>
                  </w:pPr>
                  <w:r>
                    <w:rPr>
                      <w:kern w:val="0"/>
                      <w:sz w:val="21"/>
                      <w:szCs w:val="21"/>
                      <w:highlight w:val="none"/>
                    </w:rPr>
                    <w:t>0.5</w:t>
                  </w:r>
                </w:p>
              </w:tc>
            </w:tr>
            <w:tr w14:paraId="07B63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73D94187">
                  <w:pPr>
                    <w:widowControl/>
                    <w:jc w:val="center"/>
                    <w:rPr>
                      <w:kern w:val="0"/>
                      <w:sz w:val="21"/>
                      <w:szCs w:val="21"/>
                      <w:highlight w:val="none"/>
                    </w:rPr>
                  </w:pPr>
                  <w:r>
                    <w:rPr>
                      <w:kern w:val="0"/>
                      <w:sz w:val="21"/>
                      <w:szCs w:val="21"/>
                      <w:highlight w:val="none"/>
                    </w:rPr>
                    <w:t>17</w:t>
                  </w:r>
                </w:p>
              </w:tc>
              <w:tc>
                <w:tcPr>
                  <w:tcW w:w="1003" w:type="dxa"/>
                  <w:tcBorders>
                    <w:tl2br w:val="nil"/>
                    <w:tr2bl w:val="nil"/>
                  </w:tcBorders>
                  <w:noWrap/>
                  <w:vAlign w:val="center"/>
                </w:tcPr>
                <w:p w14:paraId="7F61897C">
                  <w:pPr>
                    <w:widowControl/>
                    <w:jc w:val="center"/>
                    <w:rPr>
                      <w:rFonts w:hint="eastAsia" w:eastAsia="宋体"/>
                      <w:kern w:val="0"/>
                      <w:sz w:val="21"/>
                      <w:szCs w:val="21"/>
                      <w:highlight w:val="none"/>
                      <w:lang w:eastAsia="zh-CN"/>
                    </w:rPr>
                  </w:pPr>
                  <w:r>
                    <w:rPr>
                      <w:kern w:val="0"/>
                      <w:sz w:val="21"/>
                      <w:szCs w:val="21"/>
                      <w:highlight w:val="none"/>
                    </w:rPr>
                    <w:t>钠</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8C2F278">
                  <w:pPr>
                    <w:widowControl/>
                    <w:jc w:val="center"/>
                    <w:rPr>
                      <w:kern w:val="0"/>
                      <w:sz w:val="21"/>
                      <w:szCs w:val="21"/>
                      <w:highlight w:val="none"/>
                    </w:rPr>
                  </w:pPr>
                  <w:r>
                    <w:rPr>
                      <w:kern w:val="0"/>
                      <w:sz w:val="21"/>
                      <w:szCs w:val="21"/>
                      <w:highlight w:val="none"/>
                    </w:rPr>
                    <w:t>584</w:t>
                  </w:r>
                </w:p>
              </w:tc>
              <w:tc>
                <w:tcPr>
                  <w:tcW w:w="871" w:type="dxa"/>
                  <w:tcBorders>
                    <w:tl2br w:val="nil"/>
                    <w:tr2bl w:val="nil"/>
                  </w:tcBorders>
                  <w:noWrap/>
                  <w:vAlign w:val="center"/>
                </w:tcPr>
                <w:p w14:paraId="68F7B7F5">
                  <w:pPr>
                    <w:widowControl/>
                    <w:jc w:val="center"/>
                    <w:rPr>
                      <w:kern w:val="0"/>
                      <w:sz w:val="21"/>
                      <w:szCs w:val="21"/>
                      <w:highlight w:val="none"/>
                    </w:rPr>
                  </w:pPr>
                  <w:r>
                    <w:rPr>
                      <w:kern w:val="0"/>
                      <w:sz w:val="21"/>
                      <w:szCs w:val="21"/>
                      <w:highlight w:val="none"/>
                    </w:rPr>
                    <w:t>752</w:t>
                  </w:r>
                </w:p>
              </w:tc>
              <w:tc>
                <w:tcPr>
                  <w:tcW w:w="871" w:type="dxa"/>
                  <w:tcBorders>
                    <w:tl2br w:val="nil"/>
                    <w:tr2bl w:val="nil"/>
                  </w:tcBorders>
                  <w:noWrap/>
                  <w:vAlign w:val="center"/>
                </w:tcPr>
                <w:p w14:paraId="40862B8B">
                  <w:pPr>
                    <w:widowControl/>
                    <w:jc w:val="center"/>
                    <w:rPr>
                      <w:kern w:val="0"/>
                      <w:sz w:val="21"/>
                      <w:szCs w:val="21"/>
                      <w:highlight w:val="none"/>
                    </w:rPr>
                  </w:pPr>
                  <w:r>
                    <w:rPr>
                      <w:kern w:val="0"/>
                      <w:sz w:val="21"/>
                      <w:szCs w:val="21"/>
                      <w:highlight w:val="none"/>
                    </w:rPr>
                    <w:t>347</w:t>
                  </w:r>
                </w:p>
              </w:tc>
              <w:tc>
                <w:tcPr>
                  <w:tcW w:w="871" w:type="dxa"/>
                  <w:tcBorders>
                    <w:tl2br w:val="nil"/>
                    <w:tr2bl w:val="nil"/>
                  </w:tcBorders>
                  <w:noWrap/>
                  <w:vAlign w:val="center"/>
                </w:tcPr>
                <w:p w14:paraId="3E69DD22">
                  <w:pPr>
                    <w:widowControl/>
                    <w:jc w:val="center"/>
                    <w:rPr>
                      <w:kern w:val="0"/>
                      <w:sz w:val="21"/>
                      <w:szCs w:val="21"/>
                      <w:highlight w:val="none"/>
                    </w:rPr>
                  </w:pPr>
                  <w:r>
                    <w:rPr>
                      <w:kern w:val="0"/>
                      <w:sz w:val="21"/>
                      <w:szCs w:val="21"/>
                      <w:highlight w:val="none"/>
                    </w:rPr>
                    <w:t>778</w:t>
                  </w:r>
                </w:p>
              </w:tc>
              <w:tc>
                <w:tcPr>
                  <w:tcW w:w="871" w:type="dxa"/>
                  <w:tcBorders>
                    <w:tl2br w:val="nil"/>
                    <w:tr2bl w:val="nil"/>
                  </w:tcBorders>
                  <w:noWrap/>
                  <w:vAlign w:val="center"/>
                </w:tcPr>
                <w:p w14:paraId="71B5FA4A">
                  <w:pPr>
                    <w:widowControl/>
                    <w:jc w:val="center"/>
                    <w:rPr>
                      <w:kern w:val="0"/>
                      <w:sz w:val="21"/>
                      <w:szCs w:val="21"/>
                      <w:highlight w:val="none"/>
                    </w:rPr>
                  </w:pPr>
                  <w:r>
                    <w:rPr>
                      <w:kern w:val="0"/>
                      <w:sz w:val="21"/>
                      <w:szCs w:val="21"/>
                      <w:highlight w:val="none"/>
                    </w:rPr>
                    <w:t>730</w:t>
                  </w:r>
                </w:p>
              </w:tc>
              <w:tc>
                <w:tcPr>
                  <w:tcW w:w="871" w:type="dxa"/>
                  <w:tcBorders>
                    <w:tl2br w:val="nil"/>
                    <w:tr2bl w:val="nil"/>
                  </w:tcBorders>
                  <w:noWrap/>
                  <w:vAlign w:val="center"/>
                </w:tcPr>
                <w:p w14:paraId="4D42C236">
                  <w:pPr>
                    <w:widowControl/>
                    <w:jc w:val="center"/>
                    <w:rPr>
                      <w:kern w:val="0"/>
                      <w:sz w:val="21"/>
                      <w:szCs w:val="21"/>
                      <w:highlight w:val="none"/>
                    </w:rPr>
                  </w:pPr>
                  <w:r>
                    <w:rPr>
                      <w:kern w:val="0"/>
                      <w:sz w:val="21"/>
                      <w:szCs w:val="21"/>
                      <w:highlight w:val="none"/>
                    </w:rPr>
                    <w:t>826</w:t>
                  </w:r>
                </w:p>
              </w:tc>
              <w:tc>
                <w:tcPr>
                  <w:tcW w:w="871" w:type="dxa"/>
                  <w:tcBorders>
                    <w:tl2br w:val="nil"/>
                    <w:tr2bl w:val="nil"/>
                  </w:tcBorders>
                  <w:noWrap/>
                  <w:vAlign w:val="center"/>
                </w:tcPr>
                <w:p w14:paraId="71287C79">
                  <w:pPr>
                    <w:widowControl/>
                    <w:jc w:val="center"/>
                    <w:rPr>
                      <w:kern w:val="0"/>
                      <w:sz w:val="21"/>
                      <w:szCs w:val="21"/>
                      <w:highlight w:val="none"/>
                    </w:rPr>
                  </w:pPr>
                  <w:r>
                    <w:rPr>
                      <w:kern w:val="0"/>
                      <w:sz w:val="21"/>
                      <w:szCs w:val="21"/>
                      <w:highlight w:val="none"/>
                    </w:rPr>
                    <w:t>528</w:t>
                  </w:r>
                </w:p>
              </w:tc>
              <w:tc>
                <w:tcPr>
                  <w:tcW w:w="944" w:type="dxa"/>
                  <w:tcBorders>
                    <w:right w:val="single" w:color="auto" w:sz="4" w:space="0"/>
                    <w:tl2br w:val="nil"/>
                    <w:tr2bl w:val="nil"/>
                  </w:tcBorders>
                  <w:noWrap/>
                  <w:vAlign w:val="center"/>
                </w:tcPr>
                <w:p w14:paraId="6E9EA69E">
                  <w:pPr>
                    <w:widowControl/>
                    <w:jc w:val="center"/>
                    <w:rPr>
                      <w:kern w:val="0"/>
                      <w:sz w:val="21"/>
                      <w:szCs w:val="21"/>
                      <w:highlight w:val="none"/>
                    </w:rPr>
                  </w:pPr>
                  <w:r>
                    <w:rPr>
                      <w:kern w:val="0"/>
                      <w:sz w:val="21"/>
                      <w:szCs w:val="21"/>
                      <w:highlight w:val="none"/>
                    </w:rPr>
                    <w:t>200</w:t>
                  </w:r>
                </w:p>
              </w:tc>
            </w:tr>
            <w:tr w14:paraId="0C2E1E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62849BF4">
                  <w:pPr>
                    <w:widowControl/>
                    <w:jc w:val="center"/>
                    <w:rPr>
                      <w:kern w:val="0"/>
                      <w:sz w:val="21"/>
                      <w:szCs w:val="21"/>
                      <w:highlight w:val="none"/>
                    </w:rPr>
                  </w:pPr>
                  <w:r>
                    <w:rPr>
                      <w:kern w:val="0"/>
                      <w:sz w:val="21"/>
                      <w:szCs w:val="21"/>
                      <w:highlight w:val="none"/>
                    </w:rPr>
                    <w:t>18</w:t>
                  </w:r>
                </w:p>
              </w:tc>
              <w:tc>
                <w:tcPr>
                  <w:tcW w:w="1003" w:type="dxa"/>
                  <w:tcBorders>
                    <w:tl2br w:val="nil"/>
                    <w:tr2bl w:val="nil"/>
                  </w:tcBorders>
                  <w:noWrap/>
                  <w:vAlign w:val="center"/>
                </w:tcPr>
                <w:p w14:paraId="55A31DD0">
                  <w:pPr>
                    <w:widowControl/>
                    <w:jc w:val="center"/>
                    <w:rPr>
                      <w:rFonts w:hint="eastAsia" w:eastAsia="宋体"/>
                      <w:kern w:val="0"/>
                      <w:sz w:val="21"/>
                      <w:szCs w:val="21"/>
                      <w:highlight w:val="none"/>
                      <w:lang w:eastAsia="zh-CN"/>
                    </w:rPr>
                  </w:pPr>
                  <w:r>
                    <w:rPr>
                      <w:kern w:val="0"/>
                      <w:sz w:val="21"/>
                      <w:szCs w:val="21"/>
                      <w:highlight w:val="none"/>
                    </w:rPr>
                    <w:t>氰化物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2B14FAB5">
                  <w:pPr>
                    <w:widowControl/>
                    <w:jc w:val="center"/>
                    <w:rPr>
                      <w:kern w:val="0"/>
                      <w:sz w:val="21"/>
                      <w:szCs w:val="21"/>
                      <w:highlight w:val="none"/>
                    </w:rPr>
                  </w:pPr>
                  <w:r>
                    <w:rPr>
                      <w:kern w:val="0"/>
                      <w:sz w:val="21"/>
                      <w:szCs w:val="21"/>
                      <w:highlight w:val="none"/>
                    </w:rPr>
                    <w:t>0.001L</w:t>
                  </w:r>
                </w:p>
              </w:tc>
              <w:tc>
                <w:tcPr>
                  <w:tcW w:w="871" w:type="dxa"/>
                  <w:tcBorders>
                    <w:tl2br w:val="nil"/>
                    <w:tr2bl w:val="nil"/>
                  </w:tcBorders>
                  <w:noWrap/>
                  <w:vAlign w:val="center"/>
                </w:tcPr>
                <w:p w14:paraId="6439AD4B">
                  <w:pPr>
                    <w:widowControl/>
                    <w:jc w:val="center"/>
                    <w:rPr>
                      <w:kern w:val="0"/>
                      <w:sz w:val="21"/>
                      <w:szCs w:val="21"/>
                      <w:highlight w:val="none"/>
                    </w:rPr>
                  </w:pPr>
                  <w:r>
                    <w:rPr>
                      <w:kern w:val="0"/>
                      <w:sz w:val="21"/>
                      <w:szCs w:val="21"/>
                      <w:highlight w:val="none"/>
                    </w:rPr>
                    <w:t>0.001L</w:t>
                  </w:r>
                </w:p>
              </w:tc>
              <w:tc>
                <w:tcPr>
                  <w:tcW w:w="871" w:type="dxa"/>
                  <w:tcBorders>
                    <w:tl2br w:val="nil"/>
                    <w:tr2bl w:val="nil"/>
                  </w:tcBorders>
                  <w:noWrap/>
                  <w:vAlign w:val="center"/>
                </w:tcPr>
                <w:p w14:paraId="2A544DC5">
                  <w:pPr>
                    <w:widowControl/>
                    <w:jc w:val="center"/>
                    <w:rPr>
                      <w:kern w:val="0"/>
                      <w:sz w:val="21"/>
                      <w:szCs w:val="21"/>
                      <w:highlight w:val="none"/>
                    </w:rPr>
                  </w:pPr>
                  <w:r>
                    <w:rPr>
                      <w:kern w:val="0"/>
                      <w:sz w:val="21"/>
                      <w:szCs w:val="21"/>
                      <w:highlight w:val="none"/>
                    </w:rPr>
                    <w:t>0.001L</w:t>
                  </w:r>
                </w:p>
              </w:tc>
              <w:tc>
                <w:tcPr>
                  <w:tcW w:w="871" w:type="dxa"/>
                  <w:tcBorders>
                    <w:tl2br w:val="nil"/>
                    <w:tr2bl w:val="nil"/>
                  </w:tcBorders>
                  <w:noWrap/>
                  <w:vAlign w:val="center"/>
                </w:tcPr>
                <w:p w14:paraId="4290B36B">
                  <w:pPr>
                    <w:widowControl/>
                    <w:jc w:val="center"/>
                    <w:rPr>
                      <w:kern w:val="0"/>
                      <w:sz w:val="21"/>
                      <w:szCs w:val="21"/>
                      <w:highlight w:val="none"/>
                    </w:rPr>
                  </w:pPr>
                  <w:r>
                    <w:rPr>
                      <w:kern w:val="0"/>
                      <w:sz w:val="21"/>
                      <w:szCs w:val="21"/>
                      <w:highlight w:val="none"/>
                    </w:rPr>
                    <w:t>0.001L</w:t>
                  </w:r>
                </w:p>
              </w:tc>
              <w:tc>
                <w:tcPr>
                  <w:tcW w:w="871" w:type="dxa"/>
                  <w:tcBorders>
                    <w:tl2br w:val="nil"/>
                    <w:tr2bl w:val="nil"/>
                  </w:tcBorders>
                  <w:noWrap/>
                  <w:vAlign w:val="center"/>
                </w:tcPr>
                <w:p w14:paraId="06553F11">
                  <w:pPr>
                    <w:widowControl/>
                    <w:jc w:val="center"/>
                    <w:rPr>
                      <w:kern w:val="0"/>
                      <w:sz w:val="21"/>
                      <w:szCs w:val="21"/>
                      <w:highlight w:val="none"/>
                    </w:rPr>
                  </w:pPr>
                  <w:r>
                    <w:rPr>
                      <w:kern w:val="0"/>
                      <w:sz w:val="21"/>
                      <w:szCs w:val="21"/>
                      <w:highlight w:val="none"/>
                    </w:rPr>
                    <w:t>0.001L</w:t>
                  </w:r>
                </w:p>
              </w:tc>
              <w:tc>
                <w:tcPr>
                  <w:tcW w:w="871" w:type="dxa"/>
                  <w:tcBorders>
                    <w:tl2br w:val="nil"/>
                    <w:tr2bl w:val="nil"/>
                  </w:tcBorders>
                  <w:noWrap/>
                  <w:vAlign w:val="center"/>
                </w:tcPr>
                <w:p w14:paraId="6AC9297D">
                  <w:pPr>
                    <w:widowControl/>
                    <w:jc w:val="center"/>
                    <w:rPr>
                      <w:kern w:val="0"/>
                      <w:sz w:val="21"/>
                      <w:szCs w:val="21"/>
                      <w:highlight w:val="none"/>
                    </w:rPr>
                  </w:pPr>
                  <w:r>
                    <w:rPr>
                      <w:kern w:val="0"/>
                      <w:sz w:val="21"/>
                      <w:szCs w:val="21"/>
                      <w:highlight w:val="none"/>
                    </w:rPr>
                    <w:t>0.001L</w:t>
                  </w:r>
                </w:p>
              </w:tc>
              <w:tc>
                <w:tcPr>
                  <w:tcW w:w="871" w:type="dxa"/>
                  <w:tcBorders>
                    <w:tl2br w:val="nil"/>
                    <w:tr2bl w:val="nil"/>
                  </w:tcBorders>
                  <w:noWrap/>
                  <w:vAlign w:val="center"/>
                </w:tcPr>
                <w:p w14:paraId="0A1FC585">
                  <w:pPr>
                    <w:widowControl/>
                    <w:jc w:val="center"/>
                    <w:rPr>
                      <w:kern w:val="0"/>
                      <w:sz w:val="21"/>
                      <w:szCs w:val="21"/>
                      <w:highlight w:val="none"/>
                    </w:rPr>
                  </w:pPr>
                  <w:r>
                    <w:rPr>
                      <w:kern w:val="0"/>
                      <w:sz w:val="21"/>
                      <w:szCs w:val="21"/>
                      <w:highlight w:val="none"/>
                    </w:rPr>
                    <w:t>0.001L</w:t>
                  </w:r>
                </w:p>
              </w:tc>
              <w:tc>
                <w:tcPr>
                  <w:tcW w:w="944" w:type="dxa"/>
                  <w:tcBorders>
                    <w:right w:val="single" w:color="auto" w:sz="4" w:space="0"/>
                    <w:tl2br w:val="nil"/>
                    <w:tr2bl w:val="nil"/>
                  </w:tcBorders>
                  <w:noWrap/>
                  <w:vAlign w:val="center"/>
                </w:tcPr>
                <w:p w14:paraId="2880CB69">
                  <w:pPr>
                    <w:widowControl/>
                    <w:jc w:val="center"/>
                    <w:rPr>
                      <w:kern w:val="0"/>
                      <w:sz w:val="21"/>
                      <w:szCs w:val="21"/>
                      <w:highlight w:val="none"/>
                    </w:rPr>
                  </w:pPr>
                  <w:r>
                    <w:rPr>
                      <w:kern w:val="0"/>
                      <w:sz w:val="21"/>
                      <w:szCs w:val="21"/>
                      <w:highlight w:val="none"/>
                    </w:rPr>
                    <w:t>0.05</w:t>
                  </w:r>
                </w:p>
              </w:tc>
            </w:tr>
            <w:tr w14:paraId="17BCF4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5785B28B">
                  <w:pPr>
                    <w:widowControl/>
                    <w:jc w:val="center"/>
                    <w:rPr>
                      <w:kern w:val="0"/>
                      <w:sz w:val="21"/>
                      <w:szCs w:val="21"/>
                      <w:highlight w:val="none"/>
                    </w:rPr>
                  </w:pPr>
                  <w:r>
                    <w:rPr>
                      <w:kern w:val="0"/>
                      <w:sz w:val="21"/>
                      <w:szCs w:val="21"/>
                      <w:highlight w:val="none"/>
                    </w:rPr>
                    <w:t>19</w:t>
                  </w:r>
                </w:p>
              </w:tc>
              <w:tc>
                <w:tcPr>
                  <w:tcW w:w="1003" w:type="dxa"/>
                  <w:tcBorders>
                    <w:tl2br w:val="nil"/>
                    <w:tr2bl w:val="nil"/>
                  </w:tcBorders>
                  <w:noWrap/>
                  <w:vAlign w:val="center"/>
                </w:tcPr>
                <w:p w14:paraId="13E57522">
                  <w:pPr>
                    <w:widowControl/>
                    <w:jc w:val="center"/>
                    <w:rPr>
                      <w:rFonts w:hint="eastAsia" w:eastAsia="宋体"/>
                      <w:kern w:val="0"/>
                      <w:sz w:val="21"/>
                      <w:szCs w:val="21"/>
                      <w:highlight w:val="none"/>
                      <w:lang w:eastAsia="zh-CN"/>
                    </w:rPr>
                  </w:pPr>
                  <w:r>
                    <w:rPr>
                      <w:kern w:val="0"/>
                      <w:sz w:val="21"/>
                      <w:szCs w:val="21"/>
                      <w:highlight w:val="none"/>
                    </w:rPr>
                    <w:t>硫化物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AD63C70">
                  <w:pPr>
                    <w:widowControl/>
                    <w:jc w:val="center"/>
                    <w:rPr>
                      <w:kern w:val="0"/>
                      <w:sz w:val="21"/>
                      <w:szCs w:val="21"/>
                      <w:highlight w:val="none"/>
                    </w:rPr>
                  </w:pPr>
                  <w:r>
                    <w:rPr>
                      <w:kern w:val="0"/>
                      <w:sz w:val="21"/>
                      <w:szCs w:val="21"/>
                      <w:highlight w:val="none"/>
                    </w:rPr>
                    <w:t>0.003L</w:t>
                  </w:r>
                </w:p>
              </w:tc>
              <w:tc>
                <w:tcPr>
                  <w:tcW w:w="871" w:type="dxa"/>
                  <w:tcBorders>
                    <w:tl2br w:val="nil"/>
                    <w:tr2bl w:val="nil"/>
                  </w:tcBorders>
                  <w:noWrap/>
                  <w:vAlign w:val="center"/>
                </w:tcPr>
                <w:p w14:paraId="475EF93B">
                  <w:pPr>
                    <w:widowControl/>
                    <w:jc w:val="center"/>
                    <w:rPr>
                      <w:kern w:val="0"/>
                      <w:sz w:val="21"/>
                      <w:szCs w:val="21"/>
                      <w:highlight w:val="none"/>
                    </w:rPr>
                  </w:pPr>
                  <w:r>
                    <w:rPr>
                      <w:kern w:val="0"/>
                      <w:sz w:val="21"/>
                      <w:szCs w:val="21"/>
                      <w:highlight w:val="none"/>
                    </w:rPr>
                    <w:t>0.003L</w:t>
                  </w:r>
                </w:p>
              </w:tc>
              <w:tc>
                <w:tcPr>
                  <w:tcW w:w="871" w:type="dxa"/>
                  <w:tcBorders>
                    <w:tl2br w:val="nil"/>
                    <w:tr2bl w:val="nil"/>
                  </w:tcBorders>
                  <w:noWrap/>
                  <w:vAlign w:val="center"/>
                </w:tcPr>
                <w:p w14:paraId="2C5CBD76">
                  <w:pPr>
                    <w:widowControl/>
                    <w:jc w:val="center"/>
                    <w:rPr>
                      <w:kern w:val="0"/>
                      <w:sz w:val="21"/>
                      <w:szCs w:val="21"/>
                      <w:highlight w:val="none"/>
                    </w:rPr>
                  </w:pPr>
                  <w:r>
                    <w:rPr>
                      <w:kern w:val="0"/>
                      <w:sz w:val="21"/>
                      <w:szCs w:val="21"/>
                      <w:highlight w:val="none"/>
                    </w:rPr>
                    <w:t>0.003L</w:t>
                  </w:r>
                </w:p>
              </w:tc>
              <w:tc>
                <w:tcPr>
                  <w:tcW w:w="871" w:type="dxa"/>
                  <w:tcBorders>
                    <w:tl2br w:val="nil"/>
                    <w:tr2bl w:val="nil"/>
                  </w:tcBorders>
                  <w:noWrap/>
                  <w:vAlign w:val="center"/>
                </w:tcPr>
                <w:p w14:paraId="2642BA38">
                  <w:pPr>
                    <w:widowControl/>
                    <w:jc w:val="center"/>
                    <w:rPr>
                      <w:kern w:val="0"/>
                      <w:sz w:val="21"/>
                      <w:szCs w:val="21"/>
                      <w:highlight w:val="none"/>
                    </w:rPr>
                  </w:pPr>
                  <w:r>
                    <w:rPr>
                      <w:kern w:val="0"/>
                      <w:sz w:val="21"/>
                      <w:szCs w:val="21"/>
                      <w:highlight w:val="none"/>
                    </w:rPr>
                    <w:t>0.003L</w:t>
                  </w:r>
                </w:p>
              </w:tc>
              <w:tc>
                <w:tcPr>
                  <w:tcW w:w="871" w:type="dxa"/>
                  <w:tcBorders>
                    <w:tl2br w:val="nil"/>
                    <w:tr2bl w:val="nil"/>
                  </w:tcBorders>
                  <w:noWrap/>
                  <w:vAlign w:val="center"/>
                </w:tcPr>
                <w:p w14:paraId="69B99FB0">
                  <w:pPr>
                    <w:widowControl/>
                    <w:jc w:val="center"/>
                    <w:rPr>
                      <w:kern w:val="0"/>
                      <w:sz w:val="21"/>
                      <w:szCs w:val="21"/>
                      <w:highlight w:val="none"/>
                    </w:rPr>
                  </w:pPr>
                  <w:r>
                    <w:rPr>
                      <w:kern w:val="0"/>
                      <w:sz w:val="21"/>
                      <w:szCs w:val="21"/>
                      <w:highlight w:val="none"/>
                    </w:rPr>
                    <w:t>0.003L</w:t>
                  </w:r>
                </w:p>
              </w:tc>
              <w:tc>
                <w:tcPr>
                  <w:tcW w:w="871" w:type="dxa"/>
                  <w:tcBorders>
                    <w:tl2br w:val="nil"/>
                    <w:tr2bl w:val="nil"/>
                  </w:tcBorders>
                  <w:noWrap/>
                  <w:vAlign w:val="center"/>
                </w:tcPr>
                <w:p w14:paraId="2B452B61">
                  <w:pPr>
                    <w:widowControl/>
                    <w:jc w:val="center"/>
                    <w:rPr>
                      <w:kern w:val="0"/>
                      <w:sz w:val="21"/>
                      <w:szCs w:val="21"/>
                      <w:highlight w:val="none"/>
                    </w:rPr>
                  </w:pPr>
                  <w:r>
                    <w:rPr>
                      <w:kern w:val="0"/>
                      <w:sz w:val="21"/>
                      <w:szCs w:val="21"/>
                      <w:highlight w:val="none"/>
                    </w:rPr>
                    <w:t>0.003L</w:t>
                  </w:r>
                </w:p>
              </w:tc>
              <w:tc>
                <w:tcPr>
                  <w:tcW w:w="871" w:type="dxa"/>
                  <w:tcBorders>
                    <w:tl2br w:val="nil"/>
                    <w:tr2bl w:val="nil"/>
                  </w:tcBorders>
                  <w:noWrap/>
                  <w:vAlign w:val="center"/>
                </w:tcPr>
                <w:p w14:paraId="59AC6FCE">
                  <w:pPr>
                    <w:widowControl/>
                    <w:jc w:val="center"/>
                    <w:rPr>
                      <w:kern w:val="0"/>
                      <w:sz w:val="21"/>
                      <w:szCs w:val="21"/>
                      <w:highlight w:val="none"/>
                    </w:rPr>
                  </w:pPr>
                  <w:r>
                    <w:rPr>
                      <w:kern w:val="0"/>
                      <w:sz w:val="21"/>
                      <w:szCs w:val="21"/>
                      <w:highlight w:val="none"/>
                    </w:rPr>
                    <w:t>0.003L</w:t>
                  </w:r>
                </w:p>
              </w:tc>
              <w:tc>
                <w:tcPr>
                  <w:tcW w:w="944" w:type="dxa"/>
                  <w:tcBorders>
                    <w:right w:val="single" w:color="auto" w:sz="4" w:space="0"/>
                    <w:tl2br w:val="nil"/>
                    <w:tr2bl w:val="nil"/>
                  </w:tcBorders>
                  <w:noWrap/>
                  <w:vAlign w:val="center"/>
                </w:tcPr>
                <w:p w14:paraId="6EDC8252">
                  <w:pPr>
                    <w:widowControl/>
                    <w:jc w:val="center"/>
                    <w:rPr>
                      <w:kern w:val="0"/>
                      <w:sz w:val="21"/>
                      <w:szCs w:val="21"/>
                      <w:highlight w:val="none"/>
                    </w:rPr>
                  </w:pPr>
                  <w:r>
                    <w:rPr>
                      <w:kern w:val="0"/>
                      <w:sz w:val="21"/>
                      <w:szCs w:val="21"/>
                      <w:highlight w:val="none"/>
                    </w:rPr>
                    <w:t>0.02</w:t>
                  </w:r>
                </w:p>
              </w:tc>
            </w:tr>
            <w:tr w14:paraId="05A07D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141B5CA1">
                  <w:pPr>
                    <w:widowControl/>
                    <w:jc w:val="center"/>
                    <w:rPr>
                      <w:kern w:val="0"/>
                      <w:sz w:val="21"/>
                      <w:szCs w:val="21"/>
                      <w:highlight w:val="none"/>
                    </w:rPr>
                  </w:pPr>
                  <w:r>
                    <w:rPr>
                      <w:kern w:val="0"/>
                      <w:sz w:val="21"/>
                      <w:szCs w:val="21"/>
                      <w:highlight w:val="none"/>
                    </w:rPr>
                    <w:t>20</w:t>
                  </w:r>
                </w:p>
              </w:tc>
              <w:tc>
                <w:tcPr>
                  <w:tcW w:w="1003" w:type="dxa"/>
                  <w:tcBorders>
                    <w:tl2br w:val="nil"/>
                    <w:tr2bl w:val="nil"/>
                  </w:tcBorders>
                  <w:noWrap/>
                  <w:vAlign w:val="center"/>
                </w:tcPr>
                <w:p w14:paraId="528F52F3">
                  <w:pPr>
                    <w:widowControl/>
                    <w:jc w:val="center"/>
                    <w:rPr>
                      <w:rFonts w:hint="eastAsia" w:eastAsia="宋体"/>
                      <w:kern w:val="0"/>
                      <w:sz w:val="21"/>
                      <w:szCs w:val="21"/>
                      <w:highlight w:val="none"/>
                      <w:lang w:eastAsia="zh-CN"/>
                    </w:rPr>
                  </w:pPr>
                  <w:r>
                    <w:rPr>
                      <w:kern w:val="0"/>
                      <w:sz w:val="21"/>
                      <w:szCs w:val="21"/>
                      <w:highlight w:val="none"/>
                    </w:rPr>
                    <w:t>钙</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67CB8E1B">
                  <w:pPr>
                    <w:widowControl/>
                    <w:jc w:val="center"/>
                    <w:rPr>
                      <w:kern w:val="0"/>
                      <w:sz w:val="21"/>
                      <w:szCs w:val="21"/>
                      <w:highlight w:val="none"/>
                    </w:rPr>
                  </w:pPr>
                  <w:r>
                    <w:rPr>
                      <w:kern w:val="0"/>
                      <w:sz w:val="21"/>
                      <w:szCs w:val="21"/>
                      <w:highlight w:val="none"/>
                    </w:rPr>
                    <w:t>39.2</w:t>
                  </w:r>
                </w:p>
              </w:tc>
              <w:tc>
                <w:tcPr>
                  <w:tcW w:w="871" w:type="dxa"/>
                  <w:tcBorders>
                    <w:tl2br w:val="nil"/>
                    <w:tr2bl w:val="nil"/>
                  </w:tcBorders>
                  <w:noWrap/>
                  <w:vAlign w:val="center"/>
                </w:tcPr>
                <w:p w14:paraId="2352EB4B">
                  <w:pPr>
                    <w:widowControl/>
                    <w:jc w:val="center"/>
                    <w:rPr>
                      <w:kern w:val="0"/>
                      <w:sz w:val="21"/>
                      <w:szCs w:val="21"/>
                      <w:highlight w:val="none"/>
                    </w:rPr>
                  </w:pPr>
                  <w:r>
                    <w:rPr>
                      <w:kern w:val="0"/>
                      <w:sz w:val="21"/>
                      <w:szCs w:val="21"/>
                      <w:highlight w:val="none"/>
                    </w:rPr>
                    <w:t>58.8</w:t>
                  </w:r>
                </w:p>
              </w:tc>
              <w:tc>
                <w:tcPr>
                  <w:tcW w:w="871" w:type="dxa"/>
                  <w:tcBorders>
                    <w:tl2br w:val="nil"/>
                    <w:tr2bl w:val="nil"/>
                  </w:tcBorders>
                  <w:noWrap/>
                  <w:vAlign w:val="center"/>
                </w:tcPr>
                <w:p w14:paraId="0FF24E88">
                  <w:pPr>
                    <w:widowControl/>
                    <w:jc w:val="center"/>
                    <w:rPr>
                      <w:kern w:val="0"/>
                      <w:sz w:val="21"/>
                      <w:szCs w:val="21"/>
                      <w:highlight w:val="none"/>
                    </w:rPr>
                  </w:pPr>
                  <w:r>
                    <w:rPr>
                      <w:kern w:val="0"/>
                      <w:sz w:val="21"/>
                      <w:szCs w:val="21"/>
                      <w:highlight w:val="none"/>
                    </w:rPr>
                    <w:t>47.8</w:t>
                  </w:r>
                </w:p>
              </w:tc>
              <w:tc>
                <w:tcPr>
                  <w:tcW w:w="871" w:type="dxa"/>
                  <w:tcBorders>
                    <w:tl2br w:val="nil"/>
                    <w:tr2bl w:val="nil"/>
                  </w:tcBorders>
                  <w:noWrap/>
                  <w:vAlign w:val="center"/>
                </w:tcPr>
                <w:p w14:paraId="064BA7C5">
                  <w:pPr>
                    <w:widowControl/>
                    <w:jc w:val="center"/>
                    <w:rPr>
                      <w:kern w:val="0"/>
                      <w:sz w:val="21"/>
                      <w:szCs w:val="21"/>
                      <w:highlight w:val="none"/>
                    </w:rPr>
                  </w:pPr>
                  <w:r>
                    <w:rPr>
                      <w:kern w:val="0"/>
                      <w:sz w:val="21"/>
                      <w:szCs w:val="21"/>
                      <w:highlight w:val="none"/>
                    </w:rPr>
                    <w:t>64.4</w:t>
                  </w:r>
                </w:p>
              </w:tc>
              <w:tc>
                <w:tcPr>
                  <w:tcW w:w="871" w:type="dxa"/>
                  <w:tcBorders>
                    <w:tl2br w:val="nil"/>
                    <w:tr2bl w:val="nil"/>
                  </w:tcBorders>
                  <w:noWrap/>
                  <w:vAlign w:val="center"/>
                </w:tcPr>
                <w:p w14:paraId="3B433888">
                  <w:pPr>
                    <w:widowControl/>
                    <w:jc w:val="center"/>
                    <w:rPr>
                      <w:kern w:val="0"/>
                      <w:sz w:val="21"/>
                      <w:szCs w:val="21"/>
                      <w:highlight w:val="none"/>
                    </w:rPr>
                  </w:pPr>
                  <w:r>
                    <w:rPr>
                      <w:kern w:val="0"/>
                      <w:sz w:val="21"/>
                      <w:szCs w:val="21"/>
                      <w:highlight w:val="none"/>
                    </w:rPr>
                    <w:t>58.2</w:t>
                  </w:r>
                </w:p>
              </w:tc>
              <w:tc>
                <w:tcPr>
                  <w:tcW w:w="871" w:type="dxa"/>
                  <w:tcBorders>
                    <w:tl2br w:val="nil"/>
                    <w:tr2bl w:val="nil"/>
                  </w:tcBorders>
                  <w:noWrap/>
                  <w:vAlign w:val="center"/>
                </w:tcPr>
                <w:p w14:paraId="5F87A79A">
                  <w:pPr>
                    <w:widowControl/>
                    <w:jc w:val="center"/>
                    <w:rPr>
                      <w:kern w:val="0"/>
                      <w:sz w:val="21"/>
                      <w:szCs w:val="21"/>
                      <w:highlight w:val="none"/>
                    </w:rPr>
                  </w:pPr>
                  <w:r>
                    <w:rPr>
                      <w:kern w:val="0"/>
                      <w:sz w:val="21"/>
                      <w:szCs w:val="21"/>
                      <w:highlight w:val="none"/>
                    </w:rPr>
                    <w:t>48.6</w:t>
                  </w:r>
                </w:p>
              </w:tc>
              <w:tc>
                <w:tcPr>
                  <w:tcW w:w="871" w:type="dxa"/>
                  <w:tcBorders>
                    <w:tl2br w:val="nil"/>
                    <w:tr2bl w:val="nil"/>
                  </w:tcBorders>
                  <w:noWrap/>
                  <w:vAlign w:val="center"/>
                </w:tcPr>
                <w:p w14:paraId="0BD03AA0">
                  <w:pPr>
                    <w:widowControl/>
                    <w:jc w:val="center"/>
                    <w:rPr>
                      <w:kern w:val="0"/>
                      <w:sz w:val="21"/>
                      <w:szCs w:val="21"/>
                      <w:highlight w:val="none"/>
                    </w:rPr>
                  </w:pPr>
                  <w:r>
                    <w:rPr>
                      <w:kern w:val="0"/>
                      <w:sz w:val="21"/>
                      <w:szCs w:val="21"/>
                      <w:highlight w:val="none"/>
                    </w:rPr>
                    <w:t>25.5</w:t>
                  </w:r>
                </w:p>
              </w:tc>
              <w:tc>
                <w:tcPr>
                  <w:tcW w:w="944" w:type="dxa"/>
                  <w:tcBorders>
                    <w:right w:val="single" w:color="auto" w:sz="4" w:space="0"/>
                    <w:tl2br w:val="nil"/>
                    <w:tr2bl w:val="nil"/>
                  </w:tcBorders>
                  <w:noWrap/>
                  <w:vAlign w:val="center"/>
                </w:tcPr>
                <w:p w14:paraId="65E8F3FF">
                  <w:pPr>
                    <w:widowControl/>
                    <w:jc w:val="center"/>
                    <w:rPr>
                      <w:kern w:val="0"/>
                      <w:sz w:val="21"/>
                      <w:szCs w:val="21"/>
                      <w:highlight w:val="none"/>
                    </w:rPr>
                  </w:pPr>
                  <w:r>
                    <w:rPr>
                      <w:kern w:val="0"/>
                      <w:sz w:val="21"/>
                      <w:szCs w:val="21"/>
                      <w:highlight w:val="none"/>
                    </w:rPr>
                    <w:t>/</w:t>
                  </w:r>
                </w:p>
              </w:tc>
            </w:tr>
            <w:tr w14:paraId="5F1970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9530B52">
                  <w:pPr>
                    <w:widowControl/>
                    <w:jc w:val="center"/>
                    <w:rPr>
                      <w:kern w:val="0"/>
                      <w:sz w:val="21"/>
                      <w:szCs w:val="21"/>
                      <w:highlight w:val="none"/>
                    </w:rPr>
                  </w:pPr>
                  <w:r>
                    <w:rPr>
                      <w:kern w:val="0"/>
                      <w:sz w:val="21"/>
                      <w:szCs w:val="21"/>
                      <w:highlight w:val="none"/>
                    </w:rPr>
                    <w:t>21</w:t>
                  </w:r>
                </w:p>
              </w:tc>
              <w:tc>
                <w:tcPr>
                  <w:tcW w:w="1003" w:type="dxa"/>
                  <w:tcBorders>
                    <w:tl2br w:val="nil"/>
                    <w:tr2bl w:val="nil"/>
                  </w:tcBorders>
                  <w:noWrap/>
                  <w:vAlign w:val="center"/>
                </w:tcPr>
                <w:p w14:paraId="783951C2">
                  <w:pPr>
                    <w:widowControl/>
                    <w:jc w:val="center"/>
                    <w:rPr>
                      <w:rFonts w:hint="eastAsia" w:eastAsia="宋体"/>
                      <w:kern w:val="0"/>
                      <w:sz w:val="21"/>
                      <w:szCs w:val="21"/>
                      <w:highlight w:val="none"/>
                      <w:lang w:eastAsia="zh-CN"/>
                    </w:rPr>
                  </w:pPr>
                  <w:r>
                    <w:rPr>
                      <w:kern w:val="0"/>
                      <w:sz w:val="21"/>
                      <w:szCs w:val="21"/>
                      <w:highlight w:val="none"/>
                    </w:rPr>
                    <w:t>钾</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47A40588">
                  <w:pPr>
                    <w:widowControl/>
                    <w:jc w:val="center"/>
                    <w:rPr>
                      <w:kern w:val="0"/>
                      <w:sz w:val="21"/>
                      <w:szCs w:val="21"/>
                      <w:highlight w:val="none"/>
                    </w:rPr>
                  </w:pPr>
                  <w:r>
                    <w:rPr>
                      <w:kern w:val="0"/>
                      <w:sz w:val="21"/>
                      <w:szCs w:val="21"/>
                      <w:highlight w:val="none"/>
                    </w:rPr>
                    <w:t>7.02</w:t>
                  </w:r>
                </w:p>
              </w:tc>
              <w:tc>
                <w:tcPr>
                  <w:tcW w:w="871" w:type="dxa"/>
                  <w:tcBorders>
                    <w:tl2br w:val="nil"/>
                    <w:tr2bl w:val="nil"/>
                  </w:tcBorders>
                  <w:noWrap/>
                  <w:vAlign w:val="center"/>
                </w:tcPr>
                <w:p w14:paraId="3AFF84BF">
                  <w:pPr>
                    <w:widowControl/>
                    <w:jc w:val="center"/>
                    <w:rPr>
                      <w:kern w:val="0"/>
                      <w:sz w:val="21"/>
                      <w:szCs w:val="21"/>
                      <w:highlight w:val="none"/>
                    </w:rPr>
                  </w:pPr>
                  <w:r>
                    <w:rPr>
                      <w:kern w:val="0"/>
                      <w:sz w:val="21"/>
                      <w:szCs w:val="21"/>
                      <w:highlight w:val="none"/>
                    </w:rPr>
                    <w:t>7.06</w:t>
                  </w:r>
                </w:p>
              </w:tc>
              <w:tc>
                <w:tcPr>
                  <w:tcW w:w="871" w:type="dxa"/>
                  <w:tcBorders>
                    <w:tl2br w:val="nil"/>
                    <w:tr2bl w:val="nil"/>
                  </w:tcBorders>
                  <w:noWrap/>
                  <w:vAlign w:val="center"/>
                </w:tcPr>
                <w:p w14:paraId="101E6671">
                  <w:pPr>
                    <w:widowControl/>
                    <w:jc w:val="center"/>
                    <w:rPr>
                      <w:kern w:val="0"/>
                      <w:sz w:val="21"/>
                      <w:szCs w:val="21"/>
                      <w:highlight w:val="none"/>
                    </w:rPr>
                  </w:pPr>
                  <w:r>
                    <w:rPr>
                      <w:kern w:val="0"/>
                      <w:sz w:val="21"/>
                      <w:szCs w:val="21"/>
                      <w:highlight w:val="none"/>
                    </w:rPr>
                    <w:t>1.36</w:t>
                  </w:r>
                </w:p>
              </w:tc>
              <w:tc>
                <w:tcPr>
                  <w:tcW w:w="871" w:type="dxa"/>
                  <w:tcBorders>
                    <w:tl2br w:val="nil"/>
                    <w:tr2bl w:val="nil"/>
                  </w:tcBorders>
                  <w:noWrap/>
                  <w:vAlign w:val="center"/>
                </w:tcPr>
                <w:p w14:paraId="4B812DB5">
                  <w:pPr>
                    <w:widowControl/>
                    <w:jc w:val="center"/>
                    <w:rPr>
                      <w:kern w:val="0"/>
                      <w:sz w:val="21"/>
                      <w:szCs w:val="21"/>
                      <w:highlight w:val="none"/>
                    </w:rPr>
                  </w:pPr>
                  <w:r>
                    <w:rPr>
                      <w:kern w:val="0"/>
                      <w:sz w:val="21"/>
                      <w:szCs w:val="21"/>
                      <w:highlight w:val="none"/>
                    </w:rPr>
                    <w:t>7.33</w:t>
                  </w:r>
                </w:p>
              </w:tc>
              <w:tc>
                <w:tcPr>
                  <w:tcW w:w="871" w:type="dxa"/>
                  <w:tcBorders>
                    <w:tl2br w:val="nil"/>
                    <w:tr2bl w:val="nil"/>
                  </w:tcBorders>
                  <w:noWrap/>
                  <w:vAlign w:val="center"/>
                </w:tcPr>
                <w:p w14:paraId="33CBFB30">
                  <w:pPr>
                    <w:widowControl/>
                    <w:jc w:val="center"/>
                    <w:rPr>
                      <w:kern w:val="0"/>
                      <w:sz w:val="21"/>
                      <w:szCs w:val="21"/>
                      <w:highlight w:val="none"/>
                    </w:rPr>
                  </w:pPr>
                  <w:r>
                    <w:rPr>
                      <w:kern w:val="0"/>
                      <w:sz w:val="21"/>
                      <w:szCs w:val="21"/>
                      <w:highlight w:val="none"/>
                    </w:rPr>
                    <w:t>7.6</w:t>
                  </w:r>
                </w:p>
              </w:tc>
              <w:tc>
                <w:tcPr>
                  <w:tcW w:w="871" w:type="dxa"/>
                  <w:tcBorders>
                    <w:tl2br w:val="nil"/>
                    <w:tr2bl w:val="nil"/>
                  </w:tcBorders>
                  <w:noWrap/>
                  <w:vAlign w:val="center"/>
                </w:tcPr>
                <w:p w14:paraId="1B7FE0EA">
                  <w:pPr>
                    <w:widowControl/>
                    <w:jc w:val="center"/>
                    <w:rPr>
                      <w:kern w:val="0"/>
                      <w:sz w:val="21"/>
                      <w:szCs w:val="21"/>
                      <w:highlight w:val="none"/>
                    </w:rPr>
                  </w:pPr>
                  <w:r>
                    <w:rPr>
                      <w:kern w:val="0"/>
                      <w:sz w:val="21"/>
                      <w:szCs w:val="21"/>
                      <w:highlight w:val="none"/>
                    </w:rPr>
                    <w:t>5.93</w:t>
                  </w:r>
                </w:p>
              </w:tc>
              <w:tc>
                <w:tcPr>
                  <w:tcW w:w="871" w:type="dxa"/>
                  <w:tcBorders>
                    <w:tl2br w:val="nil"/>
                    <w:tr2bl w:val="nil"/>
                  </w:tcBorders>
                  <w:noWrap/>
                  <w:vAlign w:val="center"/>
                </w:tcPr>
                <w:p w14:paraId="3D5F0FDA">
                  <w:pPr>
                    <w:widowControl/>
                    <w:jc w:val="center"/>
                    <w:rPr>
                      <w:kern w:val="0"/>
                      <w:sz w:val="21"/>
                      <w:szCs w:val="21"/>
                      <w:highlight w:val="none"/>
                    </w:rPr>
                  </w:pPr>
                  <w:r>
                    <w:rPr>
                      <w:kern w:val="0"/>
                      <w:sz w:val="21"/>
                      <w:szCs w:val="21"/>
                      <w:highlight w:val="none"/>
                    </w:rPr>
                    <w:t>4.43</w:t>
                  </w:r>
                </w:p>
              </w:tc>
              <w:tc>
                <w:tcPr>
                  <w:tcW w:w="944" w:type="dxa"/>
                  <w:tcBorders>
                    <w:right w:val="single" w:color="auto" w:sz="4" w:space="0"/>
                    <w:tl2br w:val="nil"/>
                    <w:tr2bl w:val="nil"/>
                  </w:tcBorders>
                  <w:noWrap/>
                  <w:vAlign w:val="center"/>
                </w:tcPr>
                <w:p w14:paraId="359E4344">
                  <w:pPr>
                    <w:widowControl/>
                    <w:jc w:val="center"/>
                    <w:rPr>
                      <w:kern w:val="0"/>
                      <w:sz w:val="21"/>
                      <w:szCs w:val="21"/>
                      <w:highlight w:val="none"/>
                    </w:rPr>
                  </w:pPr>
                  <w:r>
                    <w:rPr>
                      <w:kern w:val="0"/>
                      <w:sz w:val="21"/>
                      <w:szCs w:val="21"/>
                      <w:highlight w:val="none"/>
                    </w:rPr>
                    <w:t>/</w:t>
                  </w:r>
                </w:p>
              </w:tc>
            </w:tr>
            <w:tr w14:paraId="11807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74E38A42">
                  <w:pPr>
                    <w:widowControl/>
                    <w:jc w:val="center"/>
                    <w:rPr>
                      <w:kern w:val="0"/>
                      <w:sz w:val="21"/>
                      <w:szCs w:val="21"/>
                      <w:highlight w:val="none"/>
                    </w:rPr>
                  </w:pPr>
                  <w:r>
                    <w:rPr>
                      <w:kern w:val="0"/>
                      <w:sz w:val="21"/>
                      <w:szCs w:val="21"/>
                      <w:highlight w:val="none"/>
                    </w:rPr>
                    <w:t>22</w:t>
                  </w:r>
                </w:p>
              </w:tc>
              <w:tc>
                <w:tcPr>
                  <w:tcW w:w="1003" w:type="dxa"/>
                  <w:tcBorders>
                    <w:tl2br w:val="nil"/>
                    <w:tr2bl w:val="nil"/>
                  </w:tcBorders>
                  <w:noWrap/>
                  <w:vAlign w:val="center"/>
                </w:tcPr>
                <w:p w14:paraId="0A1881BB">
                  <w:pPr>
                    <w:widowControl/>
                    <w:jc w:val="center"/>
                    <w:rPr>
                      <w:rFonts w:hint="eastAsia" w:eastAsia="宋体"/>
                      <w:kern w:val="0"/>
                      <w:sz w:val="21"/>
                      <w:szCs w:val="21"/>
                      <w:highlight w:val="none"/>
                      <w:lang w:eastAsia="zh-CN"/>
                    </w:rPr>
                  </w:pPr>
                  <w:r>
                    <w:rPr>
                      <w:kern w:val="0"/>
                      <w:sz w:val="21"/>
                      <w:szCs w:val="21"/>
                      <w:highlight w:val="none"/>
                    </w:rPr>
                    <w:t>汞</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2DCBF930">
                  <w:pPr>
                    <w:widowControl/>
                    <w:jc w:val="center"/>
                    <w:rPr>
                      <w:kern w:val="0"/>
                      <w:sz w:val="21"/>
                      <w:szCs w:val="21"/>
                      <w:highlight w:val="none"/>
                    </w:rPr>
                  </w:pPr>
                  <w:r>
                    <w:rPr>
                      <w:kern w:val="0"/>
                      <w:sz w:val="21"/>
                      <w:szCs w:val="21"/>
                      <w:highlight w:val="none"/>
                    </w:rPr>
                    <w:t>0.00006</w:t>
                  </w:r>
                </w:p>
              </w:tc>
              <w:tc>
                <w:tcPr>
                  <w:tcW w:w="871" w:type="dxa"/>
                  <w:tcBorders>
                    <w:tl2br w:val="nil"/>
                    <w:tr2bl w:val="nil"/>
                  </w:tcBorders>
                  <w:noWrap/>
                  <w:vAlign w:val="center"/>
                </w:tcPr>
                <w:p w14:paraId="16786B65">
                  <w:pPr>
                    <w:widowControl/>
                    <w:jc w:val="center"/>
                    <w:rPr>
                      <w:kern w:val="0"/>
                      <w:sz w:val="21"/>
                      <w:szCs w:val="21"/>
                      <w:highlight w:val="none"/>
                    </w:rPr>
                  </w:pPr>
                  <w:r>
                    <w:rPr>
                      <w:kern w:val="0"/>
                      <w:sz w:val="21"/>
                      <w:szCs w:val="21"/>
                      <w:highlight w:val="none"/>
                    </w:rPr>
                    <w:t>0.00007</w:t>
                  </w:r>
                </w:p>
              </w:tc>
              <w:tc>
                <w:tcPr>
                  <w:tcW w:w="871" w:type="dxa"/>
                  <w:tcBorders>
                    <w:tl2br w:val="nil"/>
                    <w:tr2bl w:val="nil"/>
                  </w:tcBorders>
                  <w:noWrap/>
                  <w:vAlign w:val="center"/>
                </w:tcPr>
                <w:p w14:paraId="731AFE06">
                  <w:pPr>
                    <w:widowControl/>
                    <w:jc w:val="center"/>
                    <w:rPr>
                      <w:kern w:val="0"/>
                      <w:sz w:val="21"/>
                      <w:szCs w:val="21"/>
                      <w:highlight w:val="none"/>
                    </w:rPr>
                  </w:pPr>
                  <w:r>
                    <w:rPr>
                      <w:kern w:val="0"/>
                      <w:sz w:val="21"/>
                      <w:szCs w:val="21"/>
                      <w:highlight w:val="none"/>
                    </w:rPr>
                    <w:t>0.00007</w:t>
                  </w:r>
                </w:p>
              </w:tc>
              <w:tc>
                <w:tcPr>
                  <w:tcW w:w="871" w:type="dxa"/>
                  <w:tcBorders>
                    <w:tl2br w:val="nil"/>
                    <w:tr2bl w:val="nil"/>
                  </w:tcBorders>
                  <w:noWrap/>
                  <w:vAlign w:val="center"/>
                </w:tcPr>
                <w:p w14:paraId="19E828A2">
                  <w:pPr>
                    <w:widowControl/>
                    <w:jc w:val="center"/>
                    <w:rPr>
                      <w:kern w:val="0"/>
                      <w:sz w:val="21"/>
                      <w:szCs w:val="21"/>
                      <w:highlight w:val="none"/>
                    </w:rPr>
                  </w:pPr>
                  <w:r>
                    <w:rPr>
                      <w:kern w:val="0"/>
                      <w:sz w:val="21"/>
                      <w:szCs w:val="21"/>
                      <w:highlight w:val="none"/>
                    </w:rPr>
                    <w:t>0.00008</w:t>
                  </w:r>
                </w:p>
              </w:tc>
              <w:tc>
                <w:tcPr>
                  <w:tcW w:w="871" w:type="dxa"/>
                  <w:tcBorders>
                    <w:tl2br w:val="nil"/>
                    <w:tr2bl w:val="nil"/>
                  </w:tcBorders>
                  <w:noWrap/>
                  <w:vAlign w:val="center"/>
                </w:tcPr>
                <w:p w14:paraId="467DE023">
                  <w:pPr>
                    <w:widowControl/>
                    <w:jc w:val="center"/>
                    <w:rPr>
                      <w:kern w:val="0"/>
                      <w:sz w:val="21"/>
                      <w:szCs w:val="21"/>
                      <w:highlight w:val="none"/>
                    </w:rPr>
                  </w:pPr>
                  <w:r>
                    <w:rPr>
                      <w:kern w:val="0"/>
                      <w:sz w:val="21"/>
                      <w:szCs w:val="21"/>
                      <w:highlight w:val="none"/>
                    </w:rPr>
                    <w:t>0.00008</w:t>
                  </w:r>
                </w:p>
              </w:tc>
              <w:tc>
                <w:tcPr>
                  <w:tcW w:w="871" w:type="dxa"/>
                  <w:tcBorders>
                    <w:tl2br w:val="nil"/>
                    <w:tr2bl w:val="nil"/>
                  </w:tcBorders>
                  <w:noWrap/>
                  <w:vAlign w:val="center"/>
                </w:tcPr>
                <w:p w14:paraId="7C20456E">
                  <w:pPr>
                    <w:widowControl/>
                    <w:jc w:val="center"/>
                    <w:rPr>
                      <w:kern w:val="0"/>
                      <w:sz w:val="21"/>
                      <w:szCs w:val="21"/>
                      <w:highlight w:val="none"/>
                    </w:rPr>
                  </w:pPr>
                  <w:r>
                    <w:rPr>
                      <w:kern w:val="0"/>
                      <w:sz w:val="21"/>
                      <w:szCs w:val="21"/>
                      <w:highlight w:val="none"/>
                    </w:rPr>
                    <w:t>0.00008</w:t>
                  </w:r>
                </w:p>
              </w:tc>
              <w:tc>
                <w:tcPr>
                  <w:tcW w:w="871" w:type="dxa"/>
                  <w:tcBorders>
                    <w:tl2br w:val="nil"/>
                    <w:tr2bl w:val="nil"/>
                  </w:tcBorders>
                  <w:noWrap/>
                  <w:vAlign w:val="center"/>
                </w:tcPr>
                <w:p w14:paraId="3A3FCF43">
                  <w:pPr>
                    <w:widowControl/>
                    <w:jc w:val="center"/>
                    <w:rPr>
                      <w:kern w:val="0"/>
                      <w:sz w:val="21"/>
                      <w:szCs w:val="21"/>
                      <w:highlight w:val="none"/>
                    </w:rPr>
                  </w:pPr>
                  <w:r>
                    <w:rPr>
                      <w:kern w:val="0"/>
                      <w:sz w:val="21"/>
                      <w:szCs w:val="21"/>
                      <w:highlight w:val="none"/>
                    </w:rPr>
                    <w:t>0.00009</w:t>
                  </w:r>
                </w:p>
              </w:tc>
              <w:tc>
                <w:tcPr>
                  <w:tcW w:w="944" w:type="dxa"/>
                  <w:tcBorders>
                    <w:right w:val="single" w:color="auto" w:sz="4" w:space="0"/>
                    <w:tl2br w:val="nil"/>
                    <w:tr2bl w:val="nil"/>
                  </w:tcBorders>
                  <w:noWrap/>
                  <w:vAlign w:val="center"/>
                </w:tcPr>
                <w:p w14:paraId="6ACDF46C">
                  <w:pPr>
                    <w:widowControl/>
                    <w:jc w:val="center"/>
                    <w:rPr>
                      <w:kern w:val="0"/>
                      <w:sz w:val="21"/>
                      <w:szCs w:val="21"/>
                      <w:highlight w:val="none"/>
                    </w:rPr>
                  </w:pPr>
                  <w:r>
                    <w:rPr>
                      <w:kern w:val="0"/>
                      <w:sz w:val="21"/>
                      <w:szCs w:val="21"/>
                      <w:highlight w:val="none"/>
                    </w:rPr>
                    <w:t>0.001</w:t>
                  </w:r>
                </w:p>
              </w:tc>
            </w:tr>
            <w:tr w14:paraId="405743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1E4A296F">
                  <w:pPr>
                    <w:widowControl/>
                    <w:jc w:val="center"/>
                    <w:rPr>
                      <w:kern w:val="0"/>
                      <w:sz w:val="21"/>
                      <w:szCs w:val="21"/>
                      <w:highlight w:val="none"/>
                    </w:rPr>
                  </w:pPr>
                  <w:r>
                    <w:rPr>
                      <w:kern w:val="0"/>
                      <w:sz w:val="21"/>
                      <w:szCs w:val="21"/>
                      <w:highlight w:val="none"/>
                    </w:rPr>
                    <w:t>23</w:t>
                  </w:r>
                </w:p>
              </w:tc>
              <w:tc>
                <w:tcPr>
                  <w:tcW w:w="1003" w:type="dxa"/>
                  <w:tcBorders>
                    <w:tl2br w:val="nil"/>
                    <w:tr2bl w:val="nil"/>
                  </w:tcBorders>
                  <w:noWrap/>
                  <w:vAlign w:val="center"/>
                </w:tcPr>
                <w:p w14:paraId="22897E46">
                  <w:pPr>
                    <w:widowControl/>
                    <w:jc w:val="center"/>
                    <w:rPr>
                      <w:rFonts w:hint="eastAsia" w:eastAsia="宋体"/>
                      <w:kern w:val="0"/>
                      <w:sz w:val="21"/>
                      <w:szCs w:val="21"/>
                      <w:highlight w:val="none"/>
                      <w:lang w:eastAsia="zh-CN"/>
                    </w:rPr>
                  </w:pPr>
                  <w:r>
                    <w:rPr>
                      <w:kern w:val="0"/>
                      <w:sz w:val="21"/>
                      <w:szCs w:val="21"/>
                      <w:highlight w:val="none"/>
                    </w:rPr>
                    <w:t>砷</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20D43B6">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78D50375">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3B1F7DEB">
                  <w:pPr>
                    <w:widowControl/>
                    <w:jc w:val="center"/>
                    <w:rPr>
                      <w:kern w:val="0"/>
                      <w:sz w:val="21"/>
                      <w:szCs w:val="21"/>
                      <w:highlight w:val="none"/>
                    </w:rPr>
                  </w:pPr>
                  <w:r>
                    <w:rPr>
                      <w:kern w:val="0"/>
                      <w:sz w:val="21"/>
                      <w:szCs w:val="21"/>
                      <w:highlight w:val="none"/>
                    </w:rPr>
                    <w:t>0.0012</w:t>
                  </w:r>
                </w:p>
              </w:tc>
              <w:tc>
                <w:tcPr>
                  <w:tcW w:w="871" w:type="dxa"/>
                  <w:tcBorders>
                    <w:tl2br w:val="nil"/>
                    <w:tr2bl w:val="nil"/>
                  </w:tcBorders>
                  <w:noWrap/>
                  <w:vAlign w:val="center"/>
                </w:tcPr>
                <w:p w14:paraId="7A58AD48">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16848D6C">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5CE4C24D">
                  <w:pPr>
                    <w:widowControl/>
                    <w:jc w:val="center"/>
                    <w:rPr>
                      <w:kern w:val="0"/>
                      <w:sz w:val="21"/>
                      <w:szCs w:val="21"/>
                      <w:highlight w:val="none"/>
                    </w:rPr>
                  </w:pPr>
                  <w:r>
                    <w:rPr>
                      <w:kern w:val="0"/>
                      <w:sz w:val="21"/>
                      <w:szCs w:val="21"/>
                      <w:highlight w:val="none"/>
                    </w:rPr>
                    <w:t>0.0003L</w:t>
                  </w:r>
                </w:p>
              </w:tc>
              <w:tc>
                <w:tcPr>
                  <w:tcW w:w="871" w:type="dxa"/>
                  <w:tcBorders>
                    <w:tl2br w:val="nil"/>
                    <w:tr2bl w:val="nil"/>
                  </w:tcBorders>
                  <w:noWrap/>
                  <w:vAlign w:val="center"/>
                </w:tcPr>
                <w:p w14:paraId="396E3EA9">
                  <w:pPr>
                    <w:widowControl/>
                    <w:jc w:val="center"/>
                    <w:rPr>
                      <w:kern w:val="0"/>
                      <w:sz w:val="21"/>
                      <w:szCs w:val="21"/>
                      <w:highlight w:val="none"/>
                    </w:rPr>
                  </w:pPr>
                  <w:r>
                    <w:rPr>
                      <w:kern w:val="0"/>
                      <w:sz w:val="21"/>
                      <w:szCs w:val="21"/>
                      <w:highlight w:val="none"/>
                    </w:rPr>
                    <w:t>0.0004</w:t>
                  </w:r>
                </w:p>
              </w:tc>
              <w:tc>
                <w:tcPr>
                  <w:tcW w:w="944" w:type="dxa"/>
                  <w:tcBorders>
                    <w:right w:val="single" w:color="auto" w:sz="4" w:space="0"/>
                    <w:tl2br w:val="nil"/>
                    <w:tr2bl w:val="nil"/>
                  </w:tcBorders>
                  <w:noWrap/>
                  <w:vAlign w:val="center"/>
                </w:tcPr>
                <w:p w14:paraId="62CC1686">
                  <w:pPr>
                    <w:widowControl/>
                    <w:jc w:val="center"/>
                    <w:rPr>
                      <w:kern w:val="0"/>
                      <w:sz w:val="21"/>
                      <w:szCs w:val="21"/>
                      <w:highlight w:val="none"/>
                    </w:rPr>
                  </w:pPr>
                  <w:r>
                    <w:rPr>
                      <w:kern w:val="0"/>
                      <w:sz w:val="21"/>
                      <w:szCs w:val="21"/>
                      <w:highlight w:val="none"/>
                    </w:rPr>
                    <w:t>0.01</w:t>
                  </w:r>
                </w:p>
              </w:tc>
            </w:tr>
            <w:tr w14:paraId="50E013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4D83913F">
                  <w:pPr>
                    <w:widowControl/>
                    <w:jc w:val="center"/>
                    <w:rPr>
                      <w:kern w:val="0"/>
                      <w:sz w:val="21"/>
                      <w:szCs w:val="21"/>
                      <w:highlight w:val="none"/>
                    </w:rPr>
                  </w:pPr>
                  <w:r>
                    <w:rPr>
                      <w:kern w:val="0"/>
                      <w:sz w:val="21"/>
                      <w:szCs w:val="21"/>
                      <w:highlight w:val="none"/>
                    </w:rPr>
                    <w:t>24</w:t>
                  </w:r>
                </w:p>
              </w:tc>
              <w:tc>
                <w:tcPr>
                  <w:tcW w:w="1003" w:type="dxa"/>
                  <w:tcBorders>
                    <w:tl2br w:val="nil"/>
                    <w:tr2bl w:val="nil"/>
                  </w:tcBorders>
                  <w:noWrap/>
                  <w:vAlign w:val="center"/>
                </w:tcPr>
                <w:p w14:paraId="27B452E3">
                  <w:pPr>
                    <w:widowControl/>
                    <w:jc w:val="center"/>
                    <w:rPr>
                      <w:rFonts w:hint="eastAsia" w:eastAsia="宋体"/>
                      <w:kern w:val="0"/>
                      <w:sz w:val="21"/>
                      <w:szCs w:val="21"/>
                      <w:highlight w:val="none"/>
                      <w:lang w:eastAsia="zh-CN"/>
                    </w:rPr>
                  </w:pPr>
                  <w:r>
                    <w:rPr>
                      <w:kern w:val="0"/>
                      <w:sz w:val="21"/>
                      <w:szCs w:val="21"/>
                      <w:highlight w:val="none"/>
                    </w:rPr>
                    <w:t>硒</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15F42D05">
                  <w:pPr>
                    <w:widowControl/>
                    <w:jc w:val="center"/>
                    <w:rPr>
                      <w:kern w:val="0"/>
                      <w:sz w:val="21"/>
                      <w:szCs w:val="21"/>
                      <w:highlight w:val="none"/>
                    </w:rPr>
                  </w:pPr>
                  <w:r>
                    <w:rPr>
                      <w:kern w:val="0"/>
                      <w:sz w:val="21"/>
                      <w:szCs w:val="21"/>
                      <w:highlight w:val="none"/>
                    </w:rPr>
                    <w:t>0.0004L</w:t>
                  </w:r>
                </w:p>
              </w:tc>
              <w:tc>
                <w:tcPr>
                  <w:tcW w:w="871" w:type="dxa"/>
                  <w:tcBorders>
                    <w:tl2br w:val="nil"/>
                    <w:tr2bl w:val="nil"/>
                  </w:tcBorders>
                  <w:noWrap/>
                  <w:vAlign w:val="center"/>
                </w:tcPr>
                <w:p w14:paraId="3D9846F0">
                  <w:pPr>
                    <w:widowControl/>
                    <w:jc w:val="center"/>
                    <w:rPr>
                      <w:kern w:val="0"/>
                      <w:sz w:val="21"/>
                      <w:szCs w:val="21"/>
                      <w:highlight w:val="none"/>
                    </w:rPr>
                  </w:pPr>
                  <w:r>
                    <w:rPr>
                      <w:kern w:val="0"/>
                      <w:sz w:val="21"/>
                      <w:szCs w:val="21"/>
                      <w:highlight w:val="none"/>
                    </w:rPr>
                    <w:t>0.0004L</w:t>
                  </w:r>
                </w:p>
              </w:tc>
              <w:tc>
                <w:tcPr>
                  <w:tcW w:w="871" w:type="dxa"/>
                  <w:tcBorders>
                    <w:tl2br w:val="nil"/>
                    <w:tr2bl w:val="nil"/>
                  </w:tcBorders>
                  <w:noWrap/>
                  <w:vAlign w:val="center"/>
                </w:tcPr>
                <w:p w14:paraId="39F3A12B">
                  <w:pPr>
                    <w:widowControl/>
                    <w:jc w:val="center"/>
                    <w:rPr>
                      <w:kern w:val="0"/>
                      <w:sz w:val="21"/>
                      <w:szCs w:val="21"/>
                      <w:highlight w:val="none"/>
                    </w:rPr>
                  </w:pPr>
                  <w:r>
                    <w:rPr>
                      <w:kern w:val="0"/>
                      <w:sz w:val="21"/>
                      <w:szCs w:val="21"/>
                      <w:highlight w:val="none"/>
                    </w:rPr>
                    <w:t>0.0004L</w:t>
                  </w:r>
                </w:p>
              </w:tc>
              <w:tc>
                <w:tcPr>
                  <w:tcW w:w="871" w:type="dxa"/>
                  <w:tcBorders>
                    <w:tl2br w:val="nil"/>
                    <w:tr2bl w:val="nil"/>
                  </w:tcBorders>
                  <w:noWrap/>
                  <w:vAlign w:val="center"/>
                </w:tcPr>
                <w:p w14:paraId="280B6588">
                  <w:pPr>
                    <w:widowControl/>
                    <w:jc w:val="center"/>
                    <w:rPr>
                      <w:kern w:val="0"/>
                      <w:sz w:val="21"/>
                      <w:szCs w:val="21"/>
                      <w:highlight w:val="none"/>
                    </w:rPr>
                  </w:pPr>
                  <w:r>
                    <w:rPr>
                      <w:kern w:val="0"/>
                      <w:sz w:val="21"/>
                      <w:szCs w:val="21"/>
                      <w:highlight w:val="none"/>
                    </w:rPr>
                    <w:t>0.0004L</w:t>
                  </w:r>
                </w:p>
              </w:tc>
              <w:tc>
                <w:tcPr>
                  <w:tcW w:w="871" w:type="dxa"/>
                  <w:tcBorders>
                    <w:tl2br w:val="nil"/>
                    <w:tr2bl w:val="nil"/>
                  </w:tcBorders>
                  <w:noWrap/>
                  <w:vAlign w:val="center"/>
                </w:tcPr>
                <w:p w14:paraId="0D64DE2D">
                  <w:pPr>
                    <w:widowControl/>
                    <w:jc w:val="center"/>
                    <w:rPr>
                      <w:kern w:val="0"/>
                      <w:sz w:val="21"/>
                      <w:szCs w:val="21"/>
                      <w:highlight w:val="none"/>
                    </w:rPr>
                  </w:pPr>
                  <w:r>
                    <w:rPr>
                      <w:kern w:val="0"/>
                      <w:sz w:val="21"/>
                      <w:szCs w:val="21"/>
                      <w:highlight w:val="none"/>
                    </w:rPr>
                    <w:t>0.0004L</w:t>
                  </w:r>
                </w:p>
              </w:tc>
              <w:tc>
                <w:tcPr>
                  <w:tcW w:w="871" w:type="dxa"/>
                  <w:tcBorders>
                    <w:tl2br w:val="nil"/>
                    <w:tr2bl w:val="nil"/>
                  </w:tcBorders>
                  <w:noWrap/>
                  <w:vAlign w:val="center"/>
                </w:tcPr>
                <w:p w14:paraId="794FB8F8">
                  <w:pPr>
                    <w:widowControl/>
                    <w:jc w:val="center"/>
                    <w:rPr>
                      <w:kern w:val="0"/>
                      <w:sz w:val="21"/>
                      <w:szCs w:val="21"/>
                      <w:highlight w:val="none"/>
                    </w:rPr>
                  </w:pPr>
                  <w:r>
                    <w:rPr>
                      <w:kern w:val="0"/>
                      <w:sz w:val="21"/>
                      <w:szCs w:val="21"/>
                      <w:highlight w:val="none"/>
                    </w:rPr>
                    <w:t>0.0004L</w:t>
                  </w:r>
                </w:p>
              </w:tc>
              <w:tc>
                <w:tcPr>
                  <w:tcW w:w="871" w:type="dxa"/>
                  <w:tcBorders>
                    <w:tl2br w:val="nil"/>
                    <w:tr2bl w:val="nil"/>
                  </w:tcBorders>
                  <w:noWrap/>
                  <w:vAlign w:val="center"/>
                </w:tcPr>
                <w:p w14:paraId="48005549">
                  <w:pPr>
                    <w:widowControl/>
                    <w:jc w:val="center"/>
                    <w:rPr>
                      <w:kern w:val="0"/>
                      <w:sz w:val="21"/>
                      <w:szCs w:val="21"/>
                      <w:highlight w:val="none"/>
                    </w:rPr>
                  </w:pPr>
                  <w:r>
                    <w:rPr>
                      <w:kern w:val="0"/>
                      <w:sz w:val="21"/>
                      <w:szCs w:val="21"/>
                      <w:highlight w:val="none"/>
                    </w:rPr>
                    <w:t>0.0004L</w:t>
                  </w:r>
                </w:p>
              </w:tc>
              <w:tc>
                <w:tcPr>
                  <w:tcW w:w="944" w:type="dxa"/>
                  <w:tcBorders>
                    <w:right w:val="single" w:color="auto" w:sz="4" w:space="0"/>
                    <w:tl2br w:val="nil"/>
                    <w:tr2bl w:val="nil"/>
                  </w:tcBorders>
                  <w:noWrap/>
                  <w:vAlign w:val="center"/>
                </w:tcPr>
                <w:p w14:paraId="26FA5758">
                  <w:pPr>
                    <w:widowControl/>
                    <w:jc w:val="center"/>
                    <w:rPr>
                      <w:kern w:val="0"/>
                      <w:sz w:val="21"/>
                      <w:szCs w:val="21"/>
                      <w:highlight w:val="none"/>
                    </w:rPr>
                  </w:pPr>
                  <w:r>
                    <w:rPr>
                      <w:kern w:val="0"/>
                      <w:sz w:val="21"/>
                      <w:szCs w:val="21"/>
                      <w:highlight w:val="none"/>
                    </w:rPr>
                    <w:t>0.01</w:t>
                  </w:r>
                </w:p>
              </w:tc>
            </w:tr>
            <w:tr w14:paraId="2FA275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030BEA35">
                  <w:pPr>
                    <w:widowControl/>
                    <w:jc w:val="center"/>
                    <w:rPr>
                      <w:kern w:val="0"/>
                      <w:sz w:val="21"/>
                      <w:szCs w:val="21"/>
                      <w:highlight w:val="none"/>
                    </w:rPr>
                  </w:pPr>
                  <w:r>
                    <w:rPr>
                      <w:kern w:val="0"/>
                      <w:sz w:val="21"/>
                      <w:szCs w:val="21"/>
                      <w:highlight w:val="none"/>
                    </w:rPr>
                    <w:t>25</w:t>
                  </w:r>
                </w:p>
              </w:tc>
              <w:tc>
                <w:tcPr>
                  <w:tcW w:w="1003" w:type="dxa"/>
                  <w:tcBorders>
                    <w:tl2br w:val="nil"/>
                    <w:tr2bl w:val="nil"/>
                  </w:tcBorders>
                  <w:noWrap/>
                  <w:vAlign w:val="center"/>
                </w:tcPr>
                <w:p w14:paraId="3B322A3A">
                  <w:pPr>
                    <w:widowControl/>
                    <w:jc w:val="center"/>
                    <w:rPr>
                      <w:rFonts w:hint="eastAsia" w:eastAsia="宋体"/>
                      <w:kern w:val="0"/>
                      <w:sz w:val="21"/>
                      <w:szCs w:val="21"/>
                      <w:highlight w:val="none"/>
                      <w:lang w:eastAsia="zh-CN"/>
                    </w:rPr>
                  </w:pPr>
                  <w:r>
                    <w:rPr>
                      <w:kern w:val="0"/>
                      <w:sz w:val="21"/>
                      <w:szCs w:val="21"/>
                      <w:highlight w:val="none"/>
                    </w:rPr>
                    <w:t>镉</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5B0216FE">
                  <w:pPr>
                    <w:widowControl/>
                    <w:jc w:val="center"/>
                    <w:rPr>
                      <w:kern w:val="0"/>
                      <w:sz w:val="21"/>
                      <w:szCs w:val="21"/>
                      <w:highlight w:val="none"/>
                    </w:rPr>
                  </w:pPr>
                  <w:r>
                    <w:rPr>
                      <w:kern w:val="0"/>
                      <w:sz w:val="21"/>
                      <w:szCs w:val="21"/>
                      <w:highlight w:val="none"/>
                    </w:rPr>
                    <w:t>0.000025L</w:t>
                  </w:r>
                </w:p>
              </w:tc>
              <w:tc>
                <w:tcPr>
                  <w:tcW w:w="871" w:type="dxa"/>
                  <w:tcBorders>
                    <w:tl2br w:val="nil"/>
                    <w:tr2bl w:val="nil"/>
                  </w:tcBorders>
                  <w:noWrap/>
                  <w:vAlign w:val="center"/>
                </w:tcPr>
                <w:p w14:paraId="2525FBEF">
                  <w:pPr>
                    <w:widowControl/>
                    <w:jc w:val="center"/>
                    <w:rPr>
                      <w:kern w:val="0"/>
                      <w:sz w:val="21"/>
                      <w:szCs w:val="21"/>
                      <w:highlight w:val="none"/>
                    </w:rPr>
                  </w:pPr>
                  <w:r>
                    <w:rPr>
                      <w:kern w:val="0"/>
                      <w:sz w:val="21"/>
                      <w:szCs w:val="21"/>
                      <w:highlight w:val="none"/>
                    </w:rPr>
                    <w:t>0.000025L</w:t>
                  </w:r>
                </w:p>
              </w:tc>
              <w:tc>
                <w:tcPr>
                  <w:tcW w:w="871" w:type="dxa"/>
                  <w:tcBorders>
                    <w:tl2br w:val="nil"/>
                    <w:tr2bl w:val="nil"/>
                  </w:tcBorders>
                  <w:noWrap/>
                  <w:vAlign w:val="center"/>
                </w:tcPr>
                <w:p w14:paraId="0575930A">
                  <w:pPr>
                    <w:widowControl/>
                    <w:jc w:val="center"/>
                    <w:rPr>
                      <w:kern w:val="0"/>
                      <w:sz w:val="21"/>
                      <w:szCs w:val="21"/>
                      <w:highlight w:val="none"/>
                    </w:rPr>
                  </w:pPr>
                  <w:r>
                    <w:rPr>
                      <w:kern w:val="0"/>
                      <w:sz w:val="21"/>
                      <w:szCs w:val="21"/>
                      <w:highlight w:val="none"/>
                    </w:rPr>
                    <w:t>0.000025L</w:t>
                  </w:r>
                </w:p>
              </w:tc>
              <w:tc>
                <w:tcPr>
                  <w:tcW w:w="871" w:type="dxa"/>
                  <w:tcBorders>
                    <w:tl2br w:val="nil"/>
                    <w:tr2bl w:val="nil"/>
                  </w:tcBorders>
                  <w:noWrap/>
                  <w:vAlign w:val="center"/>
                </w:tcPr>
                <w:p w14:paraId="26BD8FAD">
                  <w:pPr>
                    <w:widowControl/>
                    <w:jc w:val="center"/>
                    <w:rPr>
                      <w:kern w:val="0"/>
                      <w:sz w:val="21"/>
                      <w:szCs w:val="21"/>
                      <w:highlight w:val="none"/>
                    </w:rPr>
                  </w:pPr>
                  <w:r>
                    <w:rPr>
                      <w:kern w:val="0"/>
                      <w:sz w:val="21"/>
                      <w:szCs w:val="21"/>
                      <w:highlight w:val="none"/>
                    </w:rPr>
                    <w:t>0.000025L</w:t>
                  </w:r>
                </w:p>
              </w:tc>
              <w:tc>
                <w:tcPr>
                  <w:tcW w:w="871" w:type="dxa"/>
                  <w:tcBorders>
                    <w:tl2br w:val="nil"/>
                    <w:tr2bl w:val="nil"/>
                  </w:tcBorders>
                  <w:noWrap/>
                  <w:vAlign w:val="center"/>
                </w:tcPr>
                <w:p w14:paraId="4F88BB50">
                  <w:pPr>
                    <w:widowControl/>
                    <w:jc w:val="center"/>
                    <w:rPr>
                      <w:kern w:val="0"/>
                      <w:sz w:val="21"/>
                      <w:szCs w:val="21"/>
                      <w:highlight w:val="none"/>
                    </w:rPr>
                  </w:pPr>
                  <w:r>
                    <w:rPr>
                      <w:kern w:val="0"/>
                      <w:sz w:val="21"/>
                      <w:szCs w:val="21"/>
                      <w:highlight w:val="none"/>
                    </w:rPr>
                    <w:t>0.000025L</w:t>
                  </w:r>
                </w:p>
              </w:tc>
              <w:tc>
                <w:tcPr>
                  <w:tcW w:w="871" w:type="dxa"/>
                  <w:tcBorders>
                    <w:tl2br w:val="nil"/>
                    <w:tr2bl w:val="nil"/>
                  </w:tcBorders>
                  <w:noWrap/>
                  <w:vAlign w:val="center"/>
                </w:tcPr>
                <w:p w14:paraId="6B0B4458">
                  <w:pPr>
                    <w:widowControl/>
                    <w:jc w:val="center"/>
                    <w:rPr>
                      <w:kern w:val="0"/>
                      <w:sz w:val="21"/>
                      <w:szCs w:val="21"/>
                      <w:highlight w:val="none"/>
                    </w:rPr>
                  </w:pPr>
                  <w:r>
                    <w:rPr>
                      <w:kern w:val="0"/>
                      <w:sz w:val="21"/>
                      <w:szCs w:val="21"/>
                      <w:highlight w:val="none"/>
                    </w:rPr>
                    <w:t>0.000025L</w:t>
                  </w:r>
                </w:p>
              </w:tc>
              <w:tc>
                <w:tcPr>
                  <w:tcW w:w="871" w:type="dxa"/>
                  <w:tcBorders>
                    <w:tl2br w:val="nil"/>
                    <w:tr2bl w:val="nil"/>
                  </w:tcBorders>
                  <w:noWrap/>
                  <w:vAlign w:val="center"/>
                </w:tcPr>
                <w:p w14:paraId="084CC772">
                  <w:pPr>
                    <w:widowControl/>
                    <w:jc w:val="center"/>
                    <w:rPr>
                      <w:kern w:val="0"/>
                      <w:sz w:val="21"/>
                      <w:szCs w:val="21"/>
                      <w:highlight w:val="none"/>
                    </w:rPr>
                  </w:pPr>
                  <w:r>
                    <w:rPr>
                      <w:kern w:val="0"/>
                      <w:sz w:val="21"/>
                      <w:szCs w:val="21"/>
                      <w:highlight w:val="none"/>
                    </w:rPr>
                    <w:t>0.000025L</w:t>
                  </w:r>
                </w:p>
              </w:tc>
              <w:tc>
                <w:tcPr>
                  <w:tcW w:w="944" w:type="dxa"/>
                  <w:tcBorders>
                    <w:right w:val="single" w:color="auto" w:sz="4" w:space="0"/>
                    <w:tl2br w:val="nil"/>
                    <w:tr2bl w:val="nil"/>
                  </w:tcBorders>
                  <w:noWrap/>
                  <w:vAlign w:val="center"/>
                </w:tcPr>
                <w:p w14:paraId="6DAE24CC">
                  <w:pPr>
                    <w:widowControl/>
                    <w:jc w:val="center"/>
                    <w:rPr>
                      <w:kern w:val="0"/>
                      <w:sz w:val="21"/>
                      <w:szCs w:val="21"/>
                      <w:highlight w:val="none"/>
                    </w:rPr>
                  </w:pPr>
                  <w:r>
                    <w:rPr>
                      <w:kern w:val="0"/>
                      <w:sz w:val="21"/>
                      <w:szCs w:val="21"/>
                      <w:highlight w:val="none"/>
                    </w:rPr>
                    <w:t>0.005</w:t>
                  </w:r>
                </w:p>
              </w:tc>
            </w:tr>
            <w:tr w14:paraId="5B8101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736930D">
                  <w:pPr>
                    <w:widowControl/>
                    <w:jc w:val="center"/>
                    <w:rPr>
                      <w:kern w:val="0"/>
                      <w:sz w:val="21"/>
                      <w:szCs w:val="21"/>
                      <w:highlight w:val="none"/>
                    </w:rPr>
                  </w:pPr>
                  <w:r>
                    <w:rPr>
                      <w:kern w:val="0"/>
                      <w:sz w:val="21"/>
                      <w:szCs w:val="21"/>
                      <w:highlight w:val="none"/>
                    </w:rPr>
                    <w:t>26</w:t>
                  </w:r>
                </w:p>
              </w:tc>
              <w:tc>
                <w:tcPr>
                  <w:tcW w:w="1003" w:type="dxa"/>
                  <w:tcBorders>
                    <w:tl2br w:val="nil"/>
                    <w:tr2bl w:val="nil"/>
                  </w:tcBorders>
                  <w:noWrap/>
                  <w:vAlign w:val="center"/>
                </w:tcPr>
                <w:p w14:paraId="3082359C">
                  <w:pPr>
                    <w:widowControl/>
                    <w:jc w:val="center"/>
                    <w:rPr>
                      <w:rFonts w:hint="eastAsia" w:eastAsia="宋体"/>
                      <w:kern w:val="0"/>
                      <w:sz w:val="21"/>
                      <w:szCs w:val="21"/>
                      <w:highlight w:val="none"/>
                      <w:lang w:eastAsia="zh-CN"/>
                    </w:rPr>
                  </w:pPr>
                  <w:r>
                    <w:rPr>
                      <w:kern w:val="0"/>
                      <w:sz w:val="21"/>
                      <w:szCs w:val="21"/>
                      <w:highlight w:val="none"/>
                    </w:rPr>
                    <w:t>铅</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E061FF6">
                  <w:pPr>
                    <w:widowControl/>
                    <w:jc w:val="center"/>
                    <w:rPr>
                      <w:kern w:val="0"/>
                      <w:sz w:val="21"/>
                      <w:szCs w:val="21"/>
                      <w:highlight w:val="none"/>
                    </w:rPr>
                  </w:pPr>
                  <w:r>
                    <w:rPr>
                      <w:kern w:val="0"/>
                      <w:sz w:val="21"/>
                      <w:szCs w:val="21"/>
                      <w:highlight w:val="none"/>
                    </w:rPr>
                    <w:t>0.00025L</w:t>
                  </w:r>
                </w:p>
              </w:tc>
              <w:tc>
                <w:tcPr>
                  <w:tcW w:w="871" w:type="dxa"/>
                  <w:tcBorders>
                    <w:tl2br w:val="nil"/>
                    <w:tr2bl w:val="nil"/>
                  </w:tcBorders>
                  <w:noWrap/>
                  <w:vAlign w:val="center"/>
                </w:tcPr>
                <w:p w14:paraId="495D5D02">
                  <w:pPr>
                    <w:widowControl/>
                    <w:jc w:val="center"/>
                    <w:rPr>
                      <w:kern w:val="0"/>
                      <w:sz w:val="21"/>
                      <w:szCs w:val="21"/>
                      <w:highlight w:val="none"/>
                    </w:rPr>
                  </w:pPr>
                  <w:r>
                    <w:rPr>
                      <w:kern w:val="0"/>
                      <w:sz w:val="21"/>
                      <w:szCs w:val="21"/>
                      <w:highlight w:val="none"/>
                    </w:rPr>
                    <w:t>0.00025L</w:t>
                  </w:r>
                </w:p>
              </w:tc>
              <w:tc>
                <w:tcPr>
                  <w:tcW w:w="871" w:type="dxa"/>
                  <w:tcBorders>
                    <w:tl2br w:val="nil"/>
                    <w:tr2bl w:val="nil"/>
                  </w:tcBorders>
                  <w:noWrap/>
                  <w:vAlign w:val="center"/>
                </w:tcPr>
                <w:p w14:paraId="0FEF397F">
                  <w:pPr>
                    <w:widowControl/>
                    <w:jc w:val="center"/>
                    <w:rPr>
                      <w:kern w:val="0"/>
                      <w:sz w:val="21"/>
                      <w:szCs w:val="21"/>
                      <w:highlight w:val="none"/>
                    </w:rPr>
                  </w:pPr>
                  <w:r>
                    <w:rPr>
                      <w:kern w:val="0"/>
                      <w:sz w:val="21"/>
                      <w:szCs w:val="21"/>
                      <w:highlight w:val="none"/>
                    </w:rPr>
                    <w:t>0.00025L</w:t>
                  </w:r>
                </w:p>
              </w:tc>
              <w:tc>
                <w:tcPr>
                  <w:tcW w:w="871" w:type="dxa"/>
                  <w:tcBorders>
                    <w:tl2br w:val="nil"/>
                    <w:tr2bl w:val="nil"/>
                  </w:tcBorders>
                  <w:noWrap/>
                  <w:vAlign w:val="center"/>
                </w:tcPr>
                <w:p w14:paraId="1206AD99">
                  <w:pPr>
                    <w:widowControl/>
                    <w:jc w:val="center"/>
                    <w:rPr>
                      <w:kern w:val="0"/>
                      <w:sz w:val="21"/>
                      <w:szCs w:val="21"/>
                      <w:highlight w:val="none"/>
                    </w:rPr>
                  </w:pPr>
                  <w:r>
                    <w:rPr>
                      <w:kern w:val="0"/>
                      <w:sz w:val="21"/>
                      <w:szCs w:val="21"/>
                      <w:highlight w:val="none"/>
                    </w:rPr>
                    <w:t>0.00025L</w:t>
                  </w:r>
                </w:p>
              </w:tc>
              <w:tc>
                <w:tcPr>
                  <w:tcW w:w="871" w:type="dxa"/>
                  <w:tcBorders>
                    <w:tl2br w:val="nil"/>
                    <w:tr2bl w:val="nil"/>
                  </w:tcBorders>
                  <w:noWrap/>
                  <w:vAlign w:val="center"/>
                </w:tcPr>
                <w:p w14:paraId="175C1DBE">
                  <w:pPr>
                    <w:widowControl/>
                    <w:jc w:val="center"/>
                    <w:rPr>
                      <w:kern w:val="0"/>
                      <w:sz w:val="21"/>
                      <w:szCs w:val="21"/>
                      <w:highlight w:val="none"/>
                    </w:rPr>
                  </w:pPr>
                  <w:r>
                    <w:rPr>
                      <w:kern w:val="0"/>
                      <w:sz w:val="21"/>
                      <w:szCs w:val="21"/>
                      <w:highlight w:val="none"/>
                    </w:rPr>
                    <w:t>0.00025L</w:t>
                  </w:r>
                </w:p>
              </w:tc>
              <w:tc>
                <w:tcPr>
                  <w:tcW w:w="871" w:type="dxa"/>
                  <w:tcBorders>
                    <w:tl2br w:val="nil"/>
                    <w:tr2bl w:val="nil"/>
                  </w:tcBorders>
                  <w:noWrap/>
                  <w:vAlign w:val="center"/>
                </w:tcPr>
                <w:p w14:paraId="03D742AC">
                  <w:pPr>
                    <w:widowControl/>
                    <w:jc w:val="center"/>
                    <w:rPr>
                      <w:kern w:val="0"/>
                      <w:sz w:val="21"/>
                      <w:szCs w:val="21"/>
                      <w:highlight w:val="none"/>
                    </w:rPr>
                  </w:pPr>
                  <w:r>
                    <w:rPr>
                      <w:kern w:val="0"/>
                      <w:sz w:val="21"/>
                      <w:szCs w:val="21"/>
                      <w:highlight w:val="none"/>
                    </w:rPr>
                    <w:t>0.00025L</w:t>
                  </w:r>
                </w:p>
              </w:tc>
              <w:tc>
                <w:tcPr>
                  <w:tcW w:w="871" w:type="dxa"/>
                  <w:tcBorders>
                    <w:tl2br w:val="nil"/>
                    <w:tr2bl w:val="nil"/>
                  </w:tcBorders>
                  <w:noWrap/>
                  <w:vAlign w:val="center"/>
                </w:tcPr>
                <w:p w14:paraId="7CBF6B64">
                  <w:pPr>
                    <w:widowControl/>
                    <w:jc w:val="center"/>
                    <w:rPr>
                      <w:kern w:val="0"/>
                      <w:sz w:val="21"/>
                      <w:szCs w:val="21"/>
                      <w:highlight w:val="none"/>
                    </w:rPr>
                  </w:pPr>
                  <w:r>
                    <w:rPr>
                      <w:kern w:val="0"/>
                      <w:sz w:val="21"/>
                      <w:szCs w:val="21"/>
                      <w:highlight w:val="none"/>
                    </w:rPr>
                    <w:t>0.00025L</w:t>
                  </w:r>
                </w:p>
              </w:tc>
              <w:tc>
                <w:tcPr>
                  <w:tcW w:w="944" w:type="dxa"/>
                  <w:tcBorders>
                    <w:right w:val="single" w:color="auto" w:sz="4" w:space="0"/>
                    <w:tl2br w:val="nil"/>
                    <w:tr2bl w:val="nil"/>
                  </w:tcBorders>
                  <w:noWrap/>
                  <w:vAlign w:val="center"/>
                </w:tcPr>
                <w:p w14:paraId="33015AF9">
                  <w:pPr>
                    <w:widowControl/>
                    <w:jc w:val="center"/>
                    <w:rPr>
                      <w:kern w:val="0"/>
                      <w:sz w:val="21"/>
                      <w:szCs w:val="21"/>
                      <w:highlight w:val="none"/>
                    </w:rPr>
                  </w:pPr>
                  <w:r>
                    <w:rPr>
                      <w:kern w:val="0"/>
                      <w:sz w:val="21"/>
                      <w:szCs w:val="21"/>
                      <w:highlight w:val="none"/>
                    </w:rPr>
                    <w:t>0.01</w:t>
                  </w:r>
                </w:p>
              </w:tc>
            </w:tr>
            <w:tr w14:paraId="7256A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47E396DA">
                  <w:pPr>
                    <w:widowControl/>
                    <w:jc w:val="center"/>
                    <w:rPr>
                      <w:kern w:val="0"/>
                      <w:sz w:val="21"/>
                      <w:szCs w:val="21"/>
                      <w:highlight w:val="none"/>
                    </w:rPr>
                  </w:pPr>
                  <w:r>
                    <w:rPr>
                      <w:kern w:val="0"/>
                      <w:sz w:val="21"/>
                      <w:szCs w:val="21"/>
                      <w:highlight w:val="none"/>
                    </w:rPr>
                    <w:t>27</w:t>
                  </w:r>
                </w:p>
              </w:tc>
              <w:tc>
                <w:tcPr>
                  <w:tcW w:w="1003" w:type="dxa"/>
                  <w:tcBorders>
                    <w:tl2br w:val="nil"/>
                    <w:tr2bl w:val="nil"/>
                  </w:tcBorders>
                  <w:noWrap/>
                  <w:vAlign w:val="center"/>
                </w:tcPr>
                <w:p w14:paraId="4ED985B0">
                  <w:pPr>
                    <w:widowControl/>
                    <w:jc w:val="center"/>
                    <w:rPr>
                      <w:rFonts w:hint="eastAsia" w:eastAsia="宋体"/>
                      <w:kern w:val="0"/>
                      <w:sz w:val="21"/>
                      <w:szCs w:val="21"/>
                      <w:highlight w:val="none"/>
                      <w:lang w:eastAsia="zh-CN"/>
                    </w:rPr>
                  </w:pPr>
                  <w:r>
                    <w:rPr>
                      <w:kern w:val="0"/>
                      <w:sz w:val="21"/>
                      <w:szCs w:val="21"/>
                      <w:highlight w:val="none"/>
                    </w:rPr>
                    <w:t>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871" w:type="dxa"/>
                  <w:tcBorders>
                    <w:tl2br w:val="nil"/>
                    <w:tr2bl w:val="nil"/>
                  </w:tcBorders>
                  <w:noWrap/>
                  <w:vAlign w:val="center"/>
                </w:tcPr>
                <w:p w14:paraId="3338DDDF">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16CDA432">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17926387">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40E88688">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12F603B5">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44741898">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3565F718">
                  <w:pPr>
                    <w:widowControl/>
                    <w:jc w:val="center"/>
                    <w:rPr>
                      <w:kern w:val="0"/>
                      <w:sz w:val="21"/>
                      <w:szCs w:val="21"/>
                      <w:highlight w:val="none"/>
                    </w:rPr>
                  </w:pPr>
                  <w:r>
                    <w:rPr>
                      <w:kern w:val="0"/>
                      <w:sz w:val="21"/>
                      <w:szCs w:val="21"/>
                      <w:highlight w:val="none"/>
                    </w:rPr>
                    <w:t>1.4L</w:t>
                  </w:r>
                </w:p>
              </w:tc>
              <w:tc>
                <w:tcPr>
                  <w:tcW w:w="944" w:type="dxa"/>
                  <w:tcBorders>
                    <w:right w:val="single" w:color="auto" w:sz="4" w:space="0"/>
                    <w:tl2br w:val="nil"/>
                    <w:tr2bl w:val="nil"/>
                  </w:tcBorders>
                  <w:noWrap/>
                  <w:vAlign w:val="center"/>
                </w:tcPr>
                <w:p w14:paraId="515A4867">
                  <w:pPr>
                    <w:widowControl/>
                    <w:jc w:val="center"/>
                    <w:rPr>
                      <w:kern w:val="0"/>
                      <w:sz w:val="21"/>
                      <w:szCs w:val="21"/>
                      <w:highlight w:val="none"/>
                    </w:rPr>
                  </w:pPr>
                  <w:r>
                    <w:rPr>
                      <w:kern w:val="0"/>
                      <w:sz w:val="21"/>
                      <w:szCs w:val="21"/>
                      <w:highlight w:val="none"/>
                    </w:rPr>
                    <w:t>10</w:t>
                  </w:r>
                </w:p>
              </w:tc>
            </w:tr>
            <w:tr w14:paraId="4DBE48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26FFC9F3">
                  <w:pPr>
                    <w:widowControl/>
                    <w:jc w:val="center"/>
                    <w:rPr>
                      <w:kern w:val="0"/>
                      <w:sz w:val="21"/>
                      <w:szCs w:val="21"/>
                      <w:highlight w:val="none"/>
                    </w:rPr>
                  </w:pPr>
                  <w:r>
                    <w:rPr>
                      <w:kern w:val="0"/>
                      <w:sz w:val="21"/>
                      <w:szCs w:val="21"/>
                      <w:highlight w:val="none"/>
                    </w:rPr>
                    <w:t>28</w:t>
                  </w:r>
                </w:p>
              </w:tc>
              <w:tc>
                <w:tcPr>
                  <w:tcW w:w="1003" w:type="dxa"/>
                  <w:tcBorders>
                    <w:tl2br w:val="nil"/>
                    <w:tr2bl w:val="nil"/>
                  </w:tcBorders>
                  <w:noWrap/>
                  <w:vAlign w:val="center"/>
                </w:tcPr>
                <w:p w14:paraId="53A96A5A">
                  <w:pPr>
                    <w:widowControl/>
                    <w:jc w:val="center"/>
                    <w:rPr>
                      <w:rFonts w:hint="eastAsia" w:eastAsia="宋体"/>
                      <w:kern w:val="0"/>
                      <w:sz w:val="21"/>
                      <w:szCs w:val="21"/>
                      <w:highlight w:val="none"/>
                      <w:lang w:eastAsia="zh-CN"/>
                    </w:rPr>
                  </w:pPr>
                  <w:r>
                    <w:rPr>
                      <w:kern w:val="0"/>
                      <w:sz w:val="21"/>
                      <w:szCs w:val="21"/>
                      <w:highlight w:val="none"/>
                    </w:rPr>
                    <w:t>甲苯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871" w:type="dxa"/>
                  <w:tcBorders>
                    <w:tl2br w:val="nil"/>
                    <w:tr2bl w:val="nil"/>
                  </w:tcBorders>
                  <w:noWrap/>
                  <w:vAlign w:val="center"/>
                </w:tcPr>
                <w:p w14:paraId="3135C062">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5F342FE7">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533BFA98">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1D682D27">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63895172">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158EFFB8">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3FF4E212">
                  <w:pPr>
                    <w:widowControl/>
                    <w:jc w:val="center"/>
                    <w:rPr>
                      <w:kern w:val="0"/>
                      <w:sz w:val="21"/>
                      <w:szCs w:val="21"/>
                      <w:highlight w:val="none"/>
                    </w:rPr>
                  </w:pPr>
                  <w:r>
                    <w:rPr>
                      <w:kern w:val="0"/>
                      <w:sz w:val="21"/>
                      <w:szCs w:val="21"/>
                      <w:highlight w:val="none"/>
                    </w:rPr>
                    <w:t>1.4L</w:t>
                  </w:r>
                </w:p>
              </w:tc>
              <w:tc>
                <w:tcPr>
                  <w:tcW w:w="944" w:type="dxa"/>
                  <w:tcBorders>
                    <w:right w:val="single" w:color="auto" w:sz="4" w:space="0"/>
                    <w:tl2br w:val="nil"/>
                    <w:tr2bl w:val="nil"/>
                  </w:tcBorders>
                  <w:noWrap/>
                  <w:vAlign w:val="center"/>
                </w:tcPr>
                <w:p w14:paraId="33C27E0C">
                  <w:pPr>
                    <w:widowControl/>
                    <w:jc w:val="center"/>
                    <w:rPr>
                      <w:kern w:val="0"/>
                      <w:sz w:val="21"/>
                      <w:szCs w:val="21"/>
                      <w:highlight w:val="none"/>
                    </w:rPr>
                  </w:pPr>
                  <w:r>
                    <w:rPr>
                      <w:kern w:val="0"/>
                      <w:sz w:val="21"/>
                      <w:szCs w:val="21"/>
                      <w:highlight w:val="none"/>
                    </w:rPr>
                    <w:t>700</w:t>
                  </w:r>
                </w:p>
              </w:tc>
            </w:tr>
            <w:tr w14:paraId="762315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042F1E71">
                  <w:pPr>
                    <w:widowControl/>
                    <w:jc w:val="center"/>
                    <w:rPr>
                      <w:kern w:val="0"/>
                      <w:sz w:val="21"/>
                      <w:szCs w:val="21"/>
                      <w:highlight w:val="none"/>
                    </w:rPr>
                  </w:pPr>
                  <w:r>
                    <w:rPr>
                      <w:kern w:val="0"/>
                      <w:sz w:val="21"/>
                      <w:szCs w:val="21"/>
                      <w:highlight w:val="none"/>
                    </w:rPr>
                    <w:t>29</w:t>
                  </w:r>
                </w:p>
              </w:tc>
              <w:tc>
                <w:tcPr>
                  <w:tcW w:w="1003" w:type="dxa"/>
                  <w:tcBorders>
                    <w:tl2br w:val="nil"/>
                    <w:tr2bl w:val="nil"/>
                  </w:tcBorders>
                  <w:noWrap/>
                  <w:vAlign w:val="center"/>
                </w:tcPr>
                <w:p w14:paraId="2286889B">
                  <w:pPr>
                    <w:widowControl/>
                    <w:jc w:val="center"/>
                    <w:rPr>
                      <w:rFonts w:hint="eastAsia" w:eastAsia="宋体"/>
                      <w:kern w:val="0"/>
                      <w:sz w:val="21"/>
                      <w:szCs w:val="21"/>
                      <w:highlight w:val="none"/>
                      <w:lang w:eastAsia="zh-CN"/>
                    </w:rPr>
                  </w:pPr>
                  <w:r>
                    <w:rPr>
                      <w:kern w:val="0"/>
                      <w:sz w:val="21"/>
                      <w:szCs w:val="21"/>
                      <w:highlight w:val="none"/>
                    </w:rPr>
                    <w:t>乙苯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871" w:type="dxa"/>
                  <w:tcBorders>
                    <w:tl2br w:val="nil"/>
                    <w:tr2bl w:val="nil"/>
                  </w:tcBorders>
                  <w:noWrap/>
                  <w:vAlign w:val="center"/>
                </w:tcPr>
                <w:p w14:paraId="620F1106">
                  <w:pPr>
                    <w:widowControl/>
                    <w:jc w:val="center"/>
                    <w:rPr>
                      <w:kern w:val="0"/>
                      <w:sz w:val="21"/>
                      <w:szCs w:val="21"/>
                      <w:highlight w:val="none"/>
                    </w:rPr>
                  </w:pPr>
                  <w:r>
                    <w:rPr>
                      <w:kern w:val="0"/>
                      <w:sz w:val="21"/>
                      <w:szCs w:val="21"/>
                      <w:highlight w:val="none"/>
                    </w:rPr>
                    <w:t>0.8L</w:t>
                  </w:r>
                </w:p>
              </w:tc>
              <w:tc>
                <w:tcPr>
                  <w:tcW w:w="871" w:type="dxa"/>
                  <w:tcBorders>
                    <w:tl2br w:val="nil"/>
                    <w:tr2bl w:val="nil"/>
                  </w:tcBorders>
                  <w:noWrap/>
                  <w:vAlign w:val="center"/>
                </w:tcPr>
                <w:p w14:paraId="418BDEDC">
                  <w:pPr>
                    <w:widowControl/>
                    <w:jc w:val="center"/>
                    <w:rPr>
                      <w:kern w:val="0"/>
                      <w:sz w:val="21"/>
                      <w:szCs w:val="21"/>
                      <w:highlight w:val="none"/>
                    </w:rPr>
                  </w:pPr>
                  <w:r>
                    <w:rPr>
                      <w:kern w:val="0"/>
                      <w:sz w:val="21"/>
                      <w:szCs w:val="21"/>
                      <w:highlight w:val="none"/>
                    </w:rPr>
                    <w:t>0.8L</w:t>
                  </w:r>
                </w:p>
              </w:tc>
              <w:tc>
                <w:tcPr>
                  <w:tcW w:w="871" w:type="dxa"/>
                  <w:tcBorders>
                    <w:tl2br w:val="nil"/>
                    <w:tr2bl w:val="nil"/>
                  </w:tcBorders>
                  <w:noWrap/>
                  <w:vAlign w:val="center"/>
                </w:tcPr>
                <w:p w14:paraId="58726BC8">
                  <w:pPr>
                    <w:widowControl/>
                    <w:jc w:val="center"/>
                    <w:rPr>
                      <w:kern w:val="0"/>
                      <w:sz w:val="21"/>
                      <w:szCs w:val="21"/>
                      <w:highlight w:val="none"/>
                    </w:rPr>
                  </w:pPr>
                  <w:r>
                    <w:rPr>
                      <w:kern w:val="0"/>
                      <w:sz w:val="21"/>
                      <w:szCs w:val="21"/>
                      <w:highlight w:val="none"/>
                    </w:rPr>
                    <w:t>0.8L</w:t>
                  </w:r>
                </w:p>
              </w:tc>
              <w:tc>
                <w:tcPr>
                  <w:tcW w:w="871" w:type="dxa"/>
                  <w:tcBorders>
                    <w:tl2br w:val="nil"/>
                    <w:tr2bl w:val="nil"/>
                  </w:tcBorders>
                  <w:noWrap/>
                  <w:vAlign w:val="center"/>
                </w:tcPr>
                <w:p w14:paraId="4A7051D2">
                  <w:pPr>
                    <w:widowControl/>
                    <w:jc w:val="center"/>
                    <w:rPr>
                      <w:kern w:val="0"/>
                      <w:sz w:val="21"/>
                      <w:szCs w:val="21"/>
                      <w:highlight w:val="none"/>
                    </w:rPr>
                  </w:pPr>
                  <w:r>
                    <w:rPr>
                      <w:kern w:val="0"/>
                      <w:sz w:val="21"/>
                      <w:szCs w:val="21"/>
                      <w:highlight w:val="none"/>
                    </w:rPr>
                    <w:t>0.8L</w:t>
                  </w:r>
                </w:p>
              </w:tc>
              <w:tc>
                <w:tcPr>
                  <w:tcW w:w="871" w:type="dxa"/>
                  <w:tcBorders>
                    <w:tl2br w:val="nil"/>
                    <w:tr2bl w:val="nil"/>
                  </w:tcBorders>
                  <w:noWrap/>
                  <w:vAlign w:val="center"/>
                </w:tcPr>
                <w:p w14:paraId="74782B74">
                  <w:pPr>
                    <w:widowControl/>
                    <w:jc w:val="center"/>
                    <w:rPr>
                      <w:kern w:val="0"/>
                      <w:sz w:val="21"/>
                      <w:szCs w:val="21"/>
                      <w:highlight w:val="none"/>
                    </w:rPr>
                  </w:pPr>
                  <w:r>
                    <w:rPr>
                      <w:kern w:val="0"/>
                      <w:sz w:val="21"/>
                      <w:szCs w:val="21"/>
                      <w:highlight w:val="none"/>
                    </w:rPr>
                    <w:t>0.8L</w:t>
                  </w:r>
                </w:p>
              </w:tc>
              <w:tc>
                <w:tcPr>
                  <w:tcW w:w="871" w:type="dxa"/>
                  <w:tcBorders>
                    <w:tl2br w:val="nil"/>
                    <w:tr2bl w:val="nil"/>
                  </w:tcBorders>
                  <w:noWrap/>
                  <w:vAlign w:val="center"/>
                </w:tcPr>
                <w:p w14:paraId="1CC70700">
                  <w:pPr>
                    <w:widowControl/>
                    <w:jc w:val="center"/>
                    <w:rPr>
                      <w:kern w:val="0"/>
                      <w:sz w:val="21"/>
                      <w:szCs w:val="21"/>
                      <w:highlight w:val="none"/>
                    </w:rPr>
                  </w:pPr>
                  <w:r>
                    <w:rPr>
                      <w:kern w:val="0"/>
                      <w:sz w:val="21"/>
                      <w:szCs w:val="21"/>
                      <w:highlight w:val="none"/>
                    </w:rPr>
                    <w:t>0.8L</w:t>
                  </w:r>
                </w:p>
              </w:tc>
              <w:tc>
                <w:tcPr>
                  <w:tcW w:w="871" w:type="dxa"/>
                  <w:tcBorders>
                    <w:tl2br w:val="nil"/>
                    <w:tr2bl w:val="nil"/>
                  </w:tcBorders>
                  <w:noWrap/>
                  <w:vAlign w:val="center"/>
                </w:tcPr>
                <w:p w14:paraId="0DED9FD2">
                  <w:pPr>
                    <w:widowControl/>
                    <w:jc w:val="center"/>
                    <w:rPr>
                      <w:kern w:val="0"/>
                      <w:sz w:val="21"/>
                      <w:szCs w:val="21"/>
                      <w:highlight w:val="none"/>
                    </w:rPr>
                  </w:pPr>
                  <w:r>
                    <w:rPr>
                      <w:kern w:val="0"/>
                      <w:sz w:val="21"/>
                      <w:szCs w:val="21"/>
                      <w:highlight w:val="none"/>
                    </w:rPr>
                    <w:t>0.8L</w:t>
                  </w:r>
                </w:p>
              </w:tc>
              <w:tc>
                <w:tcPr>
                  <w:tcW w:w="944" w:type="dxa"/>
                  <w:tcBorders>
                    <w:right w:val="single" w:color="auto" w:sz="4" w:space="0"/>
                    <w:tl2br w:val="nil"/>
                    <w:tr2bl w:val="nil"/>
                  </w:tcBorders>
                  <w:noWrap/>
                  <w:vAlign w:val="center"/>
                </w:tcPr>
                <w:p w14:paraId="5BAE95FF">
                  <w:pPr>
                    <w:widowControl/>
                    <w:jc w:val="center"/>
                    <w:rPr>
                      <w:kern w:val="0"/>
                      <w:sz w:val="21"/>
                      <w:szCs w:val="21"/>
                      <w:highlight w:val="none"/>
                    </w:rPr>
                  </w:pPr>
                  <w:r>
                    <w:rPr>
                      <w:kern w:val="0"/>
                      <w:sz w:val="21"/>
                      <w:szCs w:val="21"/>
                      <w:highlight w:val="none"/>
                    </w:rPr>
                    <w:t>300</w:t>
                  </w:r>
                </w:p>
              </w:tc>
            </w:tr>
            <w:tr w14:paraId="7453D1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36826BB1">
                  <w:pPr>
                    <w:widowControl/>
                    <w:jc w:val="center"/>
                    <w:rPr>
                      <w:kern w:val="0"/>
                      <w:sz w:val="21"/>
                      <w:szCs w:val="21"/>
                      <w:highlight w:val="none"/>
                    </w:rPr>
                  </w:pPr>
                  <w:r>
                    <w:rPr>
                      <w:kern w:val="0"/>
                      <w:sz w:val="21"/>
                      <w:szCs w:val="21"/>
                      <w:highlight w:val="none"/>
                    </w:rPr>
                    <w:t>30</w:t>
                  </w:r>
                </w:p>
              </w:tc>
              <w:tc>
                <w:tcPr>
                  <w:tcW w:w="1003" w:type="dxa"/>
                  <w:tcBorders>
                    <w:tl2br w:val="nil"/>
                    <w:tr2bl w:val="nil"/>
                  </w:tcBorders>
                  <w:noWrap/>
                  <w:vAlign w:val="center"/>
                </w:tcPr>
                <w:p w14:paraId="4EAE6A2B">
                  <w:pPr>
                    <w:widowControl/>
                    <w:jc w:val="center"/>
                    <w:rPr>
                      <w:rFonts w:hint="eastAsia" w:eastAsia="宋体"/>
                      <w:kern w:val="0"/>
                      <w:sz w:val="21"/>
                      <w:szCs w:val="21"/>
                      <w:highlight w:val="none"/>
                      <w:lang w:eastAsia="zh-CN"/>
                    </w:rPr>
                  </w:pPr>
                  <w:r>
                    <w:rPr>
                      <w:kern w:val="0"/>
                      <w:sz w:val="21"/>
                      <w:szCs w:val="21"/>
                      <w:highlight w:val="none"/>
                    </w:rPr>
                    <w:t>六价铬</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3673B480">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31977065">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20E4B6EC">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4403153F">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51D33B1A">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03CDD107">
                  <w:pPr>
                    <w:widowControl/>
                    <w:jc w:val="center"/>
                    <w:rPr>
                      <w:kern w:val="0"/>
                      <w:sz w:val="21"/>
                      <w:szCs w:val="21"/>
                      <w:highlight w:val="none"/>
                    </w:rPr>
                  </w:pPr>
                  <w:r>
                    <w:rPr>
                      <w:kern w:val="0"/>
                      <w:sz w:val="21"/>
                      <w:szCs w:val="21"/>
                      <w:highlight w:val="none"/>
                    </w:rPr>
                    <w:t>0.004L</w:t>
                  </w:r>
                </w:p>
              </w:tc>
              <w:tc>
                <w:tcPr>
                  <w:tcW w:w="871" w:type="dxa"/>
                  <w:tcBorders>
                    <w:tl2br w:val="nil"/>
                    <w:tr2bl w:val="nil"/>
                  </w:tcBorders>
                  <w:noWrap/>
                  <w:vAlign w:val="center"/>
                </w:tcPr>
                <w:p w14:paraId="7AACE164">
                  <w:pPr>
                    <w:widowControl/>
                    <w:jc w:val="center"/>
                    <w:rPr>
                      <w:kern w:val="0"/>
                      <w:sz w:val="21"/>
                      <w:szCs w:val="21"/>
                      <w:highlight w:val="none"/>
                    </w:rPr>
                  </w:pPr>
                  <w:r>
                    <w:rPr>
                      <w:kern w:val="0"/>
                      <w:sz w:val="21"/>
                      <w:szCs w:val="21"/>
                      <w:highlight w:val="none"/>
                    </w:rPr>
                    <w:t>0.004L</w:t>
                  </w:r>
                </w:p>
              </w:tc>
              <w:tc>
                <w:tcPr>
                  <w:tcW w:w="944" w:type="dxa"/>
                  <w:tcBorders>
                    <w:right w:val="single" w:color="auto" w:sz="4" w:space="0"/>
                    <w:tl2br w:val="nil"/>
                    <w:tr2bl w:val="nil"/>
                  </w:tcBorders>
                  <w:noWrap/>
                  <w:vAlign w:val="center"/>
                </w:tcPr>
                <w:p w14:paraId="34155C8E">
                  <w:pPr>
                    <w:widowControl/>
                    <w:jc w:val="center"/>
                    <w:rPr>
                      <w:kern w:val="0"/>
                      <w:sz w:val="21"/>
                      <w:szCs w:val="21"/>
                      <w:highlight w:val="none"/>
                    </w:rPr>
                  </w:pPr>
                  <w:r>
                    <w:rPr>
                      <w:kern w:val="0"/>
                      <w:sz w:val="21"/>
                      <w:szCs w:val="21"/>
                      <w:highlight w:val="none"/>
                    </w:rPr>
                    <w:t>0.05</w:t>
                  </w:r>
                </w:p>
              </w:tc>
            </w:tr>
            <w:tr w14:paraId="73CA43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413212FE">
                  <w:pPr>
                    <w:widowControl/>
                    <w:jc w:val="center"/>
                    <w:rPr>
                      <w:kern w:val="0"/>
                      <w:sz w:val="21"/>
                      <w:szCs w:val="21"/>
                      <w:highlight w:val="none"/>
                    </w:rPr>
                  </w:pPr>
                  <w:r>
                    <w:rPr>
                      <w:kern w:val="0"/>
                      <w:sz w:val="21"/>
                      <w:szCs w:val="21"/>
                      <w:highlight w:val="none"/>
                    </w:rPr>
                    <w:t>31</w:t>
                  </w:r>
                </w:p>
              </w:tc>
              <w:tc>
                <w:tcPr>
                  <w:tcW w:w="1003" w:type="dxa"/>
                  <w:tcBorders>
                    <w:tl2br w:val="nil"/>
                    <w:tr2bl w:val="nil"/>
                  </w:tcBorders>
                  <w:noWrap/>
                  <w:vAlign w:val="center"/>
                </w:tcPr>
                <w:p w14:paraId="3397E445">
                  <w:pPr>
                    <w:widowControl/>
                    <w:jc w:val="center"/>
                    <w:rPr>
                      <w:rFonts w:hint="eastAsia" w:eastAsia="宋体"/>
                      <w:kern w:val="0"/>
                      <w:sz w:val="21"/>
                      <w:szCs w:val="21"/>
                      <w:highlight w:val="none"/>
                      <w:lang w:eastAsia="zh-CN"/>
                    </w:rPr>
                  </w:pPr>
                  <w:r>
                    <w:rPr>
                      <w:kern w:val="0"/>
                      <w:sz w:val="21"/>
                      <w:szCs w:val="21"/>
                      <w:highlight w:val="none"/>
                    </w:rPr>
                    <w:t>邻二甲苯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871" w:type="dxa"/>
                  <w:tcBorders>
                    <w:tl2br w:val="nil"/>
                    <w:tr2bl w:val="nil"/>
                  </w:tcBorders>
                  <w:noWrap/>
                  <w:vAlign w:val="center"/>
                </w:tcPr>
                <w:p w14:paraId="36A6A11B">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0A30C553">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0E31C98D">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36B498CC">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548F761F">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5F2373FD">
                  <w:pPr>
                    <w:widowControl/>
                    <w:jc w:val="center"/>
                    <w:rPr>
                      <w:kern w:val="0"/>
                      <w:sz w:val="21"/>
                      <w:szCs w:val="21"/>
                      <w:highlight w:val="none"/>
                    </w:rPr>
                  </w:pPr>
                  <w:r>
                    <w:rPr>
                      <w:kern w:val="0"/>
                      <w:sz w:val="21"/>
                      <w:szCs w:val="21"/>
                      <w:highlight w:val="none"/>
                    </w:rPr>
                    <w:t>1.4L</w:t>
                  </w:r>
                </w:p>
              </w:tc>
              <w:tc>
                <w:tcPr>
                  <w:tcW w:w="871" w:type="dxa"/>
                  <w:tcBorders>
                    <w:tl2br w:val="nil"/>
                    <w:tr2bl w:val="nil"/>
                  </w:tcBorders>
                  <w:noWrap/>
                  <w:vAlign w:val="center"/>
                </w:tcPr>
                <w:p w14:paraId="2CDDE5C5">
                  <w:pPr>
                    <w:widowControl/>
                    <w:jc w:val="center"/>
                    <w:rPr>
                      <w:kern w:val="0"/>
                      <w:sz w:val="21"/>
                      <w:szCs w:val="21"/>
                      <w:highlight w:val="none"/>
                    </w:rPr>
                  </w:pPr>
                  <w:r>
                    <w:rPr>
                      <w:kern w:val="0"/>
                      <w:sz w:val="21"/>
                      <w:szCs w:val="21"/>
                      <w:highlight w:val="none"/>
                    </w:rPr>
                    <w:t>1.4L</w:t>
                  </w:r>
                </w:p>
              </w:tc>
              <w:tc>
                <w:tcPr>
                  <w:tcW w:w="944" w:type="dxa"/>
                  <w:vMerge w:val="restart"/>
                  <w:tcBorders>
                    <w:right w:val="single" w:color="auto" w:sz="4" w:space="0"/>
                    <w:tl2br w:val="nil"/>
                    <w:tr2bl w:val="nil"/>
                  </w:tcBorders>
                  <w:noWrap/>
                  <w:vAlign w:val="center"/>
                </w:tcPr>
                <w:p w14:paraId="78AD7ADE">
                  <w:pPr>
                    <w:widowControl/>
                    <w:jc w:val="center"/>
                    <w:rPr>
                      <w:kern w:val="0"/>
                      <w:sz w:val="21"/>
                      <w:szCs w:val="21"/>
                      <w:highlight w:val="none"/>
                    </w:rPr>
                  </w:pPr>
                  <w:r>
                    <w:rPr>
                      <w:kern w:val="0"/>
                      <w:sz w:val="21"/>
                      <w:szCs w:val="21"/>
                      <w:highlight w:val="none"/>
                    </w:rPr>
                    <w:t>500</w:t>
                  </w:r>
                </w:p>
              </w:tc>
            </w:tr>
            <w:tr w14:paraId="263B1C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7683EBE8">
                  <w:pPr>
                    <w:widowControl/>
                    <w:jc w:val="center"/>
                    <w:rPr>
                      <w:kern w:val="0"/>
                      <w:sz w:val="21"/>
                      <w:szCs w:val="21"/>
                      <w:highlight w:val="none"/>
                    </w:rPr>
                  </w:pPr>
                  <w:r>
                    <w:rPr>
                      <w:kern w:val="0"/>
                      <w:sz w:val="21"/>
                      <w:szCs w:val="21"/>
                      <w:highlight w:val="none"/>
                    </w:rPr>
                    <w:t>32</w:t>
                  </w:r>
                </w:p>
              </w:tc>
              <w:tc>
                <w:tcPr>
                  <w:tcW w:w="1003" w:type="dxa"/>
                  <w:tcBorders>
                    <w:tl2br w:val="nil"/>
                    <w:tr2bl w:val="nil"/>
                  </w:tcBorders>
                  <w:noWrap/>
                  <w:vAlign w:val="center"/>
                </w:tcPr>
                <w:p w14:paraId="430C0AC2">
                  <w:pPr>
                    <w:widowControl/>
                    <w:jc w:val="center"/>
                    <w:rPr>
                      <w:rFonts w:hint="eastAsia" w:eastAsia="宋体"/>
                      <w:kern w:val="0"/>
                      <w:sz w:val="21"/>
                      <w:szCs w:val="21"/>
                      <w:highlight w:val="none"/>
                      <w:lang w:eastAsia="zh-CN"/>
                    </w:rPr>
                  </w:pPr>
                  <w:r>
                    <w:rPr>
                      <w:kern w:val="0"/>
                      <w:sz w:val="21"/>
                      <w:szCs w:val="21"/>
                      <w:highlight w:val="none"/>
                    </w:rPr>
                    <w:t>间，对-二甲苯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871" w:type="dxa"/>
                  <w:tcBorders>
                    <w:tl2br w:val="nil"/>
                    <w:tr2bl w:val="nil"/>
                  </w:tcBorders>
                  <w:noWrap/>
                  <w:vAlign w:val="center"/>
                </w:tcPr>
                <w:p w14:paraId="388515B4">
                  <w:pPr>
                    <w:widowControl/>
                    <w:jc w:val="center"/>
                    <w:rPr>
                      <w:kern w:val="0"/>
                      <w:sz w:val="21"/>
                      <w:szCs w:val="21"/>
                      <w:highlight w:val="none"/>
                    </w:rPr>
                  </w:pPr>
                  <w:r>
                    <w:rPr>
                      <w:kern w:val="0"/>
                      <w:sz w:val="21"/>
                      <w:szCs w:val="21"/>
                      <w:highlight w:val="none"/>
                    </w:rPr>
                    <w:t>2.2L</w:t>
                  </w:r>
                </w:p>
              </w:tc>
              <w:tc>
                <w:tcPr>
                  <w:tcW w:w="871" w:type="dxa"/>
                  <w:tcBorders>
                    <w:tl2br w:val="nil"/>
                    <w:tr2bl w:val="nil"/>
                  </w:tcBorders>
                  <w:noWrap/>
                  <w:vAlign w:val="center"/>
                </w:tcPr>
                <w:p w14:paraId="43C0C839">
                  <w:pPr>
                    <w:widowControl/>
                    <w:jc w:val="center"/>
                    <w:rPr>
                      <w:kern w:val="0"/>
                      <w:sz w:val="21"/>
                      <w:szCs w:val="21"/>
                      <w:highlight w:val="none"/>
                    </w:rPr>
                  </w:pPr>
                  <w:r>
                    <w:rPr>
                      <w:kern w:val="0"/>
                      <w:sz w:val="21"/>
                      <w:szCs w:val="21"/>
                      <w:highlight w:val="none"/>
                    </w:rPr>
                    <w:t>2.2L</w:t>
                  </w:r>
                </w:p>
              </w:tc>
              <w:tc>
                <w:tcPr>
                  <w:tcW w:w="871" w:type="dxa"/>
                  <w:tcBorders>
                    <w:tl2br w:val="nil"/>
                    <w:tr2bl w:val="nil"/>
                  </w:tcBorders>
                  <w:noWrap/>
                  <w:vAlign w:val="center"/>
                </w:tcPr>
                <w:p w14:paraId="6AE2720C">
                  <w:pPr>
                    <w:widowControl/>
                    <w:jc w:val="center"/>
                    <w:rPr>
                      <w:kern w:val="0"/>
                      <w:sz w:val="21"/>
                      <w:szCs w:val="21"/>
                      <w:highlight w:val="none"/>
                    </w:rPr>
                  </w:pPr>
                  <w:r>
                    <w:rPr>
                      <w:kern w:val="0"/>
                      <w:sz w:val="21"/>
                      <w:szCs w:val="21"/>
                      <w:highlight w:val="none"/>
                    </w:rPr>
                    <w:t>2.2L</w:t>
                  </w:r>
                </w:p>
              </w:tc>
              <w:tc>
                <w:tcPr>
                  <w:tcW w:w="871" w:type="dxa"/>
                  <w:tcBorders>
                    <w:tl2br w:val="nil"/>
                    <w:tr2bl w:val="nil"/>
                  </w:tcBorders>
                  <w:noWrap/>
                  <w:vAlign w:val="center"/>
                </w:tcPr>
                <w:p w14:paraId="587FED09">
                  <w:pPr>
                    <w:widowControl/>
                    <w:jc w:val="center"/>
                    <w:rPr>
                      <w:kern w:val="0"/>
                      <w:sz w:val="21"/>
                      <w:szCs w:val="21"/>
                      <w:highlight w:val="none"/>
                    </w:rPr>
                  </w:pPr>
                  <w:r>
                    <w:rPr>
                      <w:kern w:val="0"/>
                      <w:sz w:val="21"/>
                      <w:szCs w:val="21"/>
                      <w:highlight w:val="none"/>
                    </w:rPr>
                    <w:t>2.2L</w:t>
                  </w:r>
                </w:p>
              </w:tc>
              <w:tc>
                <w:tcPr>
                  <w:tcW w:w="871" w:type="dxa"/>
                  <w:tcBorders>
                    <w:tl2br w:val="nil"/>
                    <w:tr2bl w:val="nil"/>
                  </w:tcBorders>
                  <w:noWrap/>
                  <w:vAlign w:val="center"/>
                </w:tcPr>
                <w:p w14:paraId="328A6DBE">
                  <w:pPr>
                    <w:widowControl/>
                    <w:jc w:val="center"/>
                    <w:rPr>
                      <w:kern w:val="0"/>
                      <w:sz w:val="21"/>
                      <w:szCs w:val="21"/>
                      <w:highlight w:val="none"/>
                    </w:rPr>
                  </w:pPr>
                  <w:r>
                    <w:rPr>
                      <w:kern w:val="0"/>
                      <w:sz w:val="21"/>
                      <w:szCs w:val="21"/>
                      <w:highlight w:val="none"/>
                    </w:rPr>
                    <w:t>2.2L</w:t>
                  </w:r>
                </w:p>
              </w:tc>
              <w:tc>
                <w:tcPr>
                  <w:tcW w:w="871" w:type="dxa"/>
                  <w:tcBorders>
                    <w:tl2br w:val="nil"/>
                    <w:tr2bl w:val="nil"/>
                  </w:tcBorders>
                  <w:noWrap/>
                  <w:vAlign w:val="center"/>
                </w:tcPr>
                <w:p w14:paraId="22038560">
                  <w:pPr>
                    <w:widowControl/>
                    <w:jc w:val="center"/>
                    <w:rPr>
                      <w:kern w:val="0"/>
                      <w:sz w:val="21"/>
                      <w:szCs w:val="21"/>
                      <w:highlight w:val="none"/>
                    </w:rPr>
                  </w:pPr>
                  <w:r>
                    <w:rPr>
                      <w:kern w:val="0"/>
                      <w:sz w:val="21"/>
                      <w:szCs w:val="21"/>
                      <w:highlight w:val="none"/>
                    </w:rPr>
                    <w:t>2.2L</w:t>
                  </w:r>
                </w:p>
              </w:tc>
              <w:tc>
                <w:tcPr>
                  <w:tcW w:w="871" w:type="dxa"/>
                  <w:tcBorders>
                    <w:tl2br w:val="nil"/>
                    <w:tr2bl w:val="nil"/>
                  </w:tcBorders>
                  <w:noWrap/>
                  <w:vAlign w:val="center"/>
                </w:tcPr>
                <w:p w14:paraId="026C150D">
                  <w:pPr>
                    <w:widowControl/>
                    <w:jc w:val="center"/>
                    <w:rPr>
                      <w:kern w:val="0"/>
                      <w:sz w:val="21"/>
                      <w:szCs w:val="21"/>
                      <w:highlight w:val="none"/>
                    </w:rPr>
                  </w:pPr>
                  <w:r>
                    <w:rPr>
                      <w:kern w:val="0"/>
                      <w:sz w:val="21"/>
                      <w:szCs w:val="21"/>
                      <w:highlight w:val="none"/>
                    </w:rPr>
                    <w:t>2.2L</w:t>
                  </w:r>
                </w:p>
              </w:tc>
              <w:tc>
                <w:tcPr>
                  <w:tcW w:w="944" w:type="dxa"/>
                  <w:vMerge w:val="continue"/>
                  <w:tcBorders>
                    <w:right w:val="single" w:color="auto" w:sz="4" w:space="0"/>
                    <w:tl2br w:val="nil"/>
                    <w:tr2bl w:val="nil"/>
                  </w:tcBorders>
                  <w:noWrap w:val="0"/>
                  <w:vAlign w:val="center"/>
                </w:tcPr>
                <w:p w14:paraId="0EDB038C">
                  <w:pPr>
                    <w:widowControl/>
                    <w:jc w:val="center"/>
                    <w:rPr>
                      <w:kern w:val="0"/>
                      <w:sz w:val="21"/>
                      <w:szCs w:val="21"/>
                      <w:highlight w:val="none"/>
                    </w:rPr>
                  </w:pPr>
                </w:p>
              </w:tc>
            </w:tr>
            <w:tr w14:paraId="418A22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65AE5105">
                  <w:pPr>
                    <w:widowControl/>
                    <w:jc w:val="center"/>
                    <w:rPr>
                      <w:kern w:val="0"/>
                      <w:sz w:val="21"/>
                      <w:szCs w:val="21"/>
                      <w:highlight w:val="none"/>
                    </w:rPr>
                  </w:pPr>
                  <w:r>
                    <w:rPr>
                      <w:kern w:val="0"/>
                      <w:sz w:val="21"/>
                      <w:szCs w:val="21"/>
                      <w:highlight w:val="none"/>
                    </w:rPr>
                    <w:t>33</w:t>
                  </w:r>
                </w:p>
              </w:tc>
              <w:tc>
                <w:tcPr>
                  <w:tcW w:w="1003" w:type="dxa"/>
                  <w:tcBorders>
                    <w:tl2br w:val="nil"/>
                    <w:tr2bl w:val="nil"/>
                  </w:tcBorders>
                  <w:noWrap/>
                  <w:vAlign w:val="center"/>
                </w:tcPr>
                <w:p w14:paraId="0972A76D">
                  <w:pPr>
                    <w:widowControl/>
                    <w:jc w:val="center"/>
                    <w:rPr>
                      <w:rFonts w:hint="eastAsia" w:eastAsia="宋体"/>
                      <w:kern w:val="0"/>
                      <w:sz w:val="21"/>
                      <w:szCs w:val="21"/>
                      <w:highlight w:val="none"/>
                      <w:lang w:eastAsia="zh-CN"/>
                    </w:rPr>
                  </w:pPr>
                  <w:r>
                    <w:rPr>
                      <w:kern w:val="0"/>
                      <w:sz w:val="21"/>
                      <w:szCs w:val="21"/>
                      <w:highlight w:val="none"/>
                    </w:rPr>
                    <w:t>甲基汞</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03540B76">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176DCAA4">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120C3D1C">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6FA71F2B">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0EC48043">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3E78029A">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263E55CB">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944" w:type="dxa"/>
                  <w:tcBorders>
                    <w:right w:val="single" w:color="auto" w:sz="4" w:space="0"/>
                    <w:tl2br w:val="nil"/>
                    <w:tr2bl w:val="nil"/>
                  </w:tcBorders>
                  <w:noWrap/>
                  <w:vAlign w:val="center"/>
                </w:tcPr>
                <w:p w14:paraId="53C1E61F">
                  <w:pPr>
                    <w:widowControl/>
                    <w:jc w:val="center"/>
                    <w:rPr>
                      <w:kern w:val="0"/>
                      <w:sz w:val="21"/>
                      <w:szCs w:val="21"/>
                      <w:highlight w:val="none"/>
                    </w:rPr>
                  </w:pPr>
                  <w:r>
                    <w:rPr>
                      <w:kern w:val="0"/>
                      <w:sz w:val="21"/>
                      <w:szCs w:val="21"/>
                      <w:highlight w:val="none"/>
                    </w:rPr>
                    <w:t>/</w:t>
                  </w:r>
                </w:p>
              </w:tc>
            </w:tr>
            <w:tr w14:paraId="279D06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23D2E8C9">
                  <w:pPr>
                    <w:widowControl/>
                    <w:jc w:val="center"/>
                    <w:rPr>
                      <w:kern w:val="0"/>
                      <w:sz w:val="21"/>
                      <w:szCs w:val="21"/>
                      <w:highlight w:val="none"/>
                    </w:rPr>
                  </w:pPr>
                  <w:r>
                    <w:rPr>
                      <w:kern w:val="0"/>
                      <w:sz w:val="21"/>
                      <w:szCs w:val="21"/>
                      <w:highlight w:val="none"/>
                    </w:rPr>
                    <w:t>34</w:t>
                  </w:r>
                </w:p>
              </w:tc>
              <w:tc>
                <w:tcPr>
                  <w:tcW w:w="1003" w:type="dxa"/>
                  <w:tcBorders>
                    <w:tl2br w:val="nil"/>
                    <w:tr2bl w:val="nil"/>
                  </w:tcBorders>
                  <w:noWrap/>
                  <w:vAlign w:val="center"/>
                </w:tcPr>
                <w:p w14:paraId="00A3ECFA">
                  <w:pPr>
                    <w:widowControl/>
                    <w:jc w:val="center"/>
                    <w:rPr>
                      <w:rFonts w:hint="eastAsia" w:eastAsia="宋体"/>
                      <w:kern w:val="0"/>
                      <w:sz w:val="21"/>
                      <w:szCs w:val="21"/>
                      <w:highlight w:val="none"/>
                      <w:lang w:eastAsia="zh-CN"/>
                    </w:rPr>
                  </w:pPr>
                  <w:r>
                    <w:rPr>
                      <w:kern w:val="0"/>
                      <w:sz w:val="21"/>
                      <w:szCs w:val="21"/>
                      <w:highlight w:val="none"/>
                    </w:rPr>
                    <w:t>乙基汞</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463EFAA5">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7F129FB6">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4285A3A9">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660D553E">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250FE468">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2C3E63C9">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871" w:type="dxa"/>
                  <w:tcBorders>
                    <w:tl2br w:val="nil"/>
                    <w:tr2bl w:val="nil"/>
                  </w:tcBorders>
                  <w:noWrap/>
                  <w:vAlign w:val="center"/>
                </w:tcPr>
                <w:p w14:paraId="487BBD4B">
                  <w:pPr>
                    <w:widowControl/>
                    <w:jc w:val="center"/>
                    <w:rPr>
                      <w:kern w:val="0"/>
                      <w:sz w:val="21"/>
                      <w:szCs w:val="21"/>
                      <w:highlight w:val="none"/>
                    </w:rPr>
                  </w:pPr>
                  <w:r>
                    <w:rPr>
                      <w:kern w:val="0"/>
                      <w:sz w:val="21"/>
                      <w:szCs w:val="21"/>
                      <w:highlight w:val="none"/>
                    </w:rPr>
                    <w:t>2×10</w:t>
                  </w:r>
                  <w:r>
                    <w:rPr>
                      <w:kern w:val="0"/>
                      <w:sz w:val="21"/>
                      <w:szCs w:val="21"/>
                      <w:highlight w:val="none"/>
                      <w:vertAlign w:val="superscript"/>
                    </w:rPr>
                    <w:t>-8</w:t>
                  </w:r>
                  <w:r>
                    <w:rPr>
                      <w:kern w:val="0"/>
                      <w:sz w:val="21"/>
                      <w:szCs w:val="21"/>
                      <w:highlight w:val="none"/>
                    </w:rPr>
                    <w:t>L</w:t>
                  </w:r>
                </w:p>
              </w:tc>
              <w:tc>
                <w:tcPr>
                  <w:tcW w:w="944" w:type="dxa"/>
                  <w:tcBorders>
                    <w:right w:val="single" w:color="auto" w:sz="4" w:space="0"/>
                    <w:tl2br w:val="nil"/>
                    <w:tr2bl w:val="nil"/>
                  </w:tcBorders>
                  <w:noWrap/>
                  <w:vAlign w:val="center"/>
                </w:tcPr>
                <w:p w14:paraId="398042D4">
                  <w:pPr>
                    <w:widowControl/>
                    <w:jc w:val="center"/>
                    <w:rPr>
                      <w:kern w:val="0"/>
                      <w:sz w:val="21"/>
                      <w:szCs w:val="21"/>
                      <w:highlight w:val="none"/>
                    </w:rPr>
                  </w:pPr>
                  <w:r>
                    <w:rPr>
                      <w:kern w:val="0"/>
                      <w:sz w:val="21"/>
                      <w:szCs w:val="21"/>
                      <w:highlight w:val="none"/>
                    </w:rPr>
                    <w:t>/</w:t>
                  </w:r>
                </w:p>
              </w:tc>
            </w:tr>
            <w:tr w14:paraId="759F47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51BBAA3F">
                  <w:pPr>
                    <w:widowControl/>
                    <w:jc w:val="center"/>
                    <w:rPr>
                      <w:kern w:val="0"/>
                      <w:sz w:val="21"/>
                      <w:szCs w:val="21"/>
                      <w:highlight w:val="none"/>
                    </w:rPr>
                  </w:pPr>
                  <w:r>
                    <w:rPr>
                      <w:kern w:val="0"/>
                      <w:sz w:val="21"/>
                      <w:szCs w:val="21"/>
                      <w:highlight w:val="none"/>
                    </w:rPr>
                    <w:t>35</w:t>
                  </w:r>
                </w:p>
              </w:tc>
              <w:tc>
                <w:tcPr>
                  <w:tcW w:w="1003" w:type="dxa"/>
                  <w:tcBorders>
                    <w:tl2br w:val="nil"/>
                    <w:tr2bl w:val="nil"/>
                  </w:tcBorders>
                  <w:noWrap/>
                  <w:vAlign w:val="center"/>
                </w:tcPr>
                <w:p w14:paraId="0AD7E664">
                  <w:pPr>
                    <w:widowControl/>
                    <w:jc w:val="center"/>
                    <w:rPr>
                      <w:rFonts w:hint="eastAsia" w:eastAsia="宋体"/>
                      <w:kern w:val="0"/>
                      <w:sz w:val="21"/>
                      <w:szCs w:val="21"/>
                      <w:highlight w:val="none"/>
                      <w:lang w:eastAsia="zh-CN"/>
                    </w:rPr>
                  </w:pPr>
                  <w:r>
                    <w:rPr>
                      <w:kern w:val="0"/>
                      <w:sz w:val="21"/>
                      <w:szCs w:val="21"/>
                      <w:highlight w:val="none"/>
                    </w:rPr>
                    <w:t>氟化物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075BD768">
                  <w:pPr>
                    <w:widowControl/>
                    <w:jc w:val="center"/>
                    <w:rPr>
                      <w:kern w:val="0"/>
                      <w:sz w:val="21"/>
                      <w:szCs w:val="21"/>
                      <w:highlight w:val="none"/>
                    </w:rPr>
                  </w:pPr>
                  <w:r>
                    <w:rPr>
                      <w:kern w:val="0"/>
                      <w:sz w:val="21"/>
                      <w:szCs w:val="21"/>
                      <w:highlight w:val="none"/>
                    </w:rPr>
                    <w:t>3.94</w:t>
                  </w:r>
                </w:p>
              </w:tc>
              <w:tc>
                <w:tcPr>
                  <w:tcW w:w="871" w:type="dxa"/>
                  <w:tcBorders>
                    <w:tl2br w:val="nil"/>
                    <w:tr2bl w:val="nil"/>
                  </w:tcBorders>
                  <w:noWrap/>
                  <w:vAlign w:val="center"/>
                </w:tcPr>
                <w:p w14:paraId="3E3133A7">
                  <w:pPr>
                    <w:widowControl/>
                    <w:jc w:val="center"/>
                    <w:rPr>
                      <w:kern w:val="0"/>
                      <w:sz w:val="21"/>
                      <w:szCs w:val="21"/>
                      <w:highlight w:val="none"/>
                    </w:rPr>
                  </w:pPr>
                  <w:r>
                    <w:rPr>
                      <w:kern w:val="0"/>
                      <w:sz w:val="21"/>
                      <w:szCs w:val="21"/>
                      <w:highlight w:val="none"/>
                    </w:rPr>
                    <w:t>0.622</w:t>
                  </w:r>
                </w:p>
              </w:tc>
              <w:tc>
                <w:tcPr>
                  <w:tcW w:w="871" w:type="dxa"/>
                  <w:tcBorders>
                    <w:tl2br w:val="nil"/>
                    <w:tr2bl w:val="nil"/>
                  </w:tcBorders>
                  <w:noWrap/>
                  <w:vAlign w:val="center"/>
                </w:tcPr>
                <w:p w14:paraId="0BED786E">
                  <w:pPr>
                    <w:widowControl/>
                    <w:jc w:val="center"/>
                    <w:rPr>
                      <w:kern w:val="0"/>
                      <w:sz w:val="21"/>
                      <w:szCs w:val="21"/>
                      <w:highlight w:val="none"/>
                    </w:rPr>
                  </w:pPr>
                  <w:r>
                    <w:rPr>
                      <w:kern w:val="0"/>
                      <w:sz w:val="21"/>
                      <w:szCs w:val="21"/>
                      <w:highlight w:val="none"/>
                    </w:rPr>
                    <w:t>1.45</w:t>
                  </w:r>
                </w:p>
              </w:tc>
              <w:tc>
                <w:tcPr>
                  <w:tcW w:w="871" w:type="dxa"/>
                  <w:tcBorders>
                    <w:tl2br w:val="nil"/>
                    <w:tr2bl w:val="nil"/>
                  </w:tcBorders>
                  <w:noWrap/>
                  <w:vAlign w:val="center"/>
                </w:tcPr>
                <w:p w14:paraId="5668C322">
                  <w:pPr>
                    <w:widowControl/>
                    <w:jc w:val="center"/>
                    <w:rPr>
                      <w:kern w:val="0"/>
                      <w:sz w:val="21"/>
                      <w:szCs w:val="21"/>
                      <w:highlight w:val="none"/>
                    </w:rPr>
                  </w:pPr>
                  <w:r>
                    <w:rPr>
                      <w:kern w:val="0"/>
                      <w:sz w:val="21"/>
                      <w:szCs w:val="21"/>
                      <w:highlight w:val="none"/>
                    </w:rPr>
                    <w:t>1.76</w:t>
                  </w:r>
                </w:p>
              </w:tc>
              <w:tc>
                <w:tcPr>
                  <w:tcW w:w="871" w:type="dxa"/>
                  <w:tcBorders>
                    <w:tl2br w:val="nil"/>
                    <w:tr2bl w:val="nil"/>
                  </w:tcBorders>
                  <w:noWrap/>
                  <w:vAlign w:val="center"/>
                </w:tcPr>
                <w:p w14:paraId="53DCF40E">
                  <w:pPr>
                    <w:widowControl/>
                    <w:jc w:val="center"/>
                    <w:rPr>
                      <w:kern w:val="0"/>
                      <w:sz w:val="21"/>
                      <w:szCs w:val="21"/>
                      <w:highlight w:val="none"/>
                    </w:rPr>
                  </w:pPr>
                  <w:r>
                    <w:rPr>
                      <w:kern w:val="0"/>
                      <w:sz w:val="21"/>
                      <w:szCs w:val="21"/>
                      <w:highlight w:val="none"/>
                    </w:rPr>
                    <w:t>2.23</w:t>
                  </w:r>
                </w:p>
              </w:tc>
              <w:tc>
                <w:tcPr>
                  <w:tcW w:w="871" w:type="dxa"/>
                  <w:tcBorders>
                    <w:tl2br w:val="nil"/>
                    <w:tr2bl w:val="nil"/>
                  </w:tcBorders>
                  <w:noWrap/>
                  <w:vAlign w:val="center"/>
                </w:tcPr>
                <w:p w14:paraId="379E2E56">
                  <w:pPr>
                    <w:widowControl/>
                    <w:jc w:val="center"/>
                    <w:rPr>
                      <w:kern w:val="0"/>
                      <w:sz w:val="21"/>
                      <w:szCs w:val="21"/>
                      <w:highlight w:val="none"/>
                    </w:rPr>
                  </w:pPr>
                  <w:r>
                    <w:rPr>
                      <w:kern w:val="0"/>
                      <w:sz w:val="21"/>
                      <w:szCs w:val="21"/>
                      <w:highlight w:val="none"/>
                    </w:rPr>
                    <w:t>2.1</w:t>
                  </w:r>
                </w:p>
              </w:tc>
              <w:tc>
                <w:tcPr>
                  <w:tcW w:w="871" w:type="dxa"/>
                  <w:tcBorders>
                    <w:tl2br w:val="nil"/>
                    <w:tr2bl w:val="nil"/>
                  </w:tcBorders>
                  <w:noWrap/>
                  <w:vAlign w:val="center"/>
                </w:tcPr>
                <w:p w14:paraId="17AAE3B5">
                  <w:pPr>
                    <w:widowControl/>
                    <w:jc w:val="center"/>
                    <w:rPr>
                      <w:kern w:val="0"/>
                      <w:sz w:val="21"/>
                      <w:szCs w:val="21"/>
                      <w:highlight w:val="none"/>
                    </w:rPr>
                  </w:pPr>
                  <w:r>
                    <w:rPr>
                      <w:kern w:val="0"/>
                      <w:sz w:val="21"/>
                      <w:szCs w:val="21"/>
                      <w:highlight w:val="none"/>
                    </w:rPr>
                    <w:t>1.79</w:t>
                  </w:r>
                </w:p>
              </w:tc>
              <w:tc>
                <w:tcPr>
                  <w:tcW w:w="944" w:type="dxa"/>
                  <w:tcBorders>
                    <w:right w:val="single" w:color="auto" w:sz="4" w:space="0"/>
                    <w:tl2br w:val="nil"/>
                    <w:tr2bl w:val="nil"/>
                  </w:tcBorders>
                  <w:noWrap/>
                  <w:vAlign w:val="center"/>
                </w:tcPr>
                <w:p w14:paraId="75B8E5F2">
                  <w:pPr>
                    <w:widowControl/>
                    <w:jc w:val="center"/>
                    <w:rPr>
                      <w:kern w:val="0"/>
                      <w:sz w:val="21"/>
                      <w:szCs w:val="21"/>
                      <w:highlight w:val="none"/>
                    </w:rPr>
                  </w:pPr>
                  <w:r>
                    <w:rPr>
                      <w:kern w:val="0"/>
                      <w:sz w:val="21"/>
                      <w:szCs w:val="21"/>
                      <w:highlight w:val="none"/>
                    </w:rPr>
                    <w:t>1</w:t>
                  </w:r>
                </w:p>
              </w:tc>
            </w:tr>
            <w:tr w14:paraId="1CAAB1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1ADE66BB">
                  <w:pPr>
                    <w:widowControl/>
                    <w:jc w:val="center"/>
                    <w:rPr>
                      <w:kern w:val="0"/>
                      <w:sz w:val="21"/>
                      <w:szCs w:val="21"/>
                      <w:highlight w:val="none"/>
                    </w:rPr>
                  </w:pPr>
                  <w:r>
                    <w:rPr>
                      <w:kern w:val="0"/>
                      <w:sz w:val="21"/>
                      <w:szCs w:val="21"/>
                      <w:highlight w:val="none"/>
                    </w:rPr>
                    <w:t>36</w:t>
                  </w:r>
                </w:p>
              </w:tc>
              <w:tc>
                <w:tcPr>
                  <w:tcW w:w="1003" w:type="dxa"/>
                  <w:tcBorders>
                    <w:tl2br w:val="nil"/>
                    <w:tr2bl w:val="nil"/>
                  </w:tcBorders>
                  <w:noWrap/>
                  <w:vAlign w:val="center"/>
                </w:tcPr>
                <w:p w14:paraId="5E5DB055">
                  <w:pPr>
                    <w:widowControl/>
                    <w:jc w:val="center"/>
                    <w:rPr>
                      <w:rFonts w:hint="eastAsia" w:eastAsia="宋体"/>
                      <w:kern w:val="0"/>
                      <w:sz w:val="21"/>
                      <w:szCs w:val="21"/>
                      <w:highlight w:val="none"/>
                      <w:lang w:eastAsia="zh-CN"/>
                    </w:rPr>
                  </w:pPr>
                  <w:r>
                    <w:rPr>
                      <w:kern w:val="0"/>
                      <w:sz w:val="21"/>
                      <w:szCs w:val="21"/>
                      <w:highlight w:val="none"/>
                    </w:rPr>
                    <w:t>氯化物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4017CFEB">
                  <w:pPr>
                    <w:widowControl/>
                    <w:jc w:val="center"/>
                    <w:rPr>
                      <w:kern w:val="0"/>
                      <w:sz w:val="21"/>
                      <w:szCs w:val="21"/>
                      <w:highlight w:val="none"/>
                    </w:rPr>
                  </w:pPr>
                  <w:r>
                    <w:rPr>
                      <w:kern w:val="0"/>
                      <w:sz w:val="21"/>
                      <w:szCs w:val="21"/>
                      <w:highlight w:val="none"/>
                    </w:rPr>
                    <w:t>316</w:t>
                  </w:r>
                </w:p>
              </w:tc>
              <w:tc>
                <w:tcPr>
                  <w:tcW w:w="871" w:type="dxa"/>
                  <w:tcBorders>
                    <w:tl2br w:val="nil"/>
                    <w:tr2bl w:val="nil"/>
                  </w:tcBorders>
                  <w:noWrap/>
                  <w:vAlign w:val="center"/>
                </w:tcPr>
                <w:p w14:paraId="10EB5B53">
                  <w:pPr>
                    <w:widowControl/>
                    <w:jc w:val="center"/>
                    <w:rPr>
                      <w:kern w:val="0"/>
                      <w:sz w:val="21"/>
                      <w:szCs w:val="21"/>
                      <w:highlight w:val="none"/>
                    </w:rPr>
                  </w:pPr>
                  <w:r>
                    <w:rPr>
                      <w:kern w:val="0"/>
                      <w:sz w:val="21"/>
                      <w:szCs w:val="21"/>
                      <w:highlight w:val="none"/>
                    </w:rPr>
                    <w:t>476</w:t>
                  </w:r>
                </w:p>
              </w:tc>
              <w:tc>
                <w:tcPr>
                  <w:tcW w:w="871" w:type="dxa"/>
                  <w:tcBorders>
                    <w:tl2br w:val="nil"/>
                    <w:tr2bl w:val="nil"/>
                  </w:tcBorders>
                  <w:noWrap/>
                  <w:vAlign w:val="center"/>
                </w:tcPr>
                <w:p w14:paraId="7D4F7A6E">
                  <w:pPr>
                    <w:widowControl/>
                    <w:jc w:val="center"/>
                    <w:rPr>
                      <w:kern w:val="0"/>
                      <w:sz w:val="21"/>
                      <w:szCs w:val="21"/>
                      <w:highlight w:val="none"/>
                    </w:rPr>
                  </w:pPr>
                  <w:r>
                    <w:rPr>
                      <w:kern w:val="0"/>
                      <w:sz w:val="21"/>
                      <w:szCs w:val="21"/>
                      <w:highlight w:val="none"/>
                    </w:rPr>
                    <w:t>181</w:t>
                  </w:r>
                </w:p>
              </w:tc>
              <w:tc>
                <w:tcPr>
                  <w:tcW w:w="871" w:type="dxa"/>
                  <w:tcBorders>
                    <w:tl2br w:val="nil"/>
                    <w:tr2bl w:val="nil"/>
                  </w:tcBorders>
                  <w:noWrap/>
                  <w:vAlign w:val="center"/>
                </w:tcPr>
                <w:p w14:paraId="1D4DF098">
                  <w:pPr>
                    <w:widowControl/>
                    <w:jc w:val="center"/>
                    <w:rPr>
                      <w:kern w:val="0"/>
                      <w:sz w:val="21"/>
                      <w:szCs w:val="21"/>
                      <w:highlight w:val="none"/>
                    </w:rPr>
                  </w:pPr>
                  <w:r>
                    <w:rPr>
                      <w:kern w:val="0"/>
                      <w:sz w:val="21"/>
                      <w:szCs w:val="21"/>
                      <w:highlight w:val="none"/>
                    </w:rPr>
                    <w:t>460</w:t>
                  </w:r>
                </w:p>
              </w:tc>
              <w:tc>
                <w:tcPr>
                  <w:tcW w:w="871" w:type="dxa"/>
                  <w:tcBorders>
                    <w:tl2br w:val="nil"/>
                    <w:tr2bl w:val="nil"/>
                  </w:tcBorders>
                  <w:noWrap/>
                  <w:vAlign w:val="center"/>
                </w:tcPr>
                <w:p w14:paraId="76942718">
                  <w:pPr>
                    <w:widowControl/>
                    <w:jc w:val="center"/>
                    <w:rPr>
                      <w:kern w:val="0"/>
                      <w:sz w:val="21"/>
                      <w:szCs w:val="21"/>
                      <w:highlight w:val="none"/>
                    </w:rPr>
                  </w:pPr>
                  <w:r>
                    <w:rPr>
                      <w:kern w:val="0"/>
                      <w:sz w:val="21"/>
                      <w:szCs w:val="21"/>
                      <w:highlight w:val="none"/>
                    </w:rPr>
                    <w:t>475</w:t>
                  </w:r>
                </w:p>
              </w:tc>
              <w:tc>
                <w:tcPr>
                  <w:tcW w:w="871" w:type="dxa"/>
                  <w:tcBorders>
                    <w:tl2br w:val="nil"/>
                    <w:tr2bl w:val="nil"/>
                  </w:tcBorders>
                  <w:noWrap/>
                  <w:vAlign w:val="center"/>
                </w:tcPr>
                <w:p w14:paraId="7E872FB1">
                  <w:pPr>
                    <w:widowControl/>
                    <w:jc w:val="center"/>
                    <w:rPr>
                      <w:kern w:val="0"/>
                      <w:sz w:val="21"/>
                      <w:szCs w:val="21"/>
                      <w:highlight w:val="none"/>
                    </w:rPr>
                  </w:pPr>
                  <w:r>
                    <w:rPr>
                      <w:kern w:val="0"/>
                      <w:sz w:val="21"/>
                      <w:szCs w:val="21"/>
                      <w:highlight w:val="none"/>
                    </w:rPr>
                    <w:t>493</w:t>
                  </w:r>
                </w:p>
              </w:tc>
              <w:tc>
                <w:tcPr>
                  <w:tcW w:w="871" w:type="dxa"/>
                  <w:tcBorders>
                    <w:tl2br w:val="nil"/>
                    <w:tr2bl w:val="nil"/>
                  </w:tcBorders>
                  <w:noWrap/>
                  <w:vAlign w:val="center"/>
                </w:tcPr>
                <w:p w14:paraId="2A6A0160">
                  <w:pPr>
                    <w:widowControl/>
                    <w:jc w:val="center"/>
                    <w:rPr>
                      <w:kern w:val="0"/>
                      <w:sz w:val="21"/>
                      <w:szCs w:val="21"/>
                      <w:highlight w:val="none"/>
                    </w:rPr>
                  </w:pPr>
                  <w:r>
                    <w:rPr>
                      <w:kern w:val="0"/>
                      <w:sz w:val="21"/>
                      <w:szCs w:val="21"/>
                      <w:highlight w:val="none"/>
                    </w:rPr>
                    <w:t>181</w:t>
                  </w:r>
                </w:p>
              </w:tc>
              <w:tc>
                <w:tcPr>
                  <w:tcW w:w="944" w:type="dxa"/>
                  <w:tcBorders>
                    <w:right w:val="single" w:color="auto" w:sz="4" w:space="0"/>
                    <w:tl2br w:val="nil"/>
                    <w:tr2bl w:val="nil"/>
                  </w:tcBorders>
                  <w:noWrap/>
                  <w:vAlign w:val="center"/>
                </w:tcPr>
                <w:p w14:paraId="6821CB9A">
                  <w:pPr>
                    <w:widowControl/>
                    <w:jc w:val="center"/>
                    <w:rPr>
                      <w:kern w:val="0"/>
                      <w:sz w:val="21"/>
                      <w:szCs w:val="21"/>
                      <w:highlight w:val="none"/>
                    </w:rPr>
                  </w:pPr>
                  <w:r>
                    <w:rPr>
                      <w:kern w:val="0"/>
                      <w:sz w:val="21"/>
                      <w:szCs w:val="21"/>
                      <w:highlight w:val="none"/>
                    </w:rPr>
                    <w:t>250</w:t>
                  </w:r>
                </w:p>
              </w:tc>
            </w:tr>
            <w:tr w14:paraId="28A72E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125E3B97">
                  <w:pPr>
                    <w:widowControl/>
                    <w:jc w:val="center"/>
                    <w:rPr>
                      <w:kern w:val="0"/>
                      <w:sz w:val="21"/>
                      <w:szCs w:val="21"/>
                      <w:highlight w:val="none"/>
                    </w:rPr>
                  </w:pPr>
                  <w:r>
                    <w:rPr>
                      <w:kern w:val="0"/>
                      <w:sz w:val="21"/>
                      <w:szCs w:val="21"/>
                      <w:highlight w:val="none"/>
                    </w:rPr>
                    <w:t>37</w:t>
                  </w:r>
                </w:p>
              </w:tc>
              <w:tc>
                <w:tcPr>
                  <w:tcW w:w="1003" w:type="dxa"/>
                  <w:tcBorders>
                    <w:tl2br w:val="nil"/>
                    <w:tr2bl w:val="nil"/>
                  </w:tcBorders>
                  <w:noWrap/>
                  <w:vAlign w:val="center"/>
                </w:tcPr>
                <w:p w14:paraId="03867AFF">
                  <w:pPr>
                    <w:widowControl/>
                    <w:jc w:val="center"/>
                    <w:rPr>
                      <w:rFonts w:hint="eastAsia" w:eastAsia="宋体"/>
                      <w:kern w:val="0"/>
                      <w:sz w:val="21"/>
                      <w:szCs w:val="21"/>
                      <w:highlight w:val="none"/>
                      <w:lang w:eastAsia="zh-CN"/>
                    </w:rPr>
                  </w:pPr>
                  <w:r>
                    <w:rPr>
                      <w:kern w:val="0"/>
                      <w:sz w:val="21"/>
                      <w:szCs w:val="21"/>
                      <w:highlight w:val="none"/>
                    </w:rPr>
                    <w:t>高锰酸盐指数（耗氧量）</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3394142B">
                  <w:pPr>
                    <w:widowControl/>
                    <w:jc w:val="center"/>
                    <w:rPr>
                      <w:kern w:val="0"/>
                      <w:sz w:val="21"/>
                      <w:szCs w:val="21"/>
                      <w:highlight w:val="none"/>
                    </w:rPr>
                  </w:pPr>
                  <w:r>
                    <w:rPr>
                      <w:kern w:val="0"/>
                      <w:sz w:val="21"/>
                      <w:szCs w:val="21"/>
                      <w:highlight w:val="none"/>
                    </w:rPr>
                    <w:t>3.69</w:t>
                  </w:r>
                </w:p>
              </w:tc>
              <w:tc>
                <w:tcPr>
                  <w:tcW w:w="871" w:type="dxa"/>
                  <w:tcBorders>
                    <w:tl2br w:val="nil"/>
                    <w:tr2bl w:val="nil"/>
                  </w:tcBorders>
                  <w:noWrap/>
                  <w:vAlign w:val="center"/>
                </w:tcPr>
                <w:p w14:paraId="2883C3CA">
                  <w:pPr>
                    <w:widowControl/>
                    <w:jc w:val="center"/>
                    <w:rPr>
                      <w:kern w:val="0"/>
                      <w:sz w:val="21"/>
                      <w:szCs w:val="21"/>
                      <w:highlight w:val="none"/>
                    </w:rPr>
                  </w:pPr>
                  <w:r>
                    <w:rPr>
                      <w:kern w:val="0"/>
                      <w:sz w:val="21"/>
                      <w:szCs w:val="21"/>
                      <w:highlight w:val="none"/>
                    </w:rPr>
                    <w:t>2.57</w:t>
                  </w:r>
                </w:p>
              </w:tc>
              <w:tc>
                <w:tcPr>
                  <w:tcW w:w="871" w:type="dxa"/>
                  <w:tcBorders>
                    <w:tl2br w:val="nil"/>
                    <w:tr2bl w:val="nil"/>
                  </w:tcBorders>
                  <w:noWrap/>
                  <w:vAlign w:val="center"/>
                </w:tcPr>
                <w:p w14:paraId="4D0CB86A">
                  <w:pPr>
                    <w:widowControl/>
                    <w:jc w:val="center"/>
                    <w:rPr>
                      <w:kern w:val="0"/>
                      <w:sz w:val="21"/>
                      <w:szCs w:val="21"/>
                      <w:highlight w:val="none"/>
                    </w:rPr>
                  </w:pPr>
                  <w:r>
                    <w:rPr>
                      <w:kern w:val="0"/>
                      <w:sz w:val="21"/>
                      <w:szCs w:val="21"/>
                      <w:highlight w:val="none"/>
                    </w:rPr>
                    <w:t>1.81</w:t>
                  </w:r>
                </w:p>
              </w:tc>
              <w:tc>
                <w:tcPr>
                  <w:tcW w:w="871" w:type="dxa"/>
                  <w:tcBorders>
                    <w:tl2br w:val="nil"/>
                    <w:tr2bl w:val="nil"/>
                  </w:tcBorders>
                  <w:noWrap/>
                  <w:vAlign w:val="center"/>
                </w:tcPr>
                <w:p w14:paraId="112DFE32">
                  <w:pPr>
                    <w:widowControl/>
                    <w:jc w:val="center"/>
                    <w:rPr>
                      <w:kern w:val="0"/>
                      <w:sz w:val="21"/>
                      <w:szCs w:val="21"/>
                      <w:highlight w:val="none"/>
                    </w:rPr>
                  </w:pPr>
                  <w:r>
                    <w:rPr>
                      <w:kern w:val="0"/>
                      <w:sz w:val="21"/>
                      <w:szCs w:val="21"/>
                      <w:highlight w:val="none"/>
                    </w:rPr>
                    <w:t>2.66</w:t>
                  </w:r>
                </w:p>
              </w:tc>
              <w:tc>
                <w:tcPr>
                  <w:tcW w:w="871" w:type="dxa"/>
                  <w:tcBorders>
                    <w:tl2br w:val="nil"/>
                    <w:tr2bl w:val="nil"/>
                  </w:tcBorders>
                  <w:noWrap/>
                  <w:vAlign w:val="center"/>
                </w:tcPr>
                <w:p w14:paraId="7801D417">
                  <w:pPr>
                    <w:widowControl/>
                    <w:jc w:val="center"/>
                    <w:rPr>
                      <w:kern w:val="0"/>
                      <w:sz w:val="21"/>
                      <w:szCs w:val="21"/>
                      <w:highlight w:val="none"/>
                    </w:rPr>
                  </w:pPr>
                  <w:r>
                    <w:rPr>
                      <w:kern w:val="0"/>
                      <w:sz w:val="21"/>
                      <w:szCs w:val="21"/>
                      <w:highlight w:val="none"/>
                    </w:rPr>
                    <w:t>2.45</w:t>
                  </w:r>
                </w:p>
              </w:tc>
              <w:tc>
                <w:tcPr>
                  <w:tcW w:w="871" w:type="dxa"/>
                  <w:tcBorders>
                    <w:tl2br w:val="nil"/>
                    <w:tr2bl w:val="nil"/>
                  </w:tcBorders>
                  <w:noWrap/>
                  <w:vAlign w:val="center"/>
                </w:tcPr>
                <w:p w14:paraId="3A77EF1B">
                  <w:pPr>
                    <w:widowControl/>
                    <w:jc w:val="center"/>
                    <w:rPr>
                      <w:kern w:val="0"/>
                      <w:sz w:val="21"/>
                      <w:szCs w:val="21"/>
                      <w:highlight w:val="none"/>
                    </w:rPr>
                  </w:pPr>
                  <w:r>
                    <w:rPr>
                      <w:kern w:val="0"/>
                      <w:sz w:val="21"/>
                      <w:szCs w:val="21"/>
                      <w:highlight w:val="none"/>
                    </w:rPr>
                    <w:t>3.5</w:t>
                  </w:r>
                </w:p>
              </w:tc>
              <w:tc>
                <w:tcPr>
                  <w:tcW w:w="871" w:type="dxa"/>
                  <w:tcBorders>
                    <w:tl2br w:val="nil"/>
                    <w:tr2bl w:val="nil"/>
                  </w:tcBorders>
                  <w:noWrap/>
                  <w:vAlign w:val="center"/>
                </w:tcPr>
                <w:p w14:paraId="4699DD0A">
                  <w:pPr>
                    <w:widowControl/>
                    <w:jc w:val="center"/>
                    <w:rPr>
                      <w:kern w:val="0"/>
                      <w:sz w:val="21"/>
                      <w:szCs w:val="21"/>
                      <w:highlight w:val="none"/>
                    </w:rPr>
                  </w:pPr>
                  <w:r>
                    <w:rPr>
                      <w:kern w:val="0"/>
                      <w:sz w:val="21"/>
                      <w:szCs w:val="21"/>
                      <w:highlight w:val="none"/>
                    </w:rPr>
                    <w:t>3.4</w:t>
                  </w:r>
                </w:p>
              </w:tc>
              <w:tc>
                <w:tcPr>
                  <w:tcW w:w="944" w:type="dxa"/>
                  <w:tcBorders>
                    <w:right w:val="single" w:color="auto" w:sz="4" w:space="0"/>
                    <w:tl2br w:val="nil"/>
                    <w:tr2bl w:val="nil"/>
                  </w:tcBorders>
                  <w:noWrap/>
                  <w:vAlign w:val="center"/>
                </w:tcPr>
                <w:p w14:paraId="65B44F1E">
                  <w:pPr>
                    <w:widowControl/>
                    <w:jc w:val="center"/>
                    <w:rPr>
                      <w:kern w:val="0"/>
                      <w:sz w:val="21"/>
                      <w:szCs w:val="21"/>
                      <w:highlight w:val="none"/>
                    </w:rPr>
                  </w:pPr>
                  <w:r>
                    <w:rPr>
                      <w:kern w:val="0"/>
                      <w:sz w:val="21"/>
                      <w:szCs w:val="21"/>
                      <w:highlight w:val="none"/>
                    </w:rPr>
                    <w:t>3</w:t>
                  </w:r>
                </w:p>
              </w:tc>
            </w:tr>
            <w:tr w14:paraId="45F1E9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534E34F0">
                  <w:pPr>
                    <w:widowControl/>
                    <w:jc w:val="center"/>
                    <w:rPr>
                      <w:kern w:val="0"/>
                      <w:sz w:val="21"/>
                      <w:szCs w:val="21"/>
                      <w:highlight w:val="none"/>
                    </w:rPr>
                  </w:pPr>
                  <w:r>
                    <w:rPr>
                      <w:kern w:val="0"/>
                      <w:sz w:val="21"/>
                      <w:szCs w:val="21"/>
                      <w:highlight w:val="none"/>
                    </w:rPr>
                    <w:t>38</w:t>
                  </w:r>
                </w:p>
              </w:tc>
              <w:tc>
                <w:tcPr>
                  <w:tcW w:w="1003" w:type="dxa"/>
                  <w:tcBorders>
                    <w:tl2br w:val="nil"/>
                    <w:tr2bl w:val="nil"/>
                  </w:tcBorders>
                  <w:noWrap/>
                  <w:vAlign w:val="center"/>
                </w:tcPr>
                <w:p w14:paraId="3B26502D">
                  <w:pPr>
                    <w:widowControl/>
                    <w:jc w:val="center"/>
                    <w:rPr>
                      <w:rFonts w:hint="eastAsia" w:eastAsia="宋体"/>
                      <w:kern w:val="0"/>
                      <w:sz w:val="21"/>
                      <w:szCs w:val="21"/>
                      <w:highlight w:val="none"/>
                      <w:lang w:eastAsia="zh-CN"/>
                    </w:rPr>
                  </w:pPr>
                  <w:r>
                    <w:rPr>
                      <w:kern w:val="0"/>
                      <w:sz w:val="21"/>
                      <w:szCs w:val="21"/>
                      <w:highlight w:val="none"/>
                    </w:rPr>
                    <w:t>亚硝酸盐氮</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45647502">
                  <w:pPr>
                    <w:widowControl/>
                    <w:jc w:val="center"/>
                    <w:rPr>
                      <w:kern w:val="0"/>
                      <w:sz w:val="21"/>
                      <w:szCs w:val="21"/>
                      <w:highlight w:val="none"/>
                    </w:rPr>
                  </w:pPr>
                  <w:r>
                    <w:rPr>
                      <w:kern w:val="0"/>
                      <w:sz w:val="21"/>
                      <w:szCs w:val="21"/>
                      <w:highlight w:val="none"/>
                    </w:rPr>
                    <w:t>0.005L</w:t>
                  </w:r>
                </w:p>
              </w:tc>
              <w:tc>
                <w:tcPr>
                  <w:tcW w:w="871" w:type="dxa"/>
                  <w:tcBorders>
                    <w:tl2br w:val="nil"/>
                    <w:tr2bl w:val="nil"/>
                  </w:tcBorders>
                  <w:noWrap/>
                  <w:vAlign w:val="center"/>
                </w:tcPr>
                <w:p w14:paraId="6A67608C">
                  <w:pPr>
                    <w:widowControl/>
                    <w:jc w:val="center"/>
                    <w:rPr>
                      <w:kern w:val="0"/>
                      <w:sz w:val="21"/>
                      <w:szCs w:val="21"/>
                      <w:highlight w:val="none"/>
                    </w:rPr>
                  </w:pPr>
                  <w:r>
                    <w:rPr>
                      <w:kern w:val="0"/>
                      <w:sz w:val="21"/>
                      <w:szCs w:val="21"/>
                      <w:highlight w:val="none"/>
                    </w:rPr>
                    <w:t>0.005L</w:t>
                  </w:r>
                </w:p>
              </w:tc>
              <w:tc>
                <w:tcPr>
                  <w:tcW w:w="871" w:type="dxa"/>
                  <w:tcBorders>
                    <w:tl2br w:val="nil"/>
                    <w:tr2bl w:val="nil"/>
                  </w:tcBorders>
                  <w:noWrap/>
                  <w:vAlign w:val="center"/>
                </w:tcPr>
                <w:p w14:paraId="2E2B5CB5">
                  <w:pPr>
                    <w:widowControl/>
                    <w:jc w:val="center"/>
                    <w:rPr>
                      <w:kern w:val="0"/>
                      <w:sz w:val="21"/>
                      <w:szCs w:val="21"/>
                      <w:highlight w:val="none"/>
                    </w:rPr>
                  </w:pPr>
                  <w:r>
                    <w:rPr>
                      <w:kern w:val="0"/>
                      <w:sz w:val="21"/>
                      <w:szCs w:val="21"/>
                      <w:highlight w:val="none"/>
                    </w:rPr>
                    <w:t>0.005L</w:t>
                  </w:r>
                </w:p>
              </w:tc>
              <w:tc>
                <w:tcPr>
                  <w:tcW w:w="871" w:type="dxa"/>
                  <w:tcBorders>
                    <w:tl2br w:val="nil"/>
                    <w:tr2bl w:val="nil"/>
                  </w:tcBorders>
                  <w:noWrap/>
                  <w:vAlign w:val="center"/>
                </w:tcPr>
                <w:p w14:paraId="77C724D8">
                  <w:pPr>
                    <w:widowControl/>
                    <w:jc w:val="center"/>
                    <w:rPr>
                      <w:kern w:val="0"/>
                      <w:sz w:val="21"/>
                      <w:szCs w:val="21"/>
                      <w:highlight w:val="none"/>
                    </w:rPr>
                  </w:pPr>
                  <w:r>
                    <w:rPr>
                      <w:kern w:val="0"/>
                      <w:sz w:val="21"/>
                      <w:szCs w:val="21"/>
                      <w:highlight w:val="none"/>
                    </w:rPr>
                    <w:t>0.005L</w:t>
                  </w:r>
                </w:p>
              </w:tc>
              <w:tc>
                <w:tcPr>
                  <w:tcW w:w="871" w:type="dxa"/>
                  <w:tcBorders>
                    <w:tl2br w:val="nil"/>
                    <w:tr2bl w:val="nil"/>
                  </w:tcBorders>
                  <w:noWrap/>
                  <w:vAlign w:val="center"/>
                </w:tcPr>
                <w:p w14:paraId="2DFB5A22">
                  <w:pPr>
                    <w:widowControl/>
                    <w:jc w:val="center"/>
                    <w:rPr>
                      <w:kern w:val="0"/>
                      <w:sz w:val="21"/>
                      <w:szCs w:val="21"/>
                      <w:highlight w:val="none"/>
                    </w:rPr>
                  </w:pPr>
                  <w:r>
                    <w:rPr>
                      <w:kern w:val="0"/>
                      <w:sz w:val="21"/>
                      <w:szCs w:val="21"/>
                      <w:highlight w:val="none"/>
                    </w:rPr>
                    <w:t>0.005L</w:t>
                  </w:r>
                </w:p>
              </w:tc>
              <w:tc>
                <w:tcPr>
                  <w:tcW w:w="871" w:type="dxa"/>
                  <w:tcBorders>
                    <w:tl2br w:val="nil"/>
                    <w:tr2bl w:val="nil"/>
                  </w:tcBorders>
                  <w:noWrap/>
                  <w:vAlign w:val="center"/>
                </w:tcPr>
                <w:p w14:paraId="0EA051F6">
                  <w:pPr>
                    <w:widowControl/>
                    <w:jc w:val="center"/>
                    <w:rPr>
                      <w:kern w:val="0"/>
                      <w:sz w:val="21"/>
                      <w:szCs w:val="21"/>
                      <w:highlight w:val="none"/>
                    </w:rPr>
                  </w:pPr>
                  <w:r>
                    <w:rPr>
                      <w:kern w:val="0"/>
                      <w:sz w:val="21"/>
                      <w:szCs w:val="21"/>
                      <w:highlight w:val="none"/>
                    </w:rPr>
                    <w:t>0.005L</w:t>
                  </w:r>
                </w:p>
              </w:tc>
              <w:tc>
                <w:tcPr>
                  <w:tcW w:w="871" w:type="dxa"/>
                  <w:tcBorders>
                    <w:tl2br w:val="nil"/>
                    <w:tr2bl w:val="nil"/>
                  </w:tcBorders>
                  <w:noWrap/>
                  <w:vAlign w:val="center"/>
                </w:tcPr>
                <w:p w14:paraId="2BB5ECFF">
                  <w:pPr>
                    <w:widowControl/>
                    <w:jc w:val="center"/>
                    <w:rPr>
                      <w:kern w:val="0"/>
                      <w:sz w:val="21"/>
                      <w:szCs w:val="21"/>
                      <w:highlight w:val="none"/>
                    </w:rPr>
                  </w:pPr>
                  <w:r>
                    <w:rPr>
                      <w:kern w:val="0"/>
                      <w:sz w:val="21"/>
                      <w:szCs w:val="21"/>
                      <w:highlight w:val="none"/>
                    </w:rPr>
                    <w:t>0.005L</w:t>
                  </w:r>
                </w:p>
              </w:tc>
              <w:tc>
                <w:tcPr>
                  <w:tcW w:w="944" w:type="dxa"/>
                  <w:tcBorders>
                    <w:right w:val="single" w:color="auto" w:sz="4" w:space="0"/>
                    <w:tl2br w:val="nil"/>
                    <w:tr2bl w:val="nil"/>
                  </w:tcBorders>
                  <w:noWrap/>
                  <w:vAlign w:val="center"/>
                </w:tcPr>
                <w:p w14:paraId="13457E49">
                  <w:pPr>
                    <w:widowControl/>
                    <w:jc w:val="center"/>
                    <w:rPr>
                      <w:kern w:val="0"/>
                      <w:sz w:val="21"/>
                      <w:szCs w:val="21"/>
                      <w:highlight w:val="none"/>
                    </w:rPr>
                  </w:pPr>
                  <w:r>
                    <w:rPr>
                      <w:kern w:val="0"/>
                      <w:sz w:val="21"/>
                      <w:szCs w:val="21"/>
                      <w:highlight w:val="none"/>
                    </w:rPr>
                    <w:t>1</w:t>
                  </w:r>
                </w:p>
              </w:tc>
            </w:tr>
            <w:tr w14:paraId="3E34D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47F5C675">
                  <w:pPr>
                    <w:widowControl/>
                    <w:jc w:val="center"/>
                    <w:rPr>
                      <w:kern w:val="0"/>
                      <w:sz w:val="21"/>
                      <w:szCs w:val="21"/>
                      <w:highlight w:val="none"/>
                    </w:rPr>
                  </w:pPr>
                  <w:r>
                    <w:rPr>
                      <w:kern w:val="0"/>
                      <w:sz w:val="21"/>
                      <w:szCs w:val="21"/>
                      <w:highlight w:val="none"/>
                    </w:rPr>
                    <w:t>39</w:t>
                  </w:r>
                </w:p>
              </w:tc>
              <w:tc>
                <w:tcPr>
                  <w:tcW w:w="1003" w:type="dxa"/>
                  <w:tcBorders>
                    <w:tl2br w:val="nil"/>
                    <w:tr2bl w:val="nil"/>
                  </w:tcBorders>
                  <w:noWrap/>
                  <w:vAlign w:val="center"/>
                </w:tcPr>
                <w:p w14:paraId="55143B2A">
                  <w:pPr>
                    <w:widowControl/>
                    <w:jc w:val="center"/>
                    <w:rPr>
                      <w:rFonts w:hint="eastAsia" w:eastAsia="宋体"/>
                      <w:kern w:val="0"/>
                      <w:sz w:val="21"/>
                      <w:szCs w:val="21"/>
                      <w:highlight w:val="none"/>
                      <w:lang w:eastAsia="zh-CN"/>
                    </w:rPr>
                  </w:pPr>
                  <w:r>
                    <w:rPr>
                      <w:kern w:val="0"/>
                      <w:sz w:val="21"/>
                      <w:szCs w:val="21"/>
                      <w:highlight w:val="none"/>
                    </w:rPr>
                    <w:t>硝酸盐氮</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7A6DB063">
                  <w:pPr>
                    <w:widowControl/>
                    <w:jc w:val="center"/>
                    <w:rPr>
                      <w:kern w:val="0"/>
                      <w:sz w:val="21"/>
                      <w:szCs w:val="21"/>
                      <w:highlight w:val="none"/>
                    </w:rPr>
                  </w:pPr>
                  <w:r>
                    <w:rPr>
                      <w:kern w:val="0"/>
                      <w:sz w:val="21"/>
                      <w:szCs w:val="21"/>
                      <w:highlight w:val="none"/>
                    </w:rPr>
                    <w:t>6.62</w:t>
                  </w:r>
                </w:p>
              </w:tc>
              <w:tc>
                <w:tcPr>
                  <w:tcW w:w="871" w:type="dxa"/>
                  <w:tcBorders>
                    <w:tl2br w:val="nil"/>
                    <w:tr2bl w:val="nil"/>
                  </w:tcBorders>
                  <w:noWrap/>
                  <w:vAlign w:val="center"/>
                </w:tcPr>
                <w:p w14:paraId="515A4EFE">
                  <w:pPr>
                    <w:widowControl/>
                    <w:jc w:val="center"/>
                    <w:rPr>
                      <w:kern w:val="0"/>
                      <w:sz w:val="21"/>
                      <w:szCs w:val="21"/>
                      <w:highlight w:val="none"/>
                    </w:rPr>
                  </w:pPr>
                  <w:r>
                    <w:rPr>
                      <w:kern w:val="0"/>
                      <w:sz w:val="21"/>
                      <w:szCs w:val="21"/>
                      <w:highlight w:val="none"/>
                    </w:rPr>
                    <w:t>15.4</w:t>
                  </w:r>
                </w:p>
              </w:tc>
              <w:tc>
                <w:tcPr>
                  <w:tcW w:w="871" w:type="dxa"/>
                  <w:tcBorders>
                    <w:tl2br w:val="nil"/>
                    <w:tr2bl w:val="nil"/>
                  </w:tcBorders>
                  <w:noWrap/>
                  <w:vAlign w:val="center"/>
                </w:tcPr>
                <w:p w14:paraId="252F6E83">
                  <w:pPr>
                    <w:widowControl/>
                    <w:jc w:val="center"/>
                    <w:rPr>
                      <w:kern w:val="0"/>
                      <w:sz w:val="21"/>
                      <w:szCs w:val="21"/>
                      <w:highlight w:val="none"/>
                    </w:rPr>
                  </w:pPr>
                  <w:r>
                    <w:rPr>
                      <w:kern w:val="0"/>
                      <w:sz w:val="21"/>
                      <w:szCs w:val="21"/>
                      <w:highlight w:val="none"/>
                    </w:rPr>
                    <w:t>26.6</w:t>
                  </w:r>
                </w:p>
              </w:tc>
              <w:tc>
                <w:tcPr>
                  <w:tcW w:w="871" w:type="dxa"/>
                  <w:tcBorders>
                    <w:tl2br w:val="nil"/>
                    <w:tr2bl w:val="nil"/>
                  </w:tcBorders>
                  <w:noWrap/>
                  <w:vAlign w:val="center"/>
                </w:tcPr>
                <w:p w14:paraId="74E7DAEA">
                  <w:pPr>
                    <w:widowControl/>
                    <w:jc w:val="center"/>
                    <w:rPr>
                      <w:kern w:val="0"/>
                      <w:sz w:val="21"/>
                      <w:szCs w:val="21"/>
                      <w:highlight w:val="none"/>
                    </w:rPr>
                  </w:pPr>
                  <w:r>
                    <w:rPr>
                      <w:kern w:val="0"/>
                      <w:sz w:val="21"/>
                      <w:szCs w:val="21"/>
                      <w:highlight w:val="none"/>
                    </w:rPr>
                    <w:t>13.7</w:t>
                  </w:r>
                </w:p>
              </w:tc>
              <w:tc>
                <w:tcPr>
                  <w:tcW w:w="871" w:type="dxa"/>
                  <w:tcBorders>
                    <w:tl2br w:val="nil"/>
                    <w:tr2bl w:val="nil"/>
                  </w:tcBorders>
                  <w:noWrap/>
                  <w:vAlign w:val="center"/>
                </w:tcPr>
                <w:p w14:paraId="52BD1512">
                  <w:pPr>
                    <w:widowControl/>
                    <w:jc w:val="center"/>
                    <w:rPr>
                      <w:kern w:val="0"/>
                      <w:sz w:val="21"/>
                      <w:szCs w:val="21"/>
                      <w:highlight w:val="none"/>
                    </w:rPr>
                  </w:pPr>
                  <w:r>
                    <w:rPr>
                      <w:kern w:val="0"/>
                      <w:sz w:val="21"/>
                      <w:szCs w:val="21"/>
                      <w:highlight w:val="none"/>
                    </w:rPr>
                    <w:t>16.9</w:t>
                  </w:r>
                </w:p>
              </w:tc>
              <w:tc>
                <w:tcPr>
                  <w:tcW w:w="871" w:type="dxa"/>
                  <w:tcBorders>
                    <w:tl2br w:val="nil"/>
                    <w:tr2bl w:val="nil"/>
                  </w:tcBorders>
                  <w:noWrap/>
                  <w:vAlign w:val="center"/>
                </w:tcPr>
                <w:p w14:paraId="1000A76F">
                  <w:pPr>
                    <w:widowControl/>
                    <w:jc w:val="center"/>
                    <w:rPr>
                      <w:kern w:val="0"/>
                      <w:sz w:val="21"/>
                      <w:szCs w:val="21"/>
                      <w:highlight w:val="none"/>
                    </w:rPr>
                  </w:pPr>
                  <w:r>
                    <w:rPr>
                      <w:kern w:val="0"/>
                      <w:sz w:val="21"/>
                      <w:szCs w:val="21"/>
                      <w:highlight w:val="none"/>
                    </w:rPr>
                    <w:t>16.3</w:t>
                  </w:r>
                </w:p>
              </w:tc>
              <w:tc>
                <w:tcPr>
                  <w:tcW w:w="871" w:type="dxa"/>
                  <w:tcBorders>
                    <w:tl2br w:val="nil"/>
                    <w:tr2bl w:val="nil"/>
                  </w:tcBorders>
                  <w:noWrap/>
                  <w:vAlign w:val="center"/>
                </w:tcPr>
                <w:p w14:paraId="3306855F">
                  <w:pPr>
                    <w:widowControl/>
                    <w:jc w:val="center"/>
                    <w:rPr>
                      <w:kern w:val="0"/>
                      <w:sz w:val="21"/>
                      <w:szCs w:val="21"/>
                      <w:highlight w:val="none"/>
                    </w:rPr>
                  </w:pPr>
                  <w:r>
                    <w:rPr>
                      <w:kern w:val="0"/>
                      <w:sz w:val="21"/>
                      <w:szCs w:val="21"/>
                      <w:highlight w:val="none"/>
                    </w:rPr>
                    <w:t>6</w:t>
                  </w:r>
                </w:p>
              </w:tc>
              <w:tc>
                <w:tcPr>
                  <w:tcW w:w="944" w:type="dxa"/>
                  <w:tcBorders>
                    <w:right w:val="single" w:color="auto" w:sz="4" w:space="0"/>
                    <w:tl2br w:val="nil"/>
                    <w:tr2bl w:val="nil"/>
                  </w:tcBorders>
                  <w:noWrap/>
                  <w:vAlign w:val="center"/>
                </w:tcPr>
                <w:p w14:paraId="7B2FED77">
                  <w:pPr>
                    <w:widowControl/>
                    <w:jc w:val="center"/>
                    <w:rPr>
                      <w:kern w:val="0"/>
                      <w:sz w:val="21"/>
                      <w:szCs w:val="21"/>
                      <w:highlight w:val="none"/>
                    </w:rPr>
                  </w:pPr>
                  <w:r>
                    <w:rPr>
                      <w:kern w:val="0"/>
                      <w:sz w:val="21"/>
                      <w:szCs w:val="21"/>
                      <w:highlight w:val="none"/>
                    </w:rPr>
                    <w:t>20</w:t>
                  </w:r>
                </w:p>
              </w:tc>
            </w:tr>
            <w:tr w14:paraId="7B7962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tl2br w:val="nil"/>
                    <w:tr2bl w:val="nil"/>
                  </w:tcBorders>
                  <w:noWrap/>
                  <w:vAlign w:val="center"/>
                </w:tcPr>
                <w:p w14:paraId="66A7BDEF">
                  <w:pPr>
                    <w:widowControl/>
                    <w:jc w:val="center"/>
                    <w:rPr>
                      <w:kern w:val="0"/>
                      <w:sz w:val="21"/>
                      <w:szCs w:val="21"/>
                      <w:highlight w:val="none"/>
                    </w:rPr>
                  </w:pPr>
                  <w:r>
                    <w:rPr>
                      <w:kern w:val="0"/>
                      <w:sz w:val="21"/>
                      <w:szCs w:val="21"/>
                      <w:highlight w:val="none"/>
                    </w:rPr>
                    <w:t>40</w:t>
                  </w:r>
                </w:p>
              </w:tc>
              <w:tc>
                <w:tcPr>
                  <w:tcW w:w="1003" w:type="dxa"/>
                  <w:tcBorders>
                    <w:tl2br w:val="nil"/>
                    <w:tr2bl w:val="nil"/>
                  </w:tcBorders>
                  <w:noWrap/>
                  <w:vAlign w:val="center"/>
                </w:tcPr>
                <w:p w14:paraId="11AFFEEE">
                  <w:pPr>
                    <w:widowControl/>
                    <w:jc w:val="center"/>
                    <w:rPr>
                      <w:rFonts w:hint="eastAsia" w:eastAsia="宋体"/>
                      <w:kern w:val="0"/>
                      <w:sz w:val="21"/>
                      <w:szCs w:val="21"/>
                      <w:highlight w:val="none"/>
                      <w:lang w:eastAsia="zh-CN"/>
                    </w:rPr>
                  </w:pPr>
                  <w:r>
                    <w:rPr>
                      <w:kern w:val="0"/>
                      <w:sz w:val="21"/>
                      <w:szCs w:val="21"/>
                      <w:highlight w:val="none"/>
                    </w:rPr>
                    <w:t>硫酸盐</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tl2br w:val="nil"/>
                    <w:tr2bl w:val="nil"/>
                  </w:tcBorders>
                  <w:noWrap/>
                  <w:vAlign w:val="center"/>
                </w:tcPr>
                <w:p w14:paraId="219E32A7">
                  <w:pPr>
                    <w:widowControl/>
                    <w:jc w:val="center"/>
                    <w:rPr>
                      <w:kern w:val="0"/>
                      <w:sz w:val="21"/>
                      <w:szCs w:val="21"/>
                      <w:highlight w:val="none"/>
                    </w:rPr>
                  </w:pPr>
                  <w:r>
                    <w:rPr>
                      <w:kern w:val="0"/>
                      <w:sz w:val="21"/>
                      <w:szCs w:val="21"/>
                      <w:highlight w:val="none"/>
                    </w:rPr>
                    <w:t>497</w:t>
                  </w:r>
                </w:p>
              </w:tc>
              <w:tc>
                <w:tcPr>
                  <w:tcW w:w="871" w:type="dxa"/>
                  <w:tcBorders>
                    <w:tl2br w:val="nil"/>
                    <w:tr2bl w:val="nil"/>
                  </w:tcBorders>
                  <w:noWrap/>
                  <w:vAlign w:val="center"/>
                </w:tcPr>
                <w:p w14:paraId="6722927A">
                  <w:pPr>
                    <w:widowControl/>
                    <w:jc w:val="center"/>
                    <w:rPr>
                      <w:kern w:val="0"/>
                      <w:sz w:val="21"/>
                      <w:szCs w:val="21"/>
                      <w:highlight w:val="none"/>
                    </w:rPr>
                  </w:pPr>
                  <w:r>
                    <w:rPr>
                      <w:kern w:val="0"/>
                      <w:sz w:val="21"/>
                      <w:szCs w:val="21"/>
                      <w:highlight w:val="none"/>
                    </w:rPr>
                    <w:t>538</w:t>
                  </w:r>
                </w:p>
              </w:tc>
              <w:tc>
                <w:tcPr>
                  <w:tcW w:w="871" w:type="dxa"/>
                  <w:tcBorders>
                    <w:tl2br w:val="nil"/>
                    <w:tr2bl w:val="nil"/>
                  </w:tcBorders>
                  <w:noWrap/>
                  <w:vAlign w:val="center"/>
                </w:tcPr>
                <w:p w14:paraId="416A6C5F">
                  <w:pPr>
                    <w:widowControl/>
                    <w:jc w:val="center"/>
                    <w:rPr>
                      <w:kern w:val="0"/>
                      <w:sz w:val="21"/>
                      <w:szCs w:val="21"/>
                      <w:highlight w:val="none"/>
                    </w:rPr>
                  </w:pPr>
                  <w:r>
                    <w:rPr>
                      <w:kern w:val="0"/>
                      <w:sz w:val="21"/>
                      <w:szCs w:val="21"/>
                      <w:highlight w:val="none"/>
                    </w:rPr>
                    <w:t>142</w:t>
                  </w:r>
                </w:p>
              </w:tc>
              <w:tc>
                <w:tcPr>
                  <w:tcW w:w="871" w:type="dxa"/>
                  <w:tcBorders>
                    <w:tl2br w:val="nil"/>
                    <w:tr2bl w:val="nil"/>
                  </w:tcBorders>
                  <w:noWrap/>
                  <w:vAlign w:val="center"/>
                </w:tcPr>
                <w:p w14:paraId="3AAD907D">
                  <w:pPr>
                    <w:widowControl/>
                    <w:jc w:val="center"/>
                    <w:rPr>
                      <w:kern w:val="0"/>
                      <w:sz w:val="21"/>
                      <w:szCs w:val="21"/>
                      <w:highlight w:val="none"/>
                    </w:rPr>
                  </w:pPr>
                  <w:r>
                    <w:rPr>
                      <w:kern w:val="0"/>
                      <w:sz w:val="21"/>
                      <w:szCs w:val="21"/>
                      <w:highlight w:val="none"/>
                    </w:rPr>
                    <w:t>586</w:t>
                  </w:r>
                </w:p>
              </w:tc>
              <w:tc>
                <w:tcPr>
                  <w:tcW w:w="871" w:type="dxa"/>
                  <w:tcBorders>
                    <w:tl2br w:val="nil"/>
                    <w:tr2bl w:val="nil"/>
                  </w:tcBorders>
                  <w:noWrap/>
                  <w:vAlign w:val="center"/>
                </w:tcPr>
                <w:p w14:paraId="595F47A2">
                  <w:pPr>
                    <w:widowControl/>
                    <w:jc w:val="center"/>
                    <w:rPr>
                      <w:kern w:val="0"/>
                      <w:sz w:val="21"/>
                      <w:szCs w:val="21"/>
                      <w:highlight w:val="none"/>
                    </w:rPr>
                  </w:pPr>
                  <w:r>
                    <w:rPr>
                      <w:kern w:val="0"/>
                      <w:sz w:val="21"/>
                      <w:szCs w:val="21"/>
                      <w:highlight w:val="none"/>
                    </w:rPr>
                    <w:t>571</w:t>
                  </w:r>
                </w:p>
              </w:tc>
              <w:tc>
                <w:tcPr>
                  <w:tcW w:w="871" w:type="dxa"/>
                  <w:tcBorders>
                    <w:tl2br w:val="nil"/>
                    <w:tr2bl w:val="nil"/>
                  </w:tcBorders>
                  <w:noWrap/>
                  <w:vAlign w:val="center"/>
                </w:tcPr>
                <w:p w14:paraId="48360692">
                  <w:pPr>
                    <w:widowControl/>
                    <w:jc w:val="center"/>
                    <w:rPr>
                      <w:kern w:val="0"/>
                      <w:sz w:val="21"/>
                      <w:szCs w:val="21"/>
                      <w:highlight w:val="none"/>
                    </w:rPr>
                  </w:pPr>
                  <w:r>
                    <w:rPr>
                      <w:kern w:val="0"/>
                      <w:sz w:val="21"/>
                      <w:szCs w:val="21"/>
                      <w:highlight w:val="none"/>
                    </w:rPr>
                    <w:t>612</w:t>
                  </w:r>
                </w:p>
              </w:tc>
              <w:tc>
                <w:tcPr>
                  <w:tcW w:w="871" w:type="dxa"/>
                  <w:tcBorders>
                    <w:tl2br w:val="nil"/>
                    <w:tr2bl w:val="nil"/>
                  </w:tcBorders>
                  <w:noWrap/>
                  <w:vAlign w:val="center"/>
                </w:tcPr>
                <w:p w14:paraId="77A7C876">
                  <w:pPr>
                    <w:widowControl/>
                    <w:jc w:val="center"/>
                    <w:rPr>
                      <w:kern w:val="0"/>
                      <w:sz w:val="21"/>
                      <w:szCs w:val="21"/>
                      <w:highlight w:val="none"/>
                    </w:rPr>
                  </w:pPr>
                  <w:r>
                    <w:rPr>
                      <w:kern w:val="0"/>
                      <w:sz w:val="21"/>
                      <w:szCs w:val="21"/>
                      <w:highlight w:val="none"/>
                    </w:rPr>
                    <w:t>382</w:t>
                  </w:r>
                </w:p>
              </w:tc>
              <w:tc>
                <w:tcPr>
                  <w:tcW w:w="944" w:type="dxa"/>
                  <w:tcBorders>
                    <w:right w:val="single" w:color="auto" w:sz="4" w:space="0"/>
                    <w:tl2br w:val="nil"/>
                    <w:tr2bl w:val="nil"/>
                  </w:tcBorders>
                  <w:noWrap/>
                  <w:vAlign w:val="center"/>
                </w:tcPr>
                <w:p w14:paraId="739E765D">
                  <w:pPr>
                    <w:widowControl/>
                    <w:jc w:val="center"/>
                    <w:rPr>
                      <w:kern w:val="0"/>
                      <w:sz w:val="21"/>
                      <w:szCs w:val="21"/>
                      <w:highlight w:val="none"/>
                    </w:rPr>
                  </w:pPr>
                  <w:r>
                    <w:rPr>
                      <w:kern w:val="0"/>
                      <w:sz w:val="21"/>
                      <w:szCs w:val="21"/>
                      <w:highlight w:val="none"/>
                    </w:rPr>
                    <w:t>250</w:t>
                  </w:r>
                </w:p>
              </w:tc>
            </w:tr>
            <w:tr w14:paraId="4D7B94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4" w:type="dxa"/>
                  <w:tcBorders>
                    <w:left w:val="single" w:color="auto" w:sz="4" w:space="0"/>
                    <w:bottom w:val="single" w:color="auto" w:sz="4" w:space="0"/>
                    <w:tl2br w:val="nil"/>
                    <w:tr2bl w:val="nil"/>
                  </w:tcBorders>
                  <w:noWrap/>
                  <w:vAlign w:val="center"/>
                </w:tcPr>
                <w:p w14:paraId="6AC36A54">
                  <w:pPr>
                    <w:widowControl/>
                    <w:jc w:val="center"/>
                    <w:rPr>
                      <w:kern w:val="0"/>
                      <w:sz w:val="21"/>
                      <w:szCs w:val="21"/>
                      <w:highlight w:val="none"/>
                    </w:rPr>
                  </w:pPr>
                  <w:r>
                    <w:rPr>
                      <w:kern w:val="0"/>
                      <w:sz w:val="21"/>
                      <w:szCs w:val="21"/>
                      <w:highlight w:val="none"/>
                    </w:rPr>
                    <w:t>41</w:t>
                  </w:r>
                </w:p>
              </w:tc>
              <w:tc>
                <w:tcPr>
                  <w:tcW w:w="1003" w:type="dxa"/>
                  <w:tcBorders>
                    <w:bottom w:val="single" w:color="auto" w:sz="4" w:space="0"/>
                    <w:tl2br w:val="nil"/>
                    <w:tr2bl w:val="nil"/>
                  </w:tcBorders>
                  <w:noWrap/>
                  <w:vAlign w:val="center"/>
                </w:tcPr>
                <w:p w14:paraId="1DE35411">
                  <w:pPr>
                    <w:widowControl/>
                    <w:jc w:val="center"/>
                    <w:rPr>
                      <w:rFonts w:hint="eastAsia" w:eastAsia="宋体"/>
                      <w:kern w:val="0"/>
                      <w:sz w:val="21"/>
                      <w:szCs w:val="21"/>
                      <w:highlight w:val="none"/>
                      <w:lang w:eastAsia="zh-CN"/>
                    </w:rPr>
                  </w:pPr>
                  <w:r>
                    <w:rPr>
                      <w:kern w:val="0"/>
                      <w:sz w:val="21"/>
                      <w:szCs w:val="21"/>
                      <w:highlight w:val="none"/>
                    </w:rPr>
                    <w:t>石油类</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871" w:type="dxa"/>
                  <w:tcBorders>
                    <w:bottom w:val="single" w:color="auto" w:sz="4" w:space="0"/>
                    <w:tl2br w:val="nil"/>
                    <w:tr2bl w:val="nil"/>
                  </w:tcBorders>
                  <w:noWrap/>
                  <w:vAlign w:val="center"/>
                </w:tcPr>
                <w:p w14:paraId="42DADD25">
                  <w:pPr>
                    <w:widowControl/>
                    <w:jc w:val="center"/>
                    <w:rPr>
                      <w:kern w:val="0"/>
                      <w:sz w:val="21"/>
                      <w:szCs w:val="21"/>
                      <w:highlight w:val="none"/>
                    </w:rPr>
                  </w:pPr>
                  <w:r>
                    <w:rPr>
                      <w:kern w:val="0"/>
                      <w:sz w:val="21"/>
                      <w:szCs w:val="21"/>
                      <w:highlight w:val="none"/>
                    </w:rPr>
                    <w:t>0.01L</w:t>
                  </w:r>
                </w:p>
              </w:tc>
              <w:tc>
                <w:tcPr>
                  <w:tcW w:w="871" w:type="dxa"/>
                  <w:tcBorders>
                    <w:bottom w:val="single" w:color="auto" w:sz="4" w:space="0"/>
                    <w:tl2br w:val="nil"/>
                    <w:tr2bl w:val="nil"/>
                  </w:tcBorders>
                  <w:noWrap/>
                  <w:vAlign w:val="center"/>
                </w:tcPr>
                <w:p w14:paraId="744C80F5">
                  <w:pPr>
                    <w:widowControl/>
                    <w:jc w:val="center"/>
                    <w:rPr>
                      <w:kern w:val="0"/>
                      <w:sz w:val="21"/>
                      <w:szCs w:val="21"/>
                      <w:highlight w:val="none"/>
                    </w:rPr>
                  </w:pPr>
                  <w:r>
                    <w:rPr>
                      <w:kern w:val="0"/>
                      <w:sz w:val="21"/>
                      <w:szCs w:val="21"/>
                      <w:highlight w:val="none"/>
                    </w:rPr>
                    <w:t>0.01L</w:t>
                  </w:r>
                </w:p>
              </w:tc>
              <w:tc>
                <w:tcPr>
                  <w:tcW w:w="871" w:type="dxa"/>
                  <w:tcBorders>
                    <w:bottom w:val="single" w:color="auto" w:sz="4" w:space="0"/>
                    <w:tl2br w:val="nil"/>
                    <w:tr2bl w:val="nil"/>
                  </w:tcBorders>
                  <w:noWrap/>
                  <w:vAlign w:val="center"/>
                </w:tcPr>
                <w:p w14:paraId="21D54034">
                  <w:pPr>
                    <w:widowControl/>
                    <w:jc w:val="center"/>
                    <w:rPr>
                      <w:kern w:val="0"/>
                      <w:sz w:val="21"/>
                      <w:szCs w:val="21"/>
                      <w:highlight w:val="none"/>
                    </w:rPr>
                  </w:pPr>
                  <w:r>
                    <w:rPr>
                      <w:kern w:val="0"/>
                      <w:sz w:val="21"/>
                      <w:szCs w:val="21"/>
                      <w:highlight w:val="none"/>
                    </w:rPr>
                    <w:t>0.01L</w:t>
                  </w:r>
                </w:p>
              </w:tc>
              <w:tc>
                <w:tcPr>
                  <w:tcW w:w="871" w:type="dxa"/>
                  <w:tcBorders>
                    <w:bottom w:val="single" w:color="auto" w:sz="4" w:space="0"/>
                    <w:tl2br w:val="nil"/>
                    <w:tr2bl w:val="nil"/>
                  </w:tcBorders>
                  <w:noWrap/>
                  <w:vAlign w:val="center"/>
                </w:tcPr>
                <w:p w14:paraId="5A65EE7C">
                  <w:pPr>
                    <w:widowControl/>
                    <w:jc w:val="center"/>
                    <w:rPr>
                      <w:kern w:val="0"/>
                      <w:sz w:val="21"/>
                      <w:szCs w:val="21"/>
                      <w:highlight w:val="none"/>
                    </w:rPr>
                  </w:pPr>
                  <w:r>
                    <w:rPr>
                      <w:kern w:val="0"/>
                      <w:sz w:val="21"/>
                      <w:szCs w:val="21"/>
                      <w:highlight w:val="none"/>
                    </w:rPr>
                    <w:t>0.01L</w:t>
                  </w:r>
                </w:p>
              </w:tc>
              <w:tc>
                <w:tcPr>
                  <w:tcW w:w="871" w:type="dxa"/>
                  <w:tcBorders>
                    <w:bottom w:val="single" w:color="auto" w:sz="4" w:space="0"/>
                    <w:tl2br w:val="nil"/>
                    <w:tr2bl w:val="nil"/>
                  </w:tcBorders>
                  <w:noWrap/>
                  <w:vAlign w:val="center"/>
                </w:tcPr>
                <w:p w14:paraId="4241DFC1">
                  <w:pPr>
                    <w:widowControl/>
                    <w:jc w:val="center"/>
                    <w:rPr>
                      <w:kern w:val="0"/>
                      <w:sz w:val="21"/>
                      <w:szCs w:val="21"/>
                      <w:highlight w:val="none"/>
                    </w:rPr>
                  </w:pPr>
                  <w:r>
                    <w:rPr>
                      <w:kern w:val="0"/>
                      <w:sz w:val="21"/>
                      <w:szCs w:val="21"/>
                      <w:highlight w:val="none"/>
                    </w:rPr>
                    <w:t>0.01L</w:t>
                  </w:r>
                </w:p>
              </w:tc>
              <w:tc>
                <w:tcPr>
                  <w:tcW w:w="871" w:type="dxa"/>
                  <w:tcBorders>
                    <w:bottom w:val="single" w:color="auto" w:sz="4" w:space="0"/>
                    <w:tl2br w:val="nil"/>
                    <w:tr2bl w:val="nil"/>
                  </w:tcBorders>
                  <w:noWrap/>
                  <w:vAlign w:val="center"/>
                </w:tcPr>
                <w:p w14:paraId="1BFD9D67">
                  <w:pPr>
                    <w:widowControl/>
                    <w:jc w:val="center"/>
                    <w:rPr>
                      <w:kern w:val="0"/>
                      <w:sz w:val="21"/>
                      <w:szCs w:val="21"/>
                      <w:highlight w:val="none"/>
                    </w:rPr>
                  </w:pPr>
                  <w:r>
                    <w:rPr>
                      <w:kern w:val="0"/>
                      <w:sz w:val="21"/>
                      <w:szCs w:val="21"/>
                      <w:highlight w:val="none"/>
                    </w:rPr>
                    <w:t>0.01L</w:t>
                  </w:r>
                </w:p>
              </w:tc>
              <w:tc>
                <w:tcPr>
                  <w:tcW w:w="871" w:type="dxa"/>
                  <w:tcBorders>
                    <w:bottom w:val="single" w:color="auto" w:sz="4" w:space="0"/>
                    <w:tl2br w:val="nil"/>
                    <w:tr2bl w:val="nil"/>
                  </w:tcBorders>
                  <w:noWrap/>
                  <w:vAlign w:val="center"/>
                </w:tcPr>
                <w:p w14:paraId="07FA1FD9">
                  <w:pPr>
                    <w:widowControl/>
                    <w:jc w:val="center"/>
                    <w:rPr>
                      <w:kern w:val="0"/>
                      <w:sz w:val="21"/>
                      <w:szCs w:val="21"/>
                      <w:highlight w:val="none"/>
                    </w:rPr>
                  </w:pPr>
                  <w:r>
                    <w:rPr>
                      <w:kern w:val="0"/>
                      <w:sz w:val="21"/>
                      <w:szCs w:val="21"/>
                      <w:highlight w:val="none"/>
                    </w:rPr>
                    <w:t>0.01L</w:t>
                  </w:r>
                </w:p>
              </w:tc>
              <w:tc>
                <w:tcPr>
                  <w:tcW w:w="944" w:type="dxa"/>
                  <w:tcBorders>
                    <w:bottom w:val="single" w:color="auto" w:sz="4" w:space="0"/>
                    <w:right w:val="single" w:color="auto" w:sz="4" w:space="0"/>
                    <w:tl2br w:val="nil"/>
                    <w:tr2bl w:val="nil"/>
                  </w:tcBorders>
                  <w:noWrap/>
                  <w:vAlign w:val="center"/>
                </w:tcPr>
                <w:p w14:paraId="3B51AC70">
                  <w:pPr>
                    <w:widowControl/>
                    <w:jc w:val="center"/>
                    <w:rPr>
                      <w:kern w:val="0"/>
                      <w:sz w:val="21"/>
                      <w:szCs w:val="21"/>
                      <w:highlight w:val="none"/>
                    </w:rPr>
                  </w:pPr>
                  <w:r>
                    <w:rPr>
                      <w:kern w:val="0"/>
                      <w:sz w:val="21"/>
                      <w:szCs w:val="21"/>
                      <w:highlight w:val="none"/>
                    </w:rPr>
                    <w:t>0.05</w:t>
                  </w:r>
                </w:p>
              </w:tc>
            </w:tr>
          </w:tbl>
          <w:p w14:paraId="606AD555">
            <w:pPr>
              <w:jc w:val="center"/>
              <w:rPr>
                <w:rFonts w:hint="eastAsia"/>
                <w:b/>
                <w:szCs w:val="21"/>
                <w:highlight w:val="none"/>
              </w:rPr>
            </w:pPr>
            <w:r>
              <w:rPr>
                <w:b/>
                <w:szCs w:val="21"/>
                <w:highlight w:val="none"/>
              </w:rPr>
              <w:t>表</w:t>
            </w:r>
            <w:r>
              <w:rPr>
                <w:rFonts w:hint="eastAsia"/>
                <w:b/>
                <w:szCs w:val="21"/>
                <w:highlight w:val="none"/>
                <w:lang w:val="en-US" w:eastAsia="zh-CN"/>
              </w:rPr>
              <w:t>3</w:t>
            </w:r>
            <w:r>
              <w:rPr>
                <w:rFonts w:hint="eastAsia"/>
                <w:b/>
                <w:szCs w:val="21"/>
                <w:highlight w:val="none"/>
              </w:rPr>
              <w:t>-3</w:t>
            </w:r>
            <w:r>
              <w:rPr>
                <w:rFonts w:hint="eastAsia"/>
                <w:b/>
                <w:szCs w:val="21"/>
                <w:highlight w:val="none"/>
                <w:lang w:eastAsia="zh-CN"/>
              </w:rPr>
              <w:t>：</w:t>
            </w:r>
            <w:r>
              <w:rPr>
                <w:b/>
                <w:szCs w:val="21"/>
                <w:highlight w:val="none"/>
              </w:rPr>
              <w:t>地下水</w:t>
            </w:r>
            <w:r>
              <w:rPr>
                <w:rFonts w:hint="eastAsia"/>
                <w:b/>
                <w:szCs w:val="21"/>
                <w:highlight w:val="none"/>
              </w:rPr>
              <w:t>现状</w:t>
            </w:r>
            <w:r>
              <w:rPr>
                <w:b/>
                <w:szCs w:val="21"/>
                <w:highlight w:val="none"/>
              </w:rPr>
              <w:t>评价结果统计表</w:t>
            </w:r>
          </w:p>
          <w:tbl>
            <w:tblPr>
              <w:tblStyle w:val="41"/>
              <w:tblW w:w="8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810"/>
              <w:gridCol w:w="1235"/>
              <w:gridCol w:w="786"/>
              <w:gridCol w:w="786"/>
              <w:gridCol w:w="786"/>
              <w:gridCol w:w="786"/>
              <w:gridCol w:w="786"/>
              <w:gridCol w:w="783"/>
            </w:tblGrid>
            <w:tr w14:paraId="3A3A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vMerge w:val="restart"/>
                  <w:tcBorders>
                    <w:tl2br w:val="nil"/>
                    <w:tr2bl w:val="nil"/>
                  </w:tcBorders>
                  <w:noWrap/>
                  <w:vAlign w:val="center"/>
                </w:tcPr>
                <w:p w14:paraId="222973CC">
                  <w:pPr>
                    <w:widowControl/>
                    <w:jc w:val="center"/>
                    <w:rPr>
                      <w:b w:val="0"/>
                      <w:bCs/>
                      <w:kern w:val="0"/>
                      <w:sz w:val="21"/>
                      <w:szCs w:val="21"/>
                      <w:highlight w:val="none"/>
                    </w:rPr>
                  </w:pPr>
                  <w:r>
                    <w:rPr>
                      <w:b w:val="0"/>
                      <w:bCs/>
                      <w:kern w:val="0"/>
                      <w:sz w:val="21"/>
                      <w:szCs w:val="21"/>
                      <w:highlight w:val="none"/>
                    </w:rPr>
                    <w:t>序号</w:t>
                  </w:r>
                </w:p>
              </w:tc>
              <w:tc>
                <w:tcPr>
                  <w:tcW w:w="1059" w:type="pct"/>
                  <w:vMerge w:val="restart"/>
                  <w:tcBorders>
                    <w:tl2br w:val="nil"/>
                    <w:tr2bl w:val="nil"/>
                  </w:tcBorders>
                  <w:noWrap/>
                  <w:vAlign w:val="center"/>
                </w:tcPr>
                <w:p w14:paraId="3F200681">
                  <w:pPr>
                    <w:widowControl/>
                    <w:jc w:val="center"/>
                    <w:rPr>
                      <w:b w:val="0"/>
                      <w:bCs/>
                      <w:kern w:val="0"/>
                      <w:sz w:val="21"/>
                      <w:szCs w:val="21"/>
                      <w:highlight w:val="none"/>
                    </w:rPr>
                  </w:pPr>
                  <w:r>
                    <w:rPr>
                      <w:b w:val="0"/>
                      <w:bCs/>
                      <w:kern w:val="0"/>
                      <w:sz w:val="21"/>
                      <w:szCs w:val="21"/>
                      <w:highlight w:val="none"/>
                    </w:rPr>
                    <w:t>检测项目</w:t>
                  </w:r>
                </w:p>
              </w:tc>
              <w:tc>
                <w:tcPr>
                  <w:tcW w:w="3481" w:type="pct"/>
                  <w:gridSpan w:val="7"/>
                  <w:tcBorders>
                    <w:tl2br w:val="nil"/>
                    <w:tr2bl w:val="nil"/>
                  </w:tcBorders>
                  <w:noWrap/>
                  <w:vAlign w:val="center"/>
                </w:tcPr>
                <w:p w14:paraId="392ED21B">
                  <w:pPr>
                    <w:widowControl/>
                    <w:jc w:val="center"/>
                    <w:rPr>
                      <w:b w:val="0"/>
                      <w:bCs/>
                      <w:kern w:val="0"/>
                      <w:sz w:val="21"/>
                      <w:szCs w:val="21"/>
                      <w:highlight w:val="none"/>
                    </w:rPr>
                  </w:pPr>
                  <w:r>
                    <w:rPr>
                      <w:b w:val="0"/>
                      <w:bCs/>
                      <w:kern w:val="0"/>
                      <w:sz w:val="21"/>
                      <w:szCs w:val="21"/>
                      <w:highlight w:val="none"/>
                    </w:rPr>
                    <w:t>标准指数</w:t>
                  </w:r>
                </w:p>
              </w:tc>
            </w:tr>
            <w:tr w14:paraId="682A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vMerge w:val="continue"/>
                  <w:tcBorders>
                    <w:tl2br w:val="nil"/>
                    <w:tr2bl w:val="nil"/>
                  </w:tcBorders>
                  <w:noWrap w:val="0"/>
                  <w:vAlign w:val="center"/>
                </w:tcPr>
                <w:p w14:paraId="6B7136F0">
                  <w:pPr>
                    <w:widowControl/>
                    <w:jc w:val="center"/>
                    <w:rPr>
                      <w:b w:val="0"/>
                      <w:bCs/>
                      <w:kern w:val="0"/>
                      <w:sz w:val="21"/>
                      <w:szCs w:val="21"/>
                      <w:highlight w:val="none"/>
                    </w:rPr>
                  </w:pPr>
                </w:p>
              </w:tc>
              <w:tc>
                <w:tcPr>
                  <w:tcW w:w="1059" w:type="pct"/>
                  <w:vMerge w:val="continue"/>
                  <w:tcBorders>
                    <w:tl2br w:val="nil"/>
                    <w:tr2bl w:val="nil"/>
                  </w:tcBorders>
                  <w:noWrap w:val="0"/>
                  <w:vAlign w:val="center"/>
                </w:tcPr>
                <w:p w14:paraId="7E7BEA0A">
                  <w:pPr>
                    <w:widowControl/>
                    <w:jc w:val="center"/>
                    <w:rPr>
                      <w:b w:val="0"/>
                      <w:bCs/>
                      <w:kern w:val="0"/>
                      <w:sz w:val="21"/>
                      <w:szCs w:val="21"/>
                      <w:highlight w:val="none"/>
                    </w:rPr>
                  </w:pPr>
                </w:p>
              </w:tc>
              <w:tc>
                <w:tcPr>
                  <w:tcW w:w="723" w:type="pct"/>
                  <w:tcBorders>
                    <w:tl2br w:val="nil"/>
                    <w:tr2bl w:val="nil"/>
                  </w:tcBorders>
                  <w:noWrap w:val="0"/>
                  <w:vAlign w:val="center"/>
                </w:tcPr>
                <w:p w14:paraId="248A675F">
                  <w:pPr>
                    <w:widowControl/>
                    <w:jc w:val="center"/>
                    <w:rPr>
                      <w:b w:val="0"/>
                      <w:bCs/>
                      <w:kern w:val="0"/>
                      <w:sz w:val="21"/>
                      <w:szCs w:val="21"/>
                      <w:highlight w:val="none"/>
                    </w:rPr>
                  </w:pPr>
                  <w:r>
                    <w:rPr>
                      <w:b w:val="0"/>
                      <w:bCs/>
                      <w:kern w:val="0"/>
                      <w:sz w:val="21"/>
                      <w:szCs w:val="21"/>
                      <w:highlight w:val="none"/>
                    </w:rPr>
                    <w:t>JC1</w:t>
                  </w:r>
                </w:p>
              </w:tc>
              <w:tc>
                <w:tcPr>
                  <w:tcW w:w="460" w:type="pct"/>
                  <w:tcBorders>
                    <w:tl2br w:val="nil"/>
                    <w:tr2bl w:val="nil"/>
                  </w:tcBorders>
                  <w:noWrap w:val="0"/>
                  <w:vAlign w:val="center"/>
                </w:tcPr>
                <w:p w14:paraId="3EE30581">
                  <w:pPr>
                    <w:widowControl/>
                    <w:jc w:val="center"/>
                    <w:rPr>
                      <w:b w:val="0"/>
                      <w:bCs/>
                      <w:kern w:val="0"/>
                      <w:sz w:val="21"/>
                      <w:szCs w:val="21"/>
                      <w:highlight w:val="none"/>
                    </w:rPr>
                  </w:pPr>
                  <w:r>
                    <w:rPr>
                      <w:b w:val="0"/>
                      <w:bCs/>
                      <w:kern w:val="0"/>
                      <w:sz w:val="21"/>
                      <w:szCs w:val="21"/>
                      <w:highlight w:val="none"/>
                    </w:rPr>
                    <w:t>JC2</w:t>
                  </w:r>
                </w:p>
              </w:tc>
              <w:tc>
                <w:tcPr>
                  <w:tcW w:w="460" w:type="pct"/>
                  <w:tcBorders>
                    <w:tl2br w:val="nil"/>
                    <w:tr2bl w:val="nil"/>
                  </w:tcBorders>
                  <w:noWrap w:val="0"/>
                  <w:vAlign w:val="center"/>
                </w:tcPr>
                <w:p w14:paraId="4A020090">
                  <w:pPr>
                    <w:widowControl/>
                    <w:jc w:val="center"/>
                    <w:rPr>
                      <w:b w:val="0"/>
                      <w:bCs/>
                      <w:kern w:val="0"/>
                      <w:sz w:val="21"/>
                      <w:szCs w:val="21"/>
                      <w:highlight w:val="none"/>
                    </w:rPr>
                  </w:pPr>
                  <w:r>
                    <w:rPr>
                      <w:b w:val="0"/>
                      <w:bCs/>
                      <w:kern w:val="0"/>
                      <w:sz w:val="21"/>
                      <w:szCs w:val="21"/>
                      <w:highlight w:val="none"/>
                    </w:rPr>
                    <w:t>JC4</w:t>
                  </w:r>
                </w:p>
              </w:tc>
              <w:tc>
                <w:tcPr>
                  <w:tcW w:w="460" w:type="pct"/>
                  <w:tcBorders>
                    <w:tl2br w:val="nil"/>
                    <w:tr2bl w:val="nil"/>
                  </w:tcBorders>
                  <w:noWrap w:val="0"/>
                  <w:vAlign w:val="center"/>
                </w:tcPr>
                <w:p w14:paraId="7E6395DE">
                  <w:pPr>
                    <w:widowControl/>
                    <w:jc w:val="center"/>
                    <w:rPr>
                      <w:b w:val="0"/>
                      <w:bCs/>
                      <w:kern w:val="0"/>
                      <w:sz w:val="21"/>
                      <w:szCs w:val="21"/>
                      <w:highlight w:val="none"/>
                    </w:rPr>
                  </w:pPr>
                  <w:r>
                    <w:rPr>
                      <w:b w:val="0"/>
                      <w:bCs/>
                      <w:kern w:val="0"/>
                      <w:sz w:val="21"/>
                      <w:szCs w:val="21"/>
                      <w:highlight w:val="none"/>
                    </w:rPr>
                    <w:t>JC5</w:t>
                  </w:r>
                </w:p>
              </w:tc>
              <w:tc>
                <w:tcPr>
                  <w:tcW w:w="460" w:type="pct"/>
                  <w:tcBorders>
                    <w:tl2br w:val="nil"/>
                    <w:tr2bl w:val="nil"/>
                  </w:tcBorders>
                  <w:noWrap w:val="0"/>
                  <w:vAlign w:val="center"/>
                </w:tcPr>
                <w:p w14:paraId="4CF6ED3B">
                  <w:pPr>
                    <w:widowControl/>
                    <w:jc w:val="center"/>
                    <w:rPr>
                      <w:b w:val="0"/>
                      <w:bCs/>
                      <w:kern w:val="0"/>
                      <w:sz w:val="21"/>
                      <w:szCs w:val="21"/>
                      <w:highlight w:val="none"/>
                    </w:rPr>
                  </w:pPr>
                  <w:r>
                    <w:rPr>
                      <w:b w:val="0"/>
                      <w:bCs/>
                      <w:kern w:val="0"/>
                      <w:sz w:val="21"/>
                      <w:szCs w:val="21"/>
                      <w:highlight w:val="none"/>
                    </w:rPr>
                    <w:t>JC6</w:t>
                  </w:r>
                </w:p>
              </w:tc>
              <w:tc>
                <w:tcPr>
                  <w:tcW w:w="460" w:type="pct"/>
                  <w:tcBorders>
                    <w:tl2br w:val="nil"/>
                    <w:tr2bl w:val="nil"/>
                  </w:tcBorders>
                  <w:noWrap w:val="0"/>
                  <w:vAlign w:val="center"/>
                </w:tcPr>
                <w:p w14:paraId="2C26B9F1">
                  <w:pPr>
                    <w:widowControl/>
                    <w:jc w:val="center"/>
                    <w:rPr>
                      <w:b w:val="0"/>
                      <w:bCs/>
                      <w:kern w:val="0"/>
                      <w:sz w:val="21"/>
                      <w:szCs w:val="21"/>
                      <w:highlight w:val="none"/>
                    </w:rPr>
                  </w:pPr>
                  <w:r>
                    <w:rPr>
                      <w:b w:val="0"/>
                      <w:bCs/>
                      <w:kern w:val="0"/>
                      <w:sz w:val="21"/>
                      <w:szCs w:val="21"/>
                      <w:highlight w:val="none"/>
                    </w:rPr>
                    <w:t>JC7</w:t>
                  </w:r>
                </w:p>
              </w:tc>
              <w:tc>
                <w:tcPr>
                  <w:tcW w:w="457" w:type="pct"/>
                  <w:tcBorders>
                    <w:tl2br w:val="nil"/>
                    <w:tr2bl w:val="nil"/>
                  </w:tcBorders>
                  <w:noWrap w:val="0"/>
                  <w:vAlign w:val="center"/>
                </w:tcPr>
                <w:p w14:paraId="5775D66D">
                  <w:pPr>
                    <w:widowControl/>
                    <w:jc w:val="center"/>
                    <w:rPr>
                      <w:b w:val="0"/>
                      <w:bCs/>
                      <w:kern w:val="0"/>
                      <w:sz w:val="21"/>
                      <w:szCs w:val="21"/>
                      <w:highlight w:val="none"/>
                    </w:rPr>
                  </w:pPr>
                  <w:r>
                    <w:rPr>
                      <w:b w:val="0"/>
                      <w:bCs/>
                      <w:kern w:val="0"/>
                      <w:sz w:val="21"/>
                      <w:szCs w:val="21"/>
                      <w:highlight w:val="none"/>
                    </w:rPr>
                    <w:t>JC8</w:t>
                  </w:r>
                </w:p>
              </w:tc>
            </w:tr>
            <w:tr w14:paraId="00AF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17D381D4">
                  <w:pPr>
                    <w:widowControl/>
                    <w:jc w:val="center"/>
                    <w:rPr>
                      <w:kern w:val="0"/>
                      <w:sz w:val="21"/>
                      <w:szCs w:val="21"/>
                      <w:highlight w:val="none"/>
                    </w:rPr>
                  </w:pPr>
                  <w:r>
                    <w:rPr>
                      <w:kern w:val="0"/>
                      <w:sz w:val="21"/>
                      <w:szCs w:val="21"/>
                      <w:highlight w:val="none"/>
                    </w:rPr>
                    <w:t>1</w:t>
                  </w:r>
                </w:p>
              </w:tc>
              <w:tc>
                <w:tcPr>
                  <w:tcW w:w="1059" w:type="pct"/>
                  <w:tcBorders>
                    <w:tl2br w:val="nil"/>
                    <w:tr2bl w:val="nil"/>
                  </w:tcBorders>
                  <w:noWrap/>
                  <w:vAlign w:val="center"/>
                </w:tcPr>
                <w:p w14:paraId="40627B08">
                  <w:pPr>
                    <w:widowControl/>
                    <w:jc w:val="center"/>
                    <w:rPr>
                      <w:rFonts w:hint="eastAsia" w:eastAsia="宋体"/>
                      <w:kern w:val="0"/>
                      <w:sz w:val="21"/>
                      <w:szCs w:val="21"/>
                      <w:highlight w:val="none"/>
                      <w:lang w:eastAsia="zh-CN"/>
                    </w:rPr>
                  </w:pPr>
                  <w:r>
                    <w:rPr>
                      <w:kern w:val="0"/>
                      <w:sz w:val="21"/>
                      <w:szCs w:val="21"/>
                      <w:highlight w:val="none"/>
                    </w:rPr>
                    <w:t>色度</w:t>
                  </w:r>
                  <w:r>
                    <w:rPr>
                      <w:rFonts w:hint="eastAsia"/>
                      <w:kern w:val="0"/>
                      <w:sz w:val="21"/>
                      <w:szCs w:val="21"/>
                      <w:highlight w:val="none"/>
                      <w:lang w:eastAsia="zh-CN"/>
                    </w:rPr>
                    <w:t>（</w:t>
                  </w:r>
                  <w:r>
                    <w:rPr>
                      <w:kern w:val="0"/>
                      <w:sz w:val="21"/>
                      <w:szCs w:val="21"/>
                      <w:highlight w:val="none"/>
                    </w:rPr>
                    <w:t>度</w:t>
                  </w:r>
                  <w:r>
                    <w:rPr>
                      <w:rFonts w:hint="eastAsia"/>
                      <w:kern w:val="0"/>
                      <w:sz w:val="21"/>
                      <w:szCs w:val="21"/>
                      <w:highlight w:val="none"/>
                      <w:lang w:eastAsia="zh-CN"/>
                    </w:rPr>
                    <w:t>）</w:t>
                  </w:r>
                </w:p>
              </w:tc>
              <w:tc>
                <w:tcPr>
                  <w:tcW w:w="723" w:type="pct"/>
                  <w:tcBorders>
                    <w:tl2br w:val="nil"/>
                    <w:tr2bl w:val="nil"/>
                  </w:tcBorders>
                  <w:noWrap/>
                  <w:vAlign w:val="center"/>
                </w:tcPr>
                <w:p w14:paraId="6A6CE5B2">
                  <w:pPr>
                    <w:widowControl/>
                    <w:jc w:val="center"/>
                    <w:rPr>
                      <w:kern w:val="0"/>
                      <w:sz w:val="21"/>
                      <w:szCs w:val="21"/>
                      <w:highlight w:val="none"/>
                    </w:rPr>
                  </w:pPr>
                  <w:r>
                    <w:rPr>
                      <w:kern w:val="0"/>
                      <w:sz w:val="21"/>
                      <w:szCs w:val="21"/>
                      <w:highlight w:val="none"/>
                    </w:rPr>
                    <w:t>0.667</w:t>
                  </w:r>
                </w:p>
              </w:tc>
              <w:tc>
                <w:tcPr>
                  <w:tcW w:w="460" w:type="pct"/>
                  <w:tcBorders>
                    <w:tl2br w:val="nil"/>
                    <w:tr2bl w:val="nil"/>
                  </w:tcBorders>
                  <w:noWrap/>
                  <w:vAlign w:val="center"/>
                </w:tcPr>
                <w:p w14:paraId="3A310BB0">
                  <w:pPr>
                    <w:widowControl/>
                    <w:jc w:val="center"/>
                    <w:rPr>
                      <w:kern w:val="0"/>
                      <w:sz w:val="21"/>
                      <w:szCs w:val="21"/>
                      <w:highlight w:val="none"/>
                    </w:rPr>
                  </w:pPr>
                  <w:r>
                    <w:rPr>
                      <w:kern w:val="0"/>
                      <w:sz w:val="21"/>
                      <w:szCs w:val="21"/>
                      <w:highlight w:val="none"/>
                    </w:rPr>
                    <w:t>0.667</w:t>
                  </w:r>
                </w:p>
              </w:tc>
              <w:tc>
                <w:tcPr>
                  <w:tcW w:w="460" w:type="pct"/>
                  <w:tcBorders>
                    <w:tl2br w:val="nil"/>
                    <w:tr2bl w:val="nil"/>
                  </w:tcBorders>
                  <w:noWrap/>
                  <w:vAlign w:val="center"/>
                </w:tcPr>
                <w:p w14:paraId="4C5C35E5">
                  <w:pPr>
                    <w:widowControl/>
                    <w:jc w:val="center"/>
                    <w:rPr>
                      <w:kern w:val="0"/>
                      <w:sz w:val="21"/>
                      <w:szCs w:val="21"/>
                      <w:highlight w:val="none"/>
                    </w:rPr>
                  </w:pPr>
                  <w:r>
                    <w:rPr>
                      <w:kern w:val="0"/>
                      <w:sz w:val="21"/>
                      <w:szCs w:val="21"/>
                      <w:highlight w:val="none"/>
                    </w:rPr>
                    <w:t>1.000</w:t>
                  </w:r>
                </w:p>
              </w:tc>
              <w:tc>
                <w:tcPr>
                  <w:tcW w:w="460" w:type="pct"/>
                  <w:tcBorders>
                    <w:tl2br w:val="nil"/>
                    <w:tr2bl w:val="nil"/>
                  </w:tcBorders>
                  <w:noWrap/>
                  <w:vAlign w:val="center"/>
                </w:tcPr>
                <w:p w14:paraId="7A15CE7D">
                  <w:pPr>
                    <w:widowControl/>
                    <w:jc w:val="center"/>
                    <w:rPr>
                      <w:kern w:val="0"/>
                      <w:sz w:val="21"/>
                      <w:szCs w:val="21"/>
                      <w:highlight w:val="none"/>
                    </w:rPr>
                  </w:pPr>
                  <w:r>
                    <w:rPr>
                      <w:kern w:val="0"/>
                      <w:sz w:val="21"/>
                      <w:szCs w:val="21"/>
                      <w:highlight w:val="none"/>
                    </w:rPr>
                    <w:t>0.333</w:t>
                  </w:r>
                </w:p>
              </w:tc>
              <w:tc>
                <w:tcPr>
                  <w:tcW w:w="460" w:type="pct"/>
                  <w:tcBorders>
                    <w:tl2br w:val="nil"/>
                    <w:tr2bl w:val="nil"/>
                  </w:tcBorders>
                  <w:noWrap/>
                  <w:vAlign w:val="center"/>
                </w:tcPr>
                <w:p w14:paraId="158014EC">
                  <w:pPr>
                    <w:widowControl/>
                    <w:jc w:val="center"/>
                    <w:rPr>
                      <w:kern w:val="0"/>
                      <w:sz w:val="21"/>
                      <w:szCs w:val="21"/>
                      <w:highlight w:val="none"/>
                    </w:rPr>
                  </w:pPr>
                  <w:r>
                    <w:rPr>
                      <w:kern w:val="0"/>
                      <w:sz w:val="21"/>
                      <w:szCs w:val="21"/>
                      <w:highlight w:val="none"/>
                    </w:rPr>
                    <w:t>0.333</w:t>
                  </w:r>
                </w:p>
              </w:tc>
              <w:tc>
                <w:tcPr>
                  <w:tcW w:w="460" w:type="pct"/>
                  <w:tcBorders>
                    <w:tl2br w:val="nil"/>
                    <w:tr2bl w:val="nil"/>
                  </w:tcBorders>
                  <w:noWrap/>
                  <w:vAlign w:val="center"/>
                </w:tcPr>
                <w:p w14:paraId="05DE0E4C">
                  <w:pPr>
                    <w:widowControl/>
                    <w:jc w:val="center"/>
                    <w:rPr>
                      <w:kern w:val="0"/>
                      <w:sz w:val="21"/>
                      <w:szCs w:val="21"/>
                      <w:highlight w:val="none"/>
                    </w:rPr>
                  </w:pPr>
                  <w:r>
                    <w:rPr>
                      <w:kern w:val="0"/>
                      <w:sz w:val="21"/>
                      <w:szCs w:val="21"/>
                      <w:highlight w:val="none"/>
                    </w:rPr>
                    <w:t>0.333</w:t>
                  </w:r>
                </w:p>
              </w:tc>
              <w:tc>
                <w:tcPr>
                  <w:tcW w:w="457" w:type="pct"/>
                  <w:tcBorders>
                    <w:tl2br w:val="nil"/>
                    <w:tr2bl w:val="nil"/>
                  </w:tcBorders>
                  <w:noWrap/>
                  <w:vAlign w:val="center"/>
                </w:tcPr>
                <w:p w14:paraId="2645C176">
                  <w:pPr>
                    <w:widowControl/>
                    <w:jc w:val="center"/>
                    <w:rPr>
                      <w:kern w:val="0"/>
                      <w:sz w:val="21"/>
                      <w:szCs w:val="21"/>
                      <w:highlight w:val="none"/>
                    </w:rPr>
                  </w:pPr>
                  <w:r>
                    <w:rPr>
                      <w:kern w:val="0"/>
                      <w:sz w:val="21"/>
                      <w:szCs w:val="21"/>
                      <w:highlight w:val="none"/>
                    </w:rPr>
                    <w:t>0.667</w:t>
                  </w:r>
                </w:p>
              </w:tc>
            </w:tr>
            <w:tr w14:paraId="68B2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63ED6473">
                  <w:pPr>
                    <w:widowControl/>
                    <w:jc w:val="center"/>
                    <w:rPr>
                      <w:kern w:val="0"/>
                      <w:sz w:val="21"/>
                      <w:szCs w:val="21"/>
                      <w:highlight w:val="none"/>
                    </w:rPr>
                  </w:pPr>
                  <w:r>
                    <w:rPr>
                      <w:kern w:val="0"/>
                      <w:sz w:val="21"/>
                      <w:szCs w:val="21"/>
                      <w:highlight w:val="none"/>
                    </w:rPr>
                    <w:t>2</w:t>
                  </w:r>
                </w:p>
              </w:tc>
              <w:tc>
                <w:tcPr>
                  <w:tcW w:w="1059" w:type="pct"/>
                  <w:tcBorders>
                    <w:tl2br w:val="nil"/>
                    <w:tr2bl w:val="nil"/>
                  </w:tcBorders>
                  <w:noWrap/>
                  <w:vAlign w:val="center"/>
                </w:tcPr>
                <w:p w14:paraId="0CE51573">
                  <w:pPr>
                    <w:widowControl/>
                    <w:jc w:val="center"/>
                    <w:rPr>
                      <w:rFonts w:hint="eastAsia" w:eastAsia="宋体"/>
                      <w:kern w:val="0"/>
                      <w:sz w:val="21"/>
                      <w:szCs w:val="21"/>
                      <w:highlight w:val="none"/>
                      <w:lang w:eastAsia="zh-CN"/>
                    </w:rPr>
                  </w:pPr>
                  <w:r>
                    <w:rPr>
                      <w:kern w:val="0"/>
                      <w:sz w:val="21"/>
                      <w:szCs w:val="21"/>
                      <w:highlight w:val="none"/>
                    </w:rPr>
                    <w:t>钙和镁总量</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58E89786">
                  <w:pPr>
                    <w:widowControl/>
                    <w:jc w:val="center"/>
                    <w:rPr>
                      <w:kern w:val="0"/>
                      <w:sz w:val="21"/>
                      <w:szCs w:val="21"/>
                      <w:highlight w:val="none"/>
                    </w:rPr>
                  </w:pPr>
                  <w:r>
                    <w:rPr>
                      <w:kern w:val="0"/>
                      <w:sz w:val="21"/>
                      <w:szCs w:val="21"/>
                      <w:highlight w:val="none"/>
                    </w:rPr>
                    <w:t>0.856</w:t>
                  </w:r>
                </w:p>
              </w:tc>
              <w:tc>
                <w:tcPr>
                  <w:tcW w:w="460" w:type="pct"/>
                  <w:tcBorders>
                    <w:tl2br w:val="nil"/>
                    <w:tr2bl w:val="nil"/>
                  </w:tcBorders>
                  <w:noWrap/>
                  <w:vAlign w:val="center"/>
                </w:tcPr>
                <w:p w14:paraId="51FA3D7A">
                  <w:pPr>
                    <w:widowControl/>
                    <w:jc w:val="center"/>
                    <w:rPr>
                      <w:kern w:val="0"/>
                      <w:sz w:val="21"/>
                      <w:szCs w:val="21"/>
                      <w:highlight w:val="none"/>
                    </w:rPr>
                  </w:pPr>
                  <w:r>
                    <w:rPr>
                      <w:kern w:val="0"/>
                      <w:sz w:val="21"/>
                      <w:szCs w:val="21"/>
                      <w:highlight w:val="none"/>
                    </w:rPr>
                    <w:t>0.727</w:t>
                  </w:r>
                </w:p>
              </w:tc>
              <w:tc>
                <w:tcPr>
                  <w:tcW w:w="460" w:type="pct"/>
                  <w:tcBorders>
                    <w:tl2br w:val="nil"/>
                    <w:tr2bl w:val="nil"/>
                  </w:tcBorders>
                  <w:noWrap/>
                  <w:vAlign w:val="center"/>
                </w:tcPr>
                <w:p w14:paraId="61143704">
                  <w:pPr>
                    <w:widowControl/>
                    <w:jc w:val="center"/>
                    <w:rPr>
                      <w:kern w:val="0"/>
                      <w:sz w:val="21"/>
                      <w:szCs w:val="21"/>
                      <w:highlight w:val="none"/>
                    </w:rPr>
                  </w:pPr>
                  <w:r>
                    <w:rPr>
                      <w:kern w:val="0"/>
                      <w:sz w:val="21"/>
                      <w:szCs w:val="21"/>
                      <w:highlight w:val="none"/>
                    </w:rPr>
                    <w:t>0.498</w:t>
                  </w:r>
                </w:p>
              </w:tc>
              <w:tc>
                <w:tcPr>
                  <w:tcW w:w="460" w:type="pct"/>
                  <w:tcBorders>
                    <w:tl2br w:val="nil"/>
                    <w:tr2bl w:val="nil"/>
                  </w:tcBorders>
                  <w:noWrap/>
                  <w:vAlign w:val="center"/>
                </w:tcPr>
                <w:p w14:paraId="19A7BBB5">
                  <w:pPr>
                    <w:widowControl/>
                    <w:jc w:val="center"/>
                    <w:rPr>
                      <w:kern w:val="0"/>
                      <w:sz w:val="21"/>
                      <w:szCs w:val="21"/>
                      <w:highlight w:val="none"/>
                    </w:rPr>
                  </w:pPr>
                  <w:r>
                    <w:rPr>
                      <w:kern w:val="0"/>
                      <w:sz w:val="21"/>
                      <w:szCs w:val="21"/>
                      <w:highlight w:val="none"/>
                    </w:rPr>
                    <w:t>0.813</w:t>
                  </w:r>
                </w:p>
              </w:tc>
              <w:tc>
                <w:tcPr>
                  <w:tcW w:w="460" w:type="pct"/>
                  <w:tcBorders>
                    <w:tl2br w:val="nil"/>
                    <w:tr2bl w:val="nil"/>
                  </w:tcBorders>
                  <w:noWrap/>
                  <w:vAlign w:val="center"/>
                </w:tcPr>
                <w:p w14:paraId="4282F3B2">
                  <w:pPr>
                    <w:widowControl/>
                    <w:jc w:val="center"/>
                    <w:rPr>
                      <w:kern w:val="0"/>
                      <w:sz w:val="21"/>
                      <w:szCs w:val="21"/>
                      <w:highlight w:val="none"/>
                    </w:rPr>
                  </w:pPr>
                  <w:r>
                    <w:rPr>
                      <w:kern w:val="0"/>
                      <w:sz w:val="21"/>
                      <w:szCs w:val="21"/>
                      <w:highlight w:val="none"/>
                    </w:rPr>
                    <w:t>0.936</w:t>
                  </w:r>
                </w:p>
              </w:tc>
              <w:tc>
                <w:tcPr>
                  <w:tcW w:w="460" w:type="pct"/>
                  <w:tcBorders>
                    <w:tl2br w:val="nil"/>
                    <w:tr2bl w:val="nil"/>
                  </w:tcBorders>
                  <w:noWrap/>
                  <w:vAlign w:val="center"/>
                </w:tcPr>
                <w:p w14:paraId="609D8F00">
                  <w:pPr>
                    <w:widowControl/>
                    <w:jc w:val="center"/>
                    <w:rPr>
                      <w:kern w:val="0"/>
                      <w:sz w:val="21"/>
                      <w:szCs w:val="21"/>
                      <w:highlight w:val="none"/>
                    </w:rPr>
                  </w:pPr>
                  <w:r>
                    <w:rPr>
                      <w:kern w:val="0"/>
                      <w:sz w:val="21"/>
                      <w:szCs w:val="21"/>
                      <w:highlight w:val="none"/>
                    </w:rPr>
                    <w:t>0.878</w:t>
                  </w:r>
                </w:p>
              </w:tc>
              <w:tc>
                <w:tcPr>
                  <w:tcW w:w="457" w:type="pct"/>
                  <w:tcBorders>
                    <w:tl2br w:val="nil"/>
                    <w:tr2bl w:val="nil"/>
                  </w:tcBorders>
                  <w:noWrap/>
                  <w:vAlign w:val="center"/>
                </w:tcPr>
                <w:p w14:paraId="38D1E8C1">
                  <w:pPr>
                    <w:widowControl/>
                    <w:jc w:val="center"/>
                    <w:rPr>
                      <w:kern w:val="0"/>
                      <w:sz w:val="21"/>
                      <w:szCs w:val="21"/>
                      <w:highlight w:val="none"/>
                    </w:rPr>
                  </w:pPr>
                  <w:r>
                    <w:rPr>
                      <w:kern w:val="0"/>
                      <w:sz w:val="21"/>
                      <w:szCs w:val="21"/>
                      <w:highlight w:val="none"/>
                    </w:rPr>
                    <w:t>0.516</w:t>
                  </w:r>
                </w:p>
              </w:tc>
            </w:tr>
            <w:tr w14:paraId="67A9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2DCB4C85">
                  <w:pPr>
                    <w:widowControl/>
                    <w:jc w:val="center"/>
                    <w:rPr>
                      <w:kern w:val="0"/>
                      <w:sz w:val="21"/>
                      <w:szCs w:val="21"/>
                      <w:highlight w:val="none"/>
                    </w:rPr>
                  </w:pPr>
                  <w:r>
                    <w:rPr>
                      <w:kern w:val="0"/>
                      <w:sz w:val="21"/>
                      <w:szCs w:val="21"/>
                      <w:highlight w:val="none"/>
                    </w:rPr>
                    <w:t>3</w:t>
                  </w:r>
                </w:p>
              </w:tc>
              <w:tc>
                <w:tcPr>
                  <w:tcW w:w="1059" w:type="pct"/>
                  <w:tcBorders>
                    <w:tl2br w:val="nil"/>
                    <w:tr2bl w:val="nil"/>
                  </w:tcBorders>
                  <w:noWrap/>
                  <w:vAlign w:val="center"/>
                </w:tcPr>
                <w:p w14:paraId="41130F42">
                  <w:pPr>
                    <w:widowControl/>
                    <w:jc w:val="center"/>
                    <w:rPr>
                      <w:rFonts w:hint="eastAsia" w:eastAsia="宋体"/>
                      <w:kern w:val="0"/>
                      <w:sz w:val="21"/>
                      <w:szCs w:val="21"/>
                      <w:highlight w:val="none"/>
                      <w:lang w:eastAsia="zh-CN"/>
                    </w:rPr>
                  </w:pPr>
                  <w:r>
                    <w:rPr>
                      <w:kern w:val="0"/>
                      <w:sz w:val="21"/>
                      <w:szCs w:val="21"/>
                      <w:highlight w:val="none"/>
                    </w:rPr>
                    <w:t>浊度</w:t>
                  </w:r>
                  <w:r>
                    <w:rPr>
                      <w:rFonts w:hint="eastAsia"/>
                      <w:kern w:val="0"/>
                      <w:sz w:val="21"/>
                      <w:szCs w:val="21"/>
                      <w:highlight w:val="none"/>
                      <w:lang w:eastAsia="zh-CN"/>
                    </w:rPr>
                    <w:t>（</w:t>
                  </w:r>
                  <w:r>
                    <w:rPr>
                      <w:kern w:val="0"/>
                      <w:sz w:val="21"/>
                      <w:szCs w:val="21"/>
                      <w:highlight w:val="none"/>
                    </w:rPr>
                    <w:t>NTU</w:t>
                  </w:r>
                  <w:r>
                    <w:rPr>
                      <w:rFonts w:hint="eastAsia"/>
                      <w:kern w:val="0"/>
                      <w:sz w:val="21"/>
                      <w:szCs w:val="21"/>
                      <w:highlight w:val="none"/>
                      <w:lang w:eastAsia="zh-CN"/>
                    </w:rPr>
                    <w:t>）</w:t>
                  </w:r>
                </w:p>
              </w:tc>
              <w:tc>
                <w:tcPr>
                  <w:tcW w:w="723" w:type="pct"/>
                  <w:tcBorders>
                    <w:tl2br w:val="nil"/>
                    <w:tr2bl w:val="nil"/>
                  </w:tcBorders>
                  <w:noWrap/>
                  <w:vAlign w:val="center"/>
                </w:tcPr>
                <w:p w14:paraId="5C7CFDDE">
                  <w:pPr>
                    <w:widowControl/>
                    <w:jc w:val="center"/>
                    <w:rPr>
                      <w:b/>
                      <w:kern w:val="0"/>
                      <w:sz w:val="21"/>
                      <w:szCs w:val="21"/>
                      <w:highlight w:val="none"/>
                    </w:rPr>
                  </w:pPr>
                  <w:r>
                    <w:rPr>
                      <w:b/>
                      <w:kern w:val="0"/>
                      <w:sz w:val="21"/>
                      <w:szCs w:val="21"/>
                      <w:highlight w:val="none"/>
                    </w:rPr>
                    <w:t>2.267</w:t>
                  </w:r>
                </w:p>
              </w:tc>
              <w:tc>
                <w:tcPr>
                  <w:tcW w:w="460" w:type="pct"/>
                  <w:tcBorders>
                    <w:tl2br w:val="nil"/>
                    <w:tr2bl w:val="nil"/>
                  </w:tcBorders>
                  <w:noWrap/>
                  <w:vAlign w:val="center"/>
                </w:tcPr>
                <w:p w14:paraId="4BAC9BD0">
                  <w:pPr>
                    <w:widowControl/>
                    <w:jc w:val="center"/>
                    <w:rPr>
                      <w:b/>
                      <w:kern w:val="0"/>
                      <w:sz w:val="21"/>
                      <w:szCs w:val="21"/>
                      <w:highlight w:val="none"/>
                    </w:rPr>
                  </w:pPr>
                  <w:r>
                    <w:rPr>
                      <w:b/>
                      <w:kern w:val="0"/>
                      <w:sz w:val="21"/>
                      <w:szCs w:val="21"/>
                      <w:highlight w:val="none"/>
                    </w:rPr>
                    <w:t>3.667</w:t>
                  </w:r>
                </w:p>
              </w:tc>
              <w:tc>
                <w:tcPr>
                  <w:tcW w:w="460" w:type="pct"/>
                  <w:tcBorders>
                    <w:tl2br w:val="nil"/>
                    <w:tr2bl w:val="nil"/>
                  </w:tcBorders>
                  <w:noWrap/>
                  <w:vAlign w:val="center"/>
                </w:tcPr>
                <w:p w14:paraId="14E70D1B">
                  <w:pPr>
                    <w:widowControl/>
                    <w:jc w:val="center"/>
                    <w:rPr>
                      <w:b/>
                      <w:kern w:val="0"/>
                      <w:sz w:val="21"/>
                      <w:szCs w:val="21"/>
                      <w:highlight w:val="none"/>
                    </w:rPr>
                  </w:pPr>
                  <w:r>
                    <w:rPr>
                      <w:b/>
                      <w:kern w:val="0"/>
                      <w:sz w:val="21"/>
                      <w:szCs w:val="21"/>
                      <w:highlight w:val="none"/>
                    </w:rPr>
                    <w:t>4.667</w:t>
                  </w:r>
                </w:p>
              </w:tc>
              <w:tc>
                <w:tcPr>
                  <w:tcW w:w="460" w:type="pct"/>
                  <w:tcBorders>
                    <w:tl2br w:val="nil"/>
                    <w:tr2bl w:val="nil"/>
                  </w:tcBorders>
                  <w:noWrap/>
                  <w:vAlign w:val="center"/>
                </w:tcPr>
                <w:p w14:paraId="3AEC2FD9">
                  <w:pPr>
                    <w:widowControl/>
                    <w:jc w:val="center"/>
                    <w:rPr>
                      <w:b/>
                      <w:kern w:val="0"/>
                      <w:sz w:val="21"/>
                      <w:szCs w:val="21"/>
                      <w:highlight w:val="none"/>
                    </w:rPr>
                  </w:pPr>
                  <w:r>
                    <w:rPr>
                      <w:b/>
                      <w:kern w:val="0"/>
                      <w:sz w:val="21"/>
                      <w:szCs w:val="21"/>
                      <w:highlight w:val="none"/>
                    </w:rPr>
                    <w:t>8.000</w:t>
                  </w:r>
                </w:p>
              </w:tc>
              <w:tc>
                <w:tcPr>
                  <w:tcW w:w="460" w:type="pct"/>
                  <w:tcBorders>
                    <w:tl2br w:val="nil"/>
                    <w:tr2bl w:val="nil"/>
                  </w:tcBorders>
                  <w:noWrap/>
                  <w:vAlign w:val="center"/>
                </w:tcPr>
                <w:p w14:paraId="2D0668DA">
                  <w:pPr>
                    <w:widowControl/>
                    <w:jc w:val="center"/>
                    <w:rPr>
                      <w:b/>
                      <w:kern w:val="0"/>
                      <w:sz w:val="21"/>
                      <w:szCs w:val="21"/>
                      <w:highlight w:val="none"/>
                    </w:rPr>
                  </w:pPr>
                  <w:r>
                    <w:rPr>
                      <w:b/>
                      <w:kern w:val="0"/>
                      <w:sz w:val="21"/>
                      <w:szCs w:val="21"/>
                      <w:highlight w:val="none"/>
                    </w:rPr>
                    <w:t>1.900</w:t>
                  </w:r>
                </w:p>
              </w:tc>
              <w:tc>
                <w:tcPr>
                  <w:tcW w:w="460" w:type="pct"/>
                  <w:tcBorders>
                    <w:tl2br w:val="nil"/>
                    <w:tr2bl w:val="nil"/>
                  </w:tcBorders>
                  <w:noWrap/>
                  <w:vAlign w:val="center"/>
                </w:tcPr>
                <w:p w14:paraId="44AC6F5C">
                  <w:pPr>
                    <w:widowControl/>
                    <w:jc w:val="center"/>
                    <w:rPr>
                      <w:b/>
                      <w:kern w:val="0"/>
                      <w:sz w:val="21"/>
                      <w:szCs w:val="21"/>
                      <w:highlight w:val="none"/>
                    </w:rPr>
                  </w:pPr>
                  <w:r>
                    <w:rPr>
                      <w:b/>
                      <w:kern w:val="0"/>
                      <w:sz w:val="21"/>
                      <w:szCs w:val="21"/>
                      <w:highlight w:val="none"/>
                    </w:rPr>
                    <w:t>18.000</w:t>
                  </w:r>
                </w:p>
              </w:tc>
              <w:tc>
                <w:tcPr>
                  <w:tcW w:w="457" w:type="pct"/>
                  <w:tcBorders>
                    <w:tl2br w:val="nil"/>
                    <w:tr2bl w:val="nil"/>
                  </w:tcBorders>
                  <w:noWrap/>
                  <w:vAlign w:val="center"/>
                </w:tcPr>
                <w:p w14:paraId="26EE8929">
                  <w:pPr>
                    <w:widowControl/>
                    <w:jc w:val="center"/>
                    <w:rPr>
                      <w:b/>
                      <w:kern w:val="0"/>
                      <w:sz w:val="21"/>
                      <w:szCs w:val="21"/>
                      <w:highlight w:val="none"/>
                    </w:rPr>
                  </w:pPr>
                  <w:r>
                    <w:rPr>
                      <w:b/>
                      <w:kern w:val="0"/>
                      <w:sz w:val="21"/>
                      <w:szCs w:val="21"/>
                      <w:highlight w:val="none"/>
                    </w:rPr>
                    <w:t>5.000</w:t>
                  </w:r>
                </w:p>
              </w:tc>
            </w:tr>
            <w:tr w14:paraId="264B2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28119C9F">
                  <w:pPr>
                    <w:widowControl/>
                    <w:jc w:val="center"/>
                    <w:rPr>
                      <w:kern w:val="0"/>
                      <w:sz w:val="21"/>
                      <w:szCs w:val="21"/>
                      <w:highlight w:val="none"/>
                    </w:rPr>
                  </w:pPr>
                  <w:r>
                    <w:rPr>
                      <w:kern w:val="0"/>
                      <w:sz w:val="21"/>
                      <w:szCs w:val="21"/>
                      <w:highlight w:val="none"/>
                    </w:rPr>
                    <w:t>4</w:t>
                  </w:r>
                </w:p>
              </w:tc>
              <w:tc>
                <w:tcPr>
                  <w:tcW w:w="1059" w:type="pct"/>
                  <w:tcBorders>
                    <w:tl2br w:val="nil"/>
                    <w:tr2bl w:val="nil"/>
                  </w:tcBorders>
                  <w:noWrap/>
                  <w:vAlign w:val="center"/>
                </w:tcPr>
                <w:p w14:paraId="1656805D">
                  <w:pPr>
                    <w:widowControl/>
                    <w:jc w:val="center"/>
                    <w:rPr>
                      <w:kern w:val="0"/>
                      <w:sz w:val="21"/>
                      <w:szCs w:val="21"/>
                      <w:highlight w:val="none"/>
                    </w:rPr>
                  </w:pPr>
                  <w:r>
                    <w:rPr>
                      <w:kern w:val="0"/>
                      <w:sz w:val="21"/>
                      <w:szCs w:val="21"/>
                      <w:highlight w:val="none"/>
                    </w:rPr>
                    <w:t>pH值</w:t>
                  </w:r>
                  <w:r>
                    <w:rPr>
                      <w:rFonts w:hint="eastAsia"/>
                      <w:kern w:val="0"/>
                      <w:sz w:val="21"/>
                      <w:szCs w:val="21"/>
                      <w:highlight w:val="none"/>
                      <w:lang w:eastAsia="zh-CN"/>
                    </w:rPr>
                    <w:t>（</w:t>
                  </w:r>
                  <w:r>
                    <w:rPr>
                      <w:kern w:val="0"/>
                      <w:sz w:val="21"/>
                      <w:szCs w:val="21"/>
                      <w:highlight w:val="none"/>
                    </w:rPr>
                    <w:t>无量纲）</w:t>
                  </w:r>
                </w:p>
              </w:tc>
              <w:tc>
                <w:tcPr>
                  <w:tcW w:w="723" w:type="pct"/>
                  <w:tcBorders>
                    <w:tl2br w:val="nil"/>
                    <w:tr2bl w:val="nil"/>
                  </w:tcBorders>
                  <w:noWrap/>
                  <w:vAlign w:val="center"/>
                </w:tcPr>
                <w:p w14:paraId="5AA16779">
                  <w:pPr>
                    <w:widowControl/>
                    <w:jc w:val="center"/>
                    <w:rPr>
                      <w:kern w:val="0"/>
                      <w:sz w:val="21"/>
                      <w:szCs w:val="21"/>
                      <w:highlight w:val="none"/>
                    </w:rPr>
                  </w:pPr>
                  <w:r>
                    <w:rPr>
                      <w:kern w:val="0"/>
                      <w:sz w:val="21"/>
                      <w:szCs w:val="21"/>
                      <w:highlight w:val="none"/>
                    </w:rPr>
                    <w:t>0.467</w:t>
                  </w:r>
                </w:p>
              </w:tc>
              <w:tc>
                <w:tcPr>
                  <w:tcW w:w="460" w:type="pct"/>
                  <w:tcBorders>
                    <w:tl2br w:val="nil"/>
                    <w:tr2bl w:val="nil"/>
                  </w:tcBorders>
                  <w:noWrap/>
                  <w:vAlign w:val="center"/>
                </w:tcPr>
                <w:p w14:paraId="2586E6D5">
                  <w:pPr>
                    <w:widowControl/>
                    <w:jc w:val="center"/>
                    <w:rPr>
                      <w:kern w:val="0"/>
                      <w:sz w:val="21"/>
                      <w:szCs w:val="21"/>
                      <w:highlight w:val="none"/>
                    </w:rPr>
                  </w:pPr>
                  <w:r>
                    <w:rPr>
                      <w:kern w:val="0"/>
                      <w:sz w:val="21"/>
                      <w:szCs w:val="21"/>
                      <w:highlight w:val="none"/>
                    </w:rPr>
                    <w:t>0.467</w:t>
                  </w:r>
                </w:p>
              </w:tc>
              <w:tc>
                <w:tcPr>
                  <w:tcW w:w="460" w:type="pct"/>
                  <w:tcBorders>
                    <w:tl2br w:val="nil"/>
                    <w:tr2bl w:val="nil"/>
                  </w:tcBorders>
                  <w:noWrap/>
                  <w:vAlign w:val="center"/>
                </w:tcPr>
                <w:p w14:paraId="47032508">
                  <w:pPr>
                    <w:widowControl/>
                    <w:jc w:val="center"/>
                    <w:rPr>
                      <w:kern w:val="0"/>
                      <w:sz w:val="21"/>
                      <w:szCs w:val="21"/>
                      <w:highlight w:val="none"/>
                    </w:rPr>
                  </w:pPr>
                  <w:r>
                    <w:rPr>
                      <w:kern w:val="0"/>
                      <w:sz w:val="21"/>
                      <w:szCs w:val="21"/>
                      <w:highlight w:val="none"/>
                    </w:rPr>
                    <w:t>0.600</w:t>
                  </w:r>
                </w:p>
              </w:tc>
              <w:tc>
                <w:tcPr>
                  <w:tcW w:w="460" w:type="pct"/>
                  <w:tcBorders>
                    <w:tl2br w:val="nil"/>
                    <w:tr2bl w:val="nil"/>
                  </w:tcBorders>
                  <w:noWrap/>
                  <w:vAlign w:val="center"/>
                </w:tcPr>
                <w:p w14:paraId="24C73B62">
                  <w:pPr>
                    <w:widowControl/>
                    <w:jc w:val="center"/>
                    <w:rPr>
                      <w:kern w:val="0"/>
                      <w:sz w:val="21"/>
                      <w:szCs w:val="21"/>
                      <w:highlight w:val="none"/>
                    </w:rPr>
                  </w:pPr>
                  <w:r>
                    <w:rPr>
                      <w:kern w:val="0"/>
                      <w:sz w:val="21"/>
                      <w:szCs w:val="21"/>
                      <w:highlight w:val="none"/>
                    </w:rPr>
                    <w:t>0.467</w:t>
                  </w:r>
                </w:p>
              </w:tc>
              <w:tc>
                <w:tcPr>
                  <w:tcW w:w="460" w:type="pct"/>
                  <w:tcBorders>
                    <w:tl2br w:val="nil"/>
                    <w:tr2bl w:val="nil"/>
                  </w:tcBorders>
                  <w:noWrap/>
                  <w:vAlign w:val="center"/>
                </w:tcPr>
                <w:p w14:paraId="4244ED8E">
                  <w:pPr>
                    <w:widowControl/>
                    <w:jc w:val="center"/>
                    <w:rPr>
                      <w:kern w:val="0"/>
                      <w:sz w:val="21"/>
                      <w:szCs w:val="21"/>
                      <w:highlight w:val="none"/>
                    </w:rPr>
                  </w:pPr>
                  <w:r>
                    <w:rPr>
                      <w:kern w:val="0"/>
                      <w:sz w:val="21"/>
                      <w:szCs w:val="21"/>
                      <w:highlight w:val="none"/>
                    </w:rPr>
                    <w:t>0.667</w:t>
                  </w:r>
                </w:p>
              </w:tc>
              <w:tc>
                <w:tcPr>
                  <w:tcW w:w="460" w:type="pct"/>
                  <w:tcBorders>
                    <w:tl2br w:val="nil"/>
                    <w:tr2bl w:val="nil"/>
                  </w:tcBorders>
                  <w:noWrap/>
                  <w:vAlign w:val="center"/>
                </w:tcPr>
                <w:p w14:paraId="0A765DEE">
                  <w:pPr>
                    <w:widowControl/>
                    <w:jc w:val="center"/>
                    <w:rPr>
                      <w:kern w:val="0"/>
                      <w:sz w:val="21"/>
                      <w:szCs w:val="21"/>
                      <w:highlight w:val="none"/>
                    </w:rPr>
                  </w:pPr>
                  <w:r>
                    <w:rPr>
                      <w:kern w:val="0"/>
                      <w:sz w:val="21"/>
                      <w:szCs w:val="21"/>
                      <w:highlight w:val="none"/>
                    </w:rPr>
                    <w:t>0.667</w:t>
                  </w:r>
                </w:p>
              </w:tc>
              <w:tc>
                <w:tcPr>
                  <w:tcW w:w="457" w:type="pct"/>
                  <w:tcBorders>
                    <w:tl2br w:val="nil"/>
                    <w:tr2bl w:val="nil"/>
                  </w:tcBorders>
                  <w:noWrap/>
                  <w:vAlign w:val="center"/>
                </w:tcPr>
                <w:p w14:paraId="7D298397">
                  <w:pPr>
                    <w:widowControl/>
                    <w:jc w:val="center"/>
                    <w:rPr>
                      <w:kern w:val="0"/>
                      <w:sz w:val="21"/>
                      <w:szCs w:val="21"/>
                      <w:highlight w:val="none"/>
                    </w:rPr>
                  </w:pPr>
                  <w:r>
                    <w:rPr>
                      <w:kern w:val="0"/>
                      <w:sz w:val="21"/>
                      <w:szCs w:val="21"/>
                      <w:highlight w:val="none"/>
                    </w:rPr>
                    <w:t>0.600</w:t>
                  </w:r>
                </w:p>
              </w:tc>
            </w:tr>
            <w:tr w14:paraId="6961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4F711889">
                  <w:pPr>
                    <w:widowControl/>
                    <w:jc w:val="center"/>
                    <w:rPr>
                      <w:kern w:val="0"/>
                      <w:sz w:val="21"/>
                      <w:szCs w:val="21"/>
                      <w:highlight w:val="none"/>
                    </w:rPr>
                  </w:pPr>
                  <w:r>
                    <w:rPr>
                      <w:kern w:val="0"/>
                      <w:sz w:val="21"/>
                      <w:szCs w:val="21"/>
                      <w:highlight w:val="none"/>
                    </w:rPr>
                    <w:t>5</w:t>
                  </w:r>
                </w:p>
              </w:tc>
              <w:tc>
                <w:tcPr>
                  <w:tcW w:w="1059" w:type="pct"/>
                  <w:tcBorders>
                    <w:tl2br w:val="nil"/>
                    <w:tr2bl w:val="nil"/>
                  </w:tcBorders>
                  <w:noWrap/>
                  <w:vAlign w:val="center"/>
                </w:tcPr>
                <w:p w14:paraId="41C0A25D">
                  <w:pPr>
                    <w:widowControl/>
                    <w:jc w:val="center"/>
                    <w:rPr>
                      <w:kern w:val="0"/>
                      <w:sz w:val="21"/>
                      <w:szCs w:val="21"/>
                      <w:highlight w:val="none"/>
                    </w:rPr>
                  </w:pPr>
                  <w:r>
                    <w:rPr>
                      <w:kern w:val="0"/>
                      <w:sz w:val="21"/>
                      <w:szCs w:val="21"/>
                      <w:highlight w:val="none"/>
                    </w:rPr>
                    <w:t>肉眼可见物</w:t>
                  </w:r>
                </w:p>
              </w:tc>
              <w:tc>
                <w:tcPr>
                  <w:tcW w:w="723" w:type="pct"/>
                  <w:tcBorders>
                    <w:tl2br w:val="nil"/>
                    <w:tr2bl w:val="nil"/>
                  </w:tcBorders>
                  <w:noWrap/>
                  <w:vAlign w:val="center"/>
                </w:tcPr>
                <w:p w14:paraId="1F96A88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93E82E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AB334F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970169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4BDF19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6ECDE92">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175EA877">
                  <w:pPr>
                    <w:widowControl/>
                    <w:jc w:val="center"/>
                    <w:rPr>
                      <w:kern w:val="0"/>
                      <w:sz w:val="21"/>
                      <w:szCs w:val="21"/>
                      <w:highlight w:val="none"/>
                    </w:rPr>
                  </w:pPr>
                  <w:r>
                    <w:rPr>
                      <w:kern w:val="0"/>
                      <w:sz w:val="21"/>
                      <w:szCs w:val="21"/>
                      <w:highlight w:val="none"/>
                    </w:rPr>
                    <w:t>/</w:t>
                  </w:r>
                </w:p>
              </w:tc>
            </w:tr>
            <w:tr w14:paraId="0D8EE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525B4F79">
                  <w:pPr>
                    <w:widowControl/>
                    <w:jc w:val="center"/>
                    <w:rPr>
                      <w:kern w:val="0"/>
                      <w:sz w:val="21"/>
                      <w:szCs w:val="21"/>
                      <w:highlight w:val="none"/>
                    </w:rPr>
                  </w:pPr>
                  <w:r>
                    <w:rPr>
                      <w:kern w:val="0"/>
                      <w:sz w:val="21"/>
                      <w:szCs w:val="21"/>
                      <w:highlight w:val="none"/>
                    </w:rPr>
                    <w:t>6</w:t>
                  </w:r>
                </w:p>
              </w:tc>
              <w:tc>
                <w:tcPr>
                  <w:tcW w:w="1059" w:type="pct"/>
                  <w:tcBorders>
                    <w:tl2br w:val="nil"/>
                    <w:tr2bl w:val="nil"/>
                  </w:tcBorders>
                  <w:noWrap/>
                  <w:vAlign w:val="center"/>
                </w:tcPr>
                <w:p w14:paraId="2728BEA7">
                  <w:pPr>
                    <w:widowControl/>
                    <w:jc w:val="center"/>
                    <w:rPr>
                      <w:kern w:val="0"/>
                      <w:sz w:val="21"/>
                      <w:szCs w:val="21"/>
                      <w:highlight w:val="none"/>
                    </w:rPr>
                  </w:pPr>
                  <w:r>
                    <w:rPr>
                      <w:kern w:val="0"/>
                      <w:sz w:val="21"/>
                      <w:szCs w:val="21"/>
                      <w:highlight w:val="none"/>
                    </w:rPr>
                    <w:t>臭和味</w:t>
                  </w:r>
                </w:p>
              </w:tc>
              <w:tc>
                <w:tcPr>
                  <w:tcW w:w="723" w:type="pct"/>
                  <w:tcBorders>
                    <w:tl2br w:val="nil"/>
                    <w:tr2bl w:val="nil"/>
                  </w:tcBorders>
                  <w:noWrap/>
                  <w:vAlign w:val="center"/>
                </w:tcPr>
                <w:p w14:paraId="6FC18DC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A7E7E4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4C7550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A87F4A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539923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578324D">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3FB6B121">
                  <w:pPr>
                    <w:widowControl/>
                    <w:jc w:val="center"/>
                    <w:rPr>
                      <w:kern w:val="0"/>
                      <w:sz w:val="21"/>
                      <w:szCs w:val="21"/>
                      <w:highlight w:val="none"/>
                    </w:rPr>
                  </w:pPr>
                  <w:r>
                    <w:rPr>
                      <w:kern w:val="0"/>
                      <w:sz w:val="21"/>
                      <w:szCs w:val="21"/>
                      <w:highlight w:val="none"/>
                    </w:rPr>
                    <w:t>/</w:t>
                  </w:r>
                </w:p>
              </w:tc>
            </w:tr>
            <w:tr w14:paraId="4135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73B56D6A">
                  <w:pPr>
                    <w:widowControl/>
                    <w:jc w:val="center"/>
                    <w:rPr>
                      <w:kern w:val="0"/>
                      <w:sz w:val="21"/>
                      <w:szCs w:val="21"/>
                      <w:highlight w:val="none"/>
                    </w:rPr>
                  </w:pPr>
                  <w:r>
                    <w:rPr>
                      <w:kern w:val="0"/>
                      <w:sz w:val="21"/>
                      <w:szCs w:val="21"/>
                      <w:highlight w:val="none"/>
                    </w:rPr>
                    <w:t>7</w:t>
                  </w:r>
                </w:p>
              </w:tc>
              <w:tc>
                <w:tcPr>
                  <w:tcW w:w="1059" w:type="pct"/>
                  <w:tcBorders>
                    <w:tl2br w:val="nil"/>
                    <w:tr2bl w:val="nil"/>
                  </w:tcBorders>
                  <w:noWrap/>
                  <w:vAlign w:val="center"/>
                </w:tcPr>
                <w:p w14:paraId="271314EF">
                  <w:pPr>
                    <w:widowControl/>
                    <w:jc w:val="center"/>
                    <w:rPr>
                      <w:rFonts w:hint="eastAsia" w:eastAsia="宋体"/>
                      <w:kern w:val="0"/>
                      <w:sz w:val="21"/>
                      <w:szCs w:val="21"/>
                      <w:highlight w:val="none"/>
                      <w:lang w:eastAsia="zh-CN"/>
                    </w:rPr>
                  </w:pPr>
                  <w:r>
                    <w:rPr>
                      <w:kern w:val="0"/>
                      <w:sz w:val="21"/>
                      <w:szCs w:val="21"/>
                      <w:highlight w:val="none"/>
                    </w:rPr>
                    <w:t>溶解性总固体</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50FF4D85">
                  <w:pPr>
                    <w:widowControl/>
                    <w:jc w:val="center"/>
                    <w:rPr>
                      <w:b/>
                      <w:kern w:val="0"/>
                      <w:sz w:val="21"/>
                      <w:szCs w:val="21"/>
                      <w:highlight w:val="none"/>
                    </w:rPr>
                  </w:pPr>
                  <w:r>
                    <w:rPr>
                      <w:b/>
                      <w:kern w:val="0"/>
                      <w:sz w:val="21"/>
                      <w:szCs w:val="21"/>
                      <w:highlight w:val="none"/>
                    </w:rPr>
                    <w:t>1.950</w:t>
                  </w:r>
                </w:p>
              </w:tc>
              <w:tc>
                <w:tcPr>
                  <w:tcW w:w="460" w:type="pct"/>
                  <w:tcBorders>
                    <w:tl2br w:val="nil"/>
                    <w:tr2bl w:val="nil"/>
                  </w:tcBorders>
                  <w:noWrap/>
                  <w:vAlign w:val="center"/>
                </w:tcPr>
                <w:p w14:paraId="7C677E1F">
                  <w:pPr>
                    <w:widowControl/>
                    <w:jc w:val="center"/>
                    <w:rPr>
                      <w:b/>
                      <w:kern w:val="0"/>
                      <w:sz w:val="21"/>
                      <w:szCs w:val="21"/>
                      <w:highlight w:val="none"/>
                    </w:rPr>
                  </w:pPr>
                  <w:r>
                    <w:rPr>
                      <w:b/>
                      <w:kern w:val="0"/>
                      <w:sz w:val="21"/>
                      <w:szCs w:val="21"/>
                      <w:highlight w:val="none"/>
                    </w:rPr>
                    <w:t>2.230</w:t>
                  </w:r>
                </w:p>
              </w:tc>
              <w:tc>
                <w:tcPr>
                  <w:tcW w:w="460" w:type="pct"/>
                  <w:tcBorders>
                    <w:tl2br w:val="nil"/>
                    <w:tr2bl w:val="nil"/>
                  </w:tcBorders>
                  <w:noWrap/>
                  <w:vAlign w:val="center"/>
                </w:tcPr>
                <w:p w14:paraId="452BD0CB">
                  <w:pPr>
                    <w:widowControl/>
                    <w:jc w:val="center"/>
                    <w:rPr>
                      <w:kern w:val="0"/>
                      <w:sz w:val="21"/>
                      <w:szCs w:val="21"/>
                      <w:highlight w:val="none"/>
                    </w:rPr>
                  </w:pPr>
                  <w:r>
                    <w:rPr>
                      <w:kern w:val="0"/>
                      <w:sz w:val="21"/>
                      <w:szCs w:val="21"/>
                      <w:highlight w:val="none"/>
                    </w:rPr>
                    <w:t>0.926</w:t>
                  </w:r>
                </w:p>
              </w:tc>
              <w:tc>
                <w:tcPr>
                  <w:tcW w:w="460" w:type="pct"/>
                  <w:tcBorders>
                    <w:tl2br w:val="nil"/>
                    <w:tr2bl w:val="nil"/>
                  </w:tcBorders>
                  <w:noWrap/>
                  <w:vAlign w:val="center"/>
                </w:tcPr>
                <w:p w14:paraId="641C9C30">
                  <w:pPr>
                    <w:widowControl/>
                    <w:jc w:val="center"/>
                    <w:rPr>
                      <w:b/>
                      <w:kern w:val="0"/>
                      <w:sz w:val="21"/>
                      <w:szCs w:val="21"/>
                      <w:highlight w:val="none"/>
                    </w:rPr>
                  </w:pPr>
                  <w:r>
                    <w:rPr>
                      <w:b/>
                      <w:kern w:val="0"/>
                      <w:sz w:val="21"/>
                      <w:szCs w:val="21"/>
                      <w:highlight w:val="none"/>
                    </w:rPr>
                    <w:t>2.270</w:t>
                  </w:r>
                </w:p>
              </w:tc>
              <w:tc>
                <w:tcPr>
                  <w:tcW w:w="460" w:type="pct"/>
                  <w:tcBorders>
                    <w:tl2br w:val="nil"/>
                    <w:tr2bl w:val="nil"/>
                  </w:tcBorders>
                  <w:noWrap/>
                  <w:vAlign w:val="center"/>
                </w:tcPr>
                <w:p w14:paraId="2021E8B2">
                  <w:pPr>
                    <w:widowControl/>
                    <w:jc w:val="center"/>
                    <w:rPr>
                      <w:b/>
                      <w:kern w:val="0"/>
                      <w:sz w:val="21"/>
                      <w:szCs w:val="21"/>
                      <w:highlight w:val="none"/>
                    </w:rPr>
                  </w:pPr>
                  <w:r>
                    <w:rPr>
                      <w:b/>
                      <w:kern w:val="0"/>
                      <w:sz w:val="21"/>
                      <w:szCs w:val="21"/>
                      <w:highlight w:val="none"/>
                    </w:rPr>
                    <w:t>2.210</w:t>
                  </w:r>
                </w:p>
              </w:tc>
              <w:tc>
                <w:tcPr>
                  <w:tcW w:w="460" w:type="pct"/>
                  <w:tcBorders>
                    <w:tl2br w:val="nil"/>
                    <w:tr2bl w:val="nil"/>
                  </w:tcBorders>
                  <w:noWrap/>
                  <w:vAlign w:val="center"/>
                </w:tcPr>
                <w:p w14:paraId="635AD09C">
                  <w:pPr>
                    <w:widowControl/>
                    <w:jc w:val="center"/>
                    <w:rPr>
                      <w:b/>
                      <w:kern w:val="0"/>
                      <w:sz w:val="21"/>
                      <w:szCs w:val="21"/>
                      <w:highlight w:val="none"/>
                    </w:rPr>
                  </w:pPr>
                  <w:r>
                    <w:rPr>
                      <w:b/>
                      <w:kern w:val="0"/>
                      <w:sz w:val="21"/>
                      <w:szCs w:val="21"/>
                      <w:highlight w:val="none"/>
                    </w:rPr>
                    <w:t>2.450</w:t>
                  </w:r>
                </w:p>
              </w:tc>
              <w:tc>
                <w:tcPr>
                  <w:tcW w:w="457" w:type="pct"/>
                  <w:tcBorders>
                    <w:tl2br w:val="nil"/>
                    <w:tr2bl w:val="nil"/>
                  </w:tcBorders>
                  <w:noWrap/>
                  <w:vAlign w:val="center"/>
                </w:tcPr>
                <w:p w14:paraId="2CEB7A24">
                  <w:pPr>
                    <w:widowControl/>
                    <w:jc w:val="center"/>
                    <w:rPr>
                      <w:b/>
                      <w:kern w:val="0"/>
                      <w:sz w:val="21"/>
                      <w:szCs w:val="21"/>
                      <w:highlight w:val="none"/>
                    </w:rPr>
                  </w:pPr>
                  <w:r>
                    <w:rPr>
                      <w:b/>
                      <w:kern w:val="0"/>
                      <w:sz w:val="21"/>
                      <w:szCs w:val="21"/>
                      <w:highlight w:val="none"/>
                    </w:rPr>
                    <w:t>1.520</w:t>
                  </w:r>
                </w:p>
              </w:tc>
            </w:tr>
            <w:tr w14:paraId="7114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3B046C3E">
                  <w:pPr>
                    <w:widowControl/>
                    <w:jc w:val="center"/>
                    <w:rPr>
                      <w:kern w:val="0"/>
                      <w:sz w:val="21"/>
                      <w:szCs w:val="21"/>
                      <w:highlight w:val="none"/>
                    </w:rPr>
                  </w:pPr>
                  <w:r>
                    <w:rPr>
                      <w:kern w:val="0"/>
                      <w:sz w:val="21"/>
                      <w:szCs w:val="21"/>
                      <w:highlight w:val="none"/>
                    </w:rPr>
                    <w:t>8</w:t>
                  </w:r>
                </w:p>
              </w:tc>
              <w:tc>
                <w:tcPr>
                  <w:tcW w:w="1059" w:type="pct"/>
                  <w:tcBorders>
                    <w:tl2br w:val="nil"/>
                    <w:tr2bl w:val="nil"/>
                  </w:tcBorders>
                  <w:noWrap/>
                  <w:vAlign w:val="center"/>
                </w:tcPr>
                <w:p w14:paraId="0FC74F5C">
                  <w:pPr>
                    <w:widowControl/>
                    <w:jc w:val="center"/>
                    <w:rPr>
                      <w:rFonts w:hint="eastAsia" w:eastAsia="宋体"/>
                      <w:kern w:val="0"/>
                      <w:sz w:val="21"/>
                      <w:szCs w:val="21"/>
                      <w:highlight w:val="none"/>
                      <w:lang w:eastAsia="zh-CN"/>
                    </w:rPr>
                  </w:pPr>
                  <w:r>
                    <w:rPr>
                      <w:kern w:val="0"/>
                      <w:sz w:val="21"/>
                      <w:szCs w:val="21"/>
                      <w:highlight w:val="none"/>
                    </w:rPr>
                    <w:t>铁</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5979EE8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18393C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6589F8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0461209">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5B98AE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980C932">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73E109AF">
                  <w:pPr>
                    <w:widowControl/>
                    <w:jc w:val="center"/>
                    <w:rPr>
                      <w:kern w:val="0"/>
                      <w:sz w:val="21"/>
                      <w:szCs w:val="21"/>
                      <w:highlight w:val="none"/>
                    </w:rPr>
                  </w:pPr>
                  <w:r>
                    <w:rPr>
                      <w:kern w:val="0"/>
                      <w:sz w:val="21"/>
                      <w:szCs w:val="21"/>
                      <w:highlight w:val="none"/>
                    </w:rPr>
                    <w:t>/</w:t>
                  </w:r>
                </w:p>
              </w:tc>
            </w:tr>
            <w:tr w14:paraId="20BE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0DB491C5">
                  <w:pPr>
                    <w:widowControl/>
                    <w:jc w:val="center"/>
                    <w:rPr>
                      <w:kern w:val="0"/>
                      <w:sz w:val="21"/>
                      <w:szCs w:val="21"/>
                      <w:highlight w:val="none"/>
                    </w:rPr>
                  </w:pPr>
                  <w:r>
                    <w:rPr>
                      <w:kern w:val="0"/>
                      <w:sz w:val="21"/>
                      <w:szCs w:val="21"/>
                      <w:highlight w:val="none"/>
                    </w:rPr>
                    <w:t>9</w:t>
                  </w:r>
                </w:p>
              </w:tc>
              <w:tc>
                <w:tcPr>
                  <w:tcW w:w="1059" w:type="pct"/>
                  <w:tcBorders>
                    <w:tl2br w:val="nil"/>
                    <w:tr2bl w:val="nil"/>
                  </w:tcBorders>
                  <w:noWrap/>
                  <w:vAlign w:val="center"/>
                </w:tcPr>
                <w:p w14:paraId="36140ABA">
                  <w:pPr>
                    <w:widowControl/>
                    <w:jc w:val="center"/>
                    <w:rPr>
                      <w:rFonts w:hint="eastAsia" w:eastAsia="宋体"/>
                      <w:kern w:val="0"/>
                      <w:sz w:val="21"/>
                      <w:szCs w:val="21"/>
                      <w:highlight w:val="none"/>
                      <w:lang w:eastAsia="zh-CN"/>
                    </w:rPr>
                  </w:pPr>
                  <w:r>
                    <w:rPr>
                      <w:kern w:val="0"/>
                      <w:sz w:val="21"/>
                      <w:szCs w:val="21"/>
                      <w:highlight w:val="none"/>
                    </w:rPr>
                    <w:t>铜</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0E15275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3CC2E8A">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44B119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A4CEC7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2B9994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7A0E4E6">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32975244">
                  <w:pPr>
                    <w:widowControl/>
                    <w:jc w:val="center"/>
                    <w:rPr>
                      <w:kern w:val="0"/>
                      <w:sz w:val="21"/>
                      <w:szCs w:val="21"/>
                      <w:highlight w:val="none"/>
                    </w:rPr>
                  </w:pPr>
                  <w:r>
                    <w:rPr>
                      <w:kern w:val="0"/>
                      <w:sz w:val="21"/>
                      <w:szCs w:val="21"/>
                      <w:highlight w:val="none"/>
                    </w:rPr>
                    <w:t>/</w:t>
                  </w:r>
                </w:p>
              </w:tc>
            </w:tr>
            <w:tr w14:paraId="4356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00889EC7">
                  <w:pPr>
                    <w:widowControl/>
                    <w:jc w:val="center"/>
                    <w:rPr>
                      <w:kern w:val="0"/>
                      <w:sz w:val="21"/>
                      <w:szCs w:val="21"/>
                      <w:highlight w:val="none"/>
                    </w:rPr>
                  </w:pPr>
                  <w:r>
                    <w:rPr>
                      <w:kern w:val="0"/>
                      <w:sz w:val="21"/>
                      <w:szCs w:val="21"/>
                      <w:highlight w:val="none"/>
                    </w:rPr>
                    <w:t>10</w:t>
                  </w:r>
                </w:p>
              </w:tc>
              <w:tc>
                <w:tcPr>
                  <w:tcW w:w="1059" w:type="pct"/>
                  <w:tcBorders>
                    <w:tl2br w:val="nil"/>
                    <w:tr2bl w:val="nil"/>
                  </w:tcBorders>
                  <w:noWrap/>
                  <w:vAlign w:val="center"/>
                </w:tcPr>
                <w:p w14:paraId="1BE72370">
                  <w:pPr>
                    <w:widowControl/>
                    <w:jc w:val="center"/>
                    <w:rPr>
                      <w:rFonts w:hint="eastAsia" w:eastAsia="宋体"/>
                      <w:kern w:val="0"/>
                      <w:sz w:val="21"/>
                      <w:szCs w:val="21"/>
                      <w:highlight w:val="none"/>
                      <w:lang w:eastAsia="zh-CN"/>
                    </w:rPr>
                  </w:pPr>
                  <w:r>
                    <w:rPr>
                      <w:kern w:val="0"/>
                      <w:sz w:val="21"/>
                      <w:szCs w:val="21"/>
                      <w:highlight w:val="none"/>
                    </w:rPr>
                    <w:t>锰</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2B2377F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3D1F16F">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9FBA9E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E5DE0AD">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379CD5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6C91DBC">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293DDD9E">
                  <w:pPr>
                    <w:widowControl/>
                    <w:jc w:val="center"/>
                    <w:rPr>
                      <w:kern w:val="0"/>
                      <w:sz w:val="21"/>
                      <w:szCs w:val="21"/>
                      <w:highlight w:val="none"/>
                    </w:rPr>
                  </w:pPr>
                  <w:r>
                    <w:rPr>
                      <w:kern w:val="0"/>
                      <w:sz w:val="21"/>
                      <w:szCs w:val="21"/>
                      <w:highlight w:val="none"/>
                    </w:rPr>
                    <w:t>/</w:t>
                  </w:r>
                </w:p>
              </w:tc>
            </w:tr>
            <w:tr w14:paraId="3FB7E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3848F0FE">
                  <w:pPr>
                    <w:widowControl/>
                    <w:jc w:val="center"/>
                    <w:rPr>
                      <w:kern w:val="0"/>
                      <w:sz w:val="21"/>
                      <w:szCs w:val="21"/>
                      <w:highlight w:val="none"/>
                    </w:rPr>
                  </w:pPr>
                  <w:r>
                    <w:rPr>
                      <w:kern w:val="0"/>
                      <w:sz w:val="21"/>
                      <w:szCs w:val="21"/>
                      <w:highlight w:val="none"/>
                    </w:rPr>
                    <w:t>11</w:t>
                  </w:r>
                </w:p>
              </w:tc>
              <w:tc>
                <w:tcPr>
                  <w:tcW w:w="1059" w:type="pct"/>
                  <w:tcBorders>
                    <w:tl2br w:val="nil"/>
                    <w:tr2bl w:val="nil"/>
                  </w:tcBorders>
                  <w:noWrap/>
                  <w:vAlign w:val="center"/>
                </w:tcPr>
                <w:p w14:paraId="71550E06">
                  <w:pPr>
                    <w:widowControl/>
                    <w:jc w:val="center"/>
                    <w:rPr>
                      <w:rFonts w:hint="eastAsia" w:eastAsia="宋体"/>
                      <w:kern w:val="0"/>
                      <w:sz w:val="21"/>
                      <w:szCs w:val="21"/>
                      <w:highlight w:val="none"/>
                      <w:lang w:eastAsia="zh-CN"/>
                    </w:rPr>
                  </w:pPr>
                  <w:r>
                    <w:rPr>
                      <w:kern w:val="0"/>
                      <w:sz w:val="21"/>
                      <w:szCs w:val="21"/>
                      <w:highlight w:val="none"/>
                    </w:rPr>
                    <w:t>锌</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6693A29A">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591530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7925D2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33EB9D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1BAFE4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23B79DD">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1DFF1B5E">
                  <w:pPr>
                    <w:widowControl/>
                    <w:jc w:val="center"/>
                    <w:rPr>
                      <w:kern w:val="0"/>
                      <w:sz w:val="21"/>
                      <w:szCs w:val="21"/>
                      <w:highlight w:val="none"/>
                    </w:rPr>
                  </w:pPr>
                  <w:r>
                    <w:rPr>
                      <w:kern w:val="0"/>
                      <w:sz w:val="21"/>
                      <w:szCs w:val="21"/>
                      <w:highlight w:val="none"/>
                    </w:rPr>
                    <w:t>/</w:t>
                  </w:r>
                </w:p>
              </w:tc>
            </w:tr>
            <w:tr w14:paraId="6A7F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667398FD">
                  <w:pPr>
                    <w:widowControl/>
                    <w:jc w:val="center"/>
                    <w:rPr>
                      <w:kern w:val="0"/>
                      <w:sz w:val="21"/>
                      <w:szCs w:val="21"/>
                      <w:highlight w:val="none"/>
                    </w:rPr>
                  </w:pPr>
                  <w:r>
                    <w:rPr>
                      <w:kern w:val="0"/>
                      <w:sz w:val="21"/>
                      <w:szCs w:val="21"/>
                      <w:highlight w:val="none"/>
                    </w:rPr>
                    <w:t>12</w:t>
                  </w:r>
                </w:p>
              </w:tc>
              <w:tc>
                <w:tcPr>
                  <w:tcW w:w="1059" w:type="pct"/>
                  <w:tcBorders>
                    <w:tl2br w:val="nil"/>
                    <w:tr2bl w:val="nil"/>
                  </w:tcBorders>
                  <w:noWrap/>
                  <w:vAlign w:val="center"/>
                </w:tcPr>
                <w:p w14:paraId="4A264539">
                  <w:pPr>
                    <w:widowControl/>
                    <w:jc w:val="center"/>
                    <w:rPr>
                      <w:rFonts w:hint="eastAsia" w:eastAsia="宋体"/>
                      <w:kern w:val="0"/>
                      <w:sz w:val="21"/>
                      <w:szCs w:val="21"/>
                      <w:highlight w:val="none"/>
                      <w:lang w:eastAsia="zh-CN"/>
                    </w:rPr>
                  </w:pPr>
                  <w:r>
                    <w:rPr>
                      <w:kern w:val="0"/>
                      <w:sz w:val="21"/>
                      <w:szCs w:val="21"/>
                      <w:highlight w:val="none"/>
                    </w:rPr>
                    <w:t>铝</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05F4B2A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19500F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529E91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D974D1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EE0DDE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D275C6E">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611A4A31">
                  <w:pPr>
                    <w:widowControl/>
                    <w:jc w:val="center"/>
                    <w:rPr>
                      <w:kern w:val="0"/>
                      <w:sz w:val="21"/>
                      <w:szCs w:val="21"/>
                      <w:highlight w:val="none"/>
                    </w:rPr>
                  </w:pPr>
                  <w:r>
                    <w:rPr>
                      <w:kern w:val="0"/>
                      <w:sz w:val="21"/>
                      <w:szCs w:val="21"/>
                      <w:highlight w:val="none"/>
                    </w:rPr>
                    <w:t>/</w:t>
                  </w:r>
                </w:p>
              </w:tc>
            </w:tr>
            <w:tr w14:paraId="6AE1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3F75BC43">
                  <w:pPr>
                    <w:widowControl/>
                    <w:jc w:val="center"/>
                    <w:rPr>
                      <w:kern w:val="0"/>
                      <w:sz w:val="21"/>
                      <w:szCs w:val="21"/>
                      <w:highlight w:val="none"/>
                    </w:rPr>
                  </w:pPr>
                  <w:r>
                    <w:rPr>
                      <w:kern w:val="0"/>
                      <w:sz w:val="21"/>
                      <w:szCs w:val="21"/>
                      <w:highlight w:val="none"/>
                    </w:rPr>
                    <w:t>13</w:t>
                  </w:r>
                </w:p>
              </w:tc>
              <w:tc>
                <w:tcPr>
                  <w:tcW w:w="1059" w:type="pct"/>
                  <w:tcBorders>
                    <w:tl2br w:val="nil"/>
                    <w:tr2bl w:val="nil"/>
                  </w:tcBorders>
                  <w:noWrap/>
                  <w:vAlign w:val="center"/>
                </w:tcPr>
                <w:p w14:paraId="2EC550E5">
                  <w:pPr>
                    <w:widowControl/>
                    <w:jc w:val="center"/>
                    <w:rPr>
                      <w:rFonts w:hint="eastAsia" w:eastAsia="宋体"/>
                      <w:kern w:val="0"/>
                      <w:sz w:val="21"/>
                      <w:szCs w:val="21"/>
                      <w:highlight w:val="none"/>
                      <w:lang w:eastAsia="zh-CN"/>
                    </w:rPr>
                  </w:pPr>
                  <w:r>
                    <w:rPr>
                      <w:kern w:val="0"/>
                      <w:sz w:val="21"/>
                      <w:szCs w:val="21"/>
                      <w:highlight w:val="none"/>
                    </w:rPr>
                    <w:t>阴离子表面活性剂</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7F3DA34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B58C15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636BE89">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5790CD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CCE621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F85067E">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5D7A935">
                  <w:pPr>
                    <w:widowControl/>
                    <w:jc w:val="center"/>
                    <w:rPr>
                      <w:kern w:val="0"/>
                      <w:sz w:val="21"/>
                      <w:szCs w:val="21"/>
                      <w:highlight w:val="none"/>
                    </w:rPr>
                  </w:pPr>
                  <w:r>
                    <w:rPr>
                      <w:kern w:val="0"/>
                      <w:sz w:val="21"/>
                      <w:szCs w:val="21"/>
                      <w:highlight w:val="none"/>
                    </w:rPr>
                    <w:t>/</w:t>
                  </w:r>
                </w:p>
              </w:tc>
            </w:tr>
            <w:tr w14:paraId="1033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049C9AF7">
                  <w:pPr>
                    <w:widowControl/>
                    <w:jc w:val="center"/>
                    <w:rPr>
                      <w:kern w:val="0"/>
                      <w:sz w:val="21"/>
                      <w:szCs w:val="21"/>
                      <w:highlight w:val="none"/>
                    </w:rPr>
                  </w:pPr>
                  <w:r>
                    <w:rPr>
                      <w:kern w:val="0"/>
                      <w:sz w:val="21"/>
                      <w:szCs w:val="21"/>
                      <w:highlight w:val="none"/>
                    </w:rPr>
                    <w:t>14</w:t>
                  </w:r>
                </w:p>
              </w:tc>
              <w:tc>
                <w:tcPr>
                  <w:tcW w:w="1059" w:type="pct"/>
                  <w:tcBorders>
                    <w:tl2br w:val="nil"/>
                    <w:tr2bl w:val="nil"/>
                  </w:tcBorders>
                  <w:noWrap/>
                  <w:vAlign w:val="center"/>
                </w:tcPr>
                <w:p w14:paraId="1D4A79DA">
                  <w:pPr>
                    <w:widowControl/>
                    <w:jc w:val="center"/>
                    <w:rPr>
                      <w:rFonts w:hint="eastAsia" w:eastAsia="宋体"/>
                      <w:kern w:val="0"/>
                      <w:sz w:val="21"/>
                      <w:szCs w:val="21"/>
                      <w:highlight w:val="none"/>
                      <w:lang w:eastAsia="zh-CN"/>
                    </w:rPr>
                  </w:pPr>
                  <w:r>
                    <w:rPr>
                      <w:kern w:val="0"/>
                      <w:sz w:val="21"/>
                      <w:szCs w:val="21"/>
                      <w:highlight w:val="none"/>
                    </w:rPr>
                    <w:t>挥发酚</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6AD63A7A">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86EF57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25B008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2EB306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9C3038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8AFFC34">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70D9360C">
                  <w:pPr>
                    <w:widowControl/>
                    <w:jc w:val="center"/>
                    <w:rPr>
                      <w:kern w:val="0"/>
                      <w:sz w:val="21"/>
                      <w:szCs w:val="21"/>
                      <w:highlight w:val="none"/>
                    </w:rPr>
                  </w:pPr>
                  <w:r>
                    <w:rPr>
                      <w:kern w:val="0"/>
                      <w:sz w:val="21"/>
                      <w:szCs w:val="21"/>
                      <w:highlight w:val="none"/>
                    </w:rPr>
                    <w:t>/</w:t>
                  </w:r>
                </w:p>
              </w:tc>
            </w:tr>
            <w:tr w14:paraId="1942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550513B8">
                  <w:pPr>
                    <w:widowControl/>
                    <w:jc w:val="center"/>
                    <w:rPr>
                      <w:kern w:val="0"/>
                      <w:sz w:val="21"/>
                      <w:szCs w:val="21"/>
                      <w:highlight w:val="none"/>
                    </w:rPr>
                  </w:pPr>
                  <w:r>
                    <w:rPr>
                      <w:kern w:val="0"/>
                      <w:sz w:val="21"/>
                      <w:szCs w:val="21"/>
                      <w:highlight w:val="none"/>
                    </w:rPr>
                    <w:t>15</w:t>
                  </w:r>
                </w:p>
              </w:tc>
              <w:tc>
                <w:tcPr>
                  <w:tcW w:w="1059" w:type="pct"/>
                  <w:tcBorders>
                    <w:tl2br w:val="nil"/>
                    <w:tr2bl w:val="nil"/>
                  </w:tcBorders>
                  <w:noWrap/>
                  <w:vAlign w:val="center"/>
                </w:tcPr>
                <w:p w14:paraId="57BFBEEA">
                  <w:pPr>
                    <w:widowControl/>
                    <w:jc w:val="center"/>
                    <w:rPr>
                      <w:rFonts w:hint="eastAsia" w:eastAsia="宋体"/>
                      <w:kern w:val="0"/>
                      <w:sz w:val="21"/>
                      <w:szCs w:val="21"/>
                      <w:highlight w:val="none"/>
                      <w:lang w:eastAsia="zh-CN"/>
                    </w:rPr>
                  </w:pPr>
                  <w:r>
                    <w:rPr>
                      <w:kern w:val="0"/>
                      <w:sz w:val="21"/>
                      <w:szCs w:val="21"/>
                      <w:highlight w:val="none"/>
                    </w:rPr>
                    <w:t>五日生化需氧量</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7F9EC9CB">
                  <w:pPr>
                    <w:widowControl/>
                    <w:jc w:val="center"/>
                    <w:rPr>
                      <w:kern w:val="0"/>
                      <w:sz w:val="21"/>
                      <w:szCs w:val="21"/>
                      <w:highlight w:val="none"/>
                    </w:rPr>
                  </w:pPr>
                  <w:r>
                    <w:rPr>
                      <w:kern w:val="0"/>
                      <w:sz w:val="21"/>
                      <w:szCs w:val="21"/>
                      <w:highlight w:val="none"/>
                    </w:rPr>
                    <w:t>0.600</w:t>
                  </w:r>
                </w:p>
              </w:tc>
              <w:tc>
                <w:tcPr>
                  <w:tcW w:w="460" w:type="pct"/>
                  <w:tcBorders>
                    <w:tl2br w:val="nil"/>
                    <w:tr2bl w:val="nil"/>
                  </w:tcBorders>
                  <w:noWrap/>
                  <w:vAlign w:val="center"/>
                </w:tcPr>
                <w:p w14:paraId="745AED8E">
                  <w:pPr>
                    <w:widowControl/>
                    <w:jc w:val="center"/>
                    <w:rPr>
                      <w:kern w:val="0"/>
                      <w:sz w:val="21"/>
                      <w:szCs w:val="21"/>
                      <w:highlight w:val="none"/>
                    </w:rPr>
                  </w:pPr>
                  <w:r>
                    <w:rPr>
                      <w:kern w:val="0"/>
                      <w:sz w:val="21"/>
                      <w:szCs w:val="21"/>
                      <w:highlight w:val="none"/>
                    </w:rPr>
                    <w:t>0.550</w:t>
                  </w:r>
                </w:p>
              </w:tc>
              <w:tc>
                <w:tcPr>
                  <w:tcW w:w="460" w:type="pct"/>
                  <w:tcBorders>
                    <w:tl2br w:val="nil"/>
                    <w:tr2bl w:val="nil"/>
                  </w:tcBorders>
                  <w:noWrap/>
                  <w:vAlign w:val="center"/>
                </w:tcPr>
                <w:p w14:paraId="4CBC70C6">
                  <w:pPr>
                    <w:widowControl/>
                    <w:jc w:val="center"/>
                    <w:rPr>
                      <w:kern w:val="0"/>
                      <w:sz w:val="21"/>
                      <w:szCs w:val="21"/>
                      <w:highlight w:val="none"/>
                    </w:rPr>
                  </w:pPr>
                  <w:r>
                    <w:rPr>
                      <w:kern w:val="0"/>
                      <w:sz w:val="21"/>
                      <w:szCs w:val="21"/>
                      <w:highlight w:val="none"/>
                    </w:rPr>
                    <w:t>0.525</w:t>
                  </w:r>
                </w:p>
              </w:tc>
              <w:tc>
                <w:tcPr>
                  <w:tcW w:w="460" w:type="pct"/>
                  <w:tcBorders>
                    <w:tl2br w:val="nil"/>
                    <w:tr2bl w:val="nil"/>
                  </w:tcBorders>
                  <w:noWrap/>
                  <w:vAlign w:val="center"/>
                </w:tcPr>
                <w:p w14:paraId="5A17F0AB">
                  <w:pPr>
                    <w:widowControl/>
                    <w:jc w:val="center"/>
                    <w:rPr>
                      <w:kern w:val="0"/>
                      <w:sz w:val="21"/>
                      <w:szCs w:val="21"/>
                      <w:highlight w:val="none"/>
                    </w:rPr>
                  </w:pPr>
                  <w:r>
                    <w:rPr>
                      <w:kern w:val="0"/>
                      <w:sz w:val="21"/>
                      <w:szCs w:val="21"/>
                      <w:highlight w:val="none"/>
                    </w:rPr>
                    <w:t>0.650</w:t>
                  </w:r>
                </w:p>
              </w:tc>
              <w:tc>
                <w:tcPr>
                  <w:tcW w:w="460" w:type="pct"/>
                  <w:tcBorders>
                    <w:tl2br w:val="nil"/>
                    <w:tr2bl w:val="nil"/>
                  </w:tcBorders>
                  <w:noWrap/>
                  <w:vAlign w:val="center"/>
                </w:tcPr>
                <w:p w14:paraId="0550A788">
                  <w:pPr>
                    <w:widowControl/>
                    <w:jc w:val="center"/>
                    <w:rPr>
                      <w:kern w:val="0"/>
                      <w:sz w:val="21"/>
                      <w:szCs w:val="21"/>
                      <w:highlight w:val="none"/>
                    </w:rPr>
                  </w:pPr>
                  <w:r>
                    <w:rPr>
                      <w:kern w:val="0"/>
                      <w:sz w:val="21"/>
                      <w:szCs w:val="21"/>
                      <w:highlight w:val="none"/>
                    </w:rPr>
                    <w:t>0.550</w:t>
                  </w:r>
                </w:p>
              </w:tc>
              <w:tc>
                <w:tcPr>
                  <w:tcW w:w="460" w:type="pct"/>
                  <w:tcBorders>
                    <w:tl2br w:val="nil"/>
                    <w:tr2bl w:val="nil"/>
                  </w:tcBorders>
                  <w:noWrap/>
                  <w:vAlign w:val="center"/>
                </w:tcPr>
                <w:p w14:paraId="3F3F4B8F">
                  <w:pPr>
                    <w:widowControl/>
                    <w:jc w:val="center"/>
                    <w:rPr>
                      <w:kern w:val="0"/>
                      <w:sz w:val="21"/>
                      <w:szCs w:val="21"/>
                      <w:highlight w:val="none"/>
                    </w:rPr>
                  </w:pPr>
                  <w:r>
                    <w:rPr>
                      <w:kern w:val="0"/>
                      <w:sz w:val="21"/>
                      <w:szCs w:val="21"/>
                      <w:highlight w:val="none"/>
                    </w:rPr>
                    <w:t>0.650</w:t>
                  </w:r>
                </w:p>
              </w:tc>
              <w:tc>
                <w:tcPr>
                  <w:tcW w:w="457" w:type="pct"/>
                  <w:tcBorders>
                    <w:tl2br w:val="nil"/>
                    <w:tr2bl w:val="nil"/>
                  </w:tcBorders>
                  <w:noWrap/>
                  <w:vAlign w:val="center"/>
                </w:tcPr>
                <w:p w14:paraId="480AF082">
                  <w:pPr>
                    <w:widowControl/>
                    <w:jc w:val="center"/>
                    <w:rPr>
                      <w:kern w:val="0"/>
                      <w:sz w:val="21"/>
                      <w:szCs w:val="21"/>
                      <w:highlight w:val="none"/>
                    </w:rPr>
                  </w:pPr>
                  <w:r>
                    <w:rPr>
                      <w:kern w:val="0"/>
                      <w:sz w:val="21"/>
                      <w:szCs w:val="21"/>
                      <w:highlight w:val="none"/>
                    </w:rPr>
                    <w:t>0.625</w:t>
                  </w:r>
                </w:p>
              </w:tc>
            </w:tr>
            <w:tr w14:paraId="5F87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2BDE7CC0">
                  <w:pPr>
                    <w:widowControl/>
                    <w:jc w:val="center"/>
                    <w:rPr>
                      <w:kern w:val="0"/>
                      <w:sz w:val="21"/>
                      <w:szCs w:val="21"/>
                      <w:highlight w:val="none"/>
                    </w:rPr>
                  </w:pPr>
                  <w:r>
                    <w:rPr>
                      <w:kern w:val="0"/>
                      <w:sz w:val="21"/>
                      <w:szCs w:val="21"/>
                      <w:highlight w:val="none"/>
                    </w:rPr>
                    <w:t>16</w:t>
                  </w:r>
                </w:p>
              </w:tc>
              <w:tc>
                <w:tcPr>
                  <w:tcW w:w="1059" w:type="pct"/>
                  <w:tcBorders>
                    <w:tl2br w:val="nil"/>
                    <w:tr2bl w:val="nil"/>
                  </w:tcBorders>
                  <w:noWrap/>
                  <w:vAlign w:val="center"/>
                </w:tcPr>
                <w:p w14:paraId="24914269">
                  <w:pPr>
                    <w:widowControl/>
                    <w:jc w:val="center"/>
                    <w:rPr>
                      <w:rFonts w:hint="eastAsia" w:eastAsia="宋体"/>
                      <w:kern w:val="0"/>
                      <w:sz w:val="21"/>
                      <w:szCs w:val="21"/>
                      <w:highlight w:val="none"/>
                      <w:lang w:eastAsia="zh-CN"/>
                    </w:rPr>
                  </w:pPr>
                  <w:r>
                    <w:rPr>
                      <w:kern w:val="0"/>
                      <w:sz w:val="21"/>
                      <w:szCs w:val="21"/>
                      <w:highlight w:val="none"/>
                    </w:rPr>
                    <w:t>氨氮</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27818CB7">
                  <w:pPr>
                    <w:widowControl/>
                    <w:jc w:val="center"/>
                    <w:rPr>
                      <w:kern w:val="0"/>
                      <w:sz w:val="21"/>
                      <w:szCs w:val="21"/>
                      <w:highlight w:val="none"/>
                    </w:rPr>
                  </w:pPr>
                  <w:r>
                    <w:rPr>
                      <w:kern w:val="0"/>
                      <w:sz w:val="21"/>
                      <w:szCs w:val="21"/>
                      <w:highlight w:val="none"/>
                    </w:rPr>
                    <w:t>0.508</w:t>
                  </w:r>
                </w:p>
              </w:tc>
              <w:tc>
                <w:tcPr>
                  <w:tcW w:w="460" w:type="pct"/>
                  <w:tcBorders>
                    <w:tl2br w:val="nil"/>
                    <w:tr2bl w:val="nil"/>
                  </w:tcBorders>
                  <w:noWrap/>
                  <w:vAlign w:val="center"/>
                </w:tcPr>
                <w:p w14:paraId="08A61861">
                  <w:pPr>
                    <w:widowControl/>
                    <w:jc w:val="center"/>
                    <w:rPr>
                      <w:kern w:val="0"/>
                      <w:sz w:val="21"/>
                      <w:szCs w:val="21"/>
                      <w:highlight w:val="none"/>
                    </w:rPr>
                  </w:pPr>
                  <w:r>
                    <w:rPr>
                      <w:kern w:val="0"/>
                      <w:sz w:val="21"/>
                      <w:szCs w:val="21"/>
                      <w:highlight w:val="none"/>
                    </w:rPr>
                    <w:t>0.302</w:t>
                  </w:r>
                </w:p>
              </w:tc>
              <w:tc>
                <w:tcPr>
                  <w:tcW w:w="460" w:type="pct"/>
                  <w:tcBorders>
                    <w:tl2br w:val="nil"/>
                    <w:tr2bl w:val="nil"/>
                  </w:tcBorders>
                  <w:noWrap/>
                  <w:vAlign w:val="center"/>
                </w:tcPr>
                <w:p w14:paraId="6E377735">
                  <w:pPr>
                    <w:widowControl/>
                    <w:jc w:val="center"/>
                    <w:rPr>
                      <w:kern w:val="0"/>
                      <w:sz w:val="21"/>
                      <w:szCs w:val="21"/>
                      <w:highlight w:val="none"/>
                    </w:rPr>
                  </w:pPr>
                  <w:r>
                    <w:rPr>
                      <w:kern w:val="0"/>
                      <w:sz w:val="21"/>
                      <w:szCs w:val="21"/>
                      <w:highlight w:val="none"/>
                    </w:rPr>
                    <w:t>0.428</w:t>
                  </w:r>
                </w:p>
              </w:tc>
              <w:tc>
                <w:tcPr>
                  <w:tcW w:w="460" w:type="pct"/>
                  <w:tcBorders>
                    <w:tl2br w:val="nil"/>
                    <w:tr2bl w:val="nil"/>
                  </w:tcBorders>
                  <w:noWrap/>
                  <w:vAlign w:val="center"/>
                </w:tcPr>
                <w:p w14:paraId="72EB901A">
                  <w:pPr>
                    <w:widowControl/>
                    <w:jc w:val="center"/>
                    <w:rPr>
                      <w:kern w:val="0"/>
                      <w:sz w:val="21"/>
                      <w:szCs w:val="21"/>
                      <w:highlight w:val="none"/>
                    </w:rPr>
                  </w:pPr>
                  <w:r>
                    <w:rPr>
                      <w:kern w:val="0"/>
                      <w:sz w:val="21"/>
                      <w:szCs w:val="21"/>
                      <w:highlight w:val="none"/>
                    </w:rPr>
                    <w:t>0.454</w:t>
                  </w:r>
                </w:p>
              </w:tc>
              <w:tc>
                <w:tcPr>
                  <w:tcW w:w="460" w:type="pct"/>
                  <w:tcBorders>
                    <w:tl2br w:val="nil"/>
                    <w:tr2bl w:val="nil"/>
                  </w:tcBorders>
                  <w:noWrap/>
                  <w:vAlign w:val="center"/>
                </w:tcPr>
                <w:p w14:paraId="7E01B879">
                  <w:pPr>
                    <w:widowControl/>
                    <w:jc w:val="center"/>
                    <w:rPr>
                      <w:kern w:val="0"/>
                      <w:sz w:val="21"/>
                      <w:szCs w:val="21"/>
                      <w:highlight w:val="none"/>
                    </w:rPr>
                  </w:pPr>
                  <w:r>
                    <w:rPr>
                      <w:kern w:val="0"/>
                      <w:sz w:val="21"/>
                      <w:szCs w:val="21"/>
                      <w:highlight w:val="none"/>
                    </w:rPr>
                    <w:t>0.378</w:t>
                  </w:r>
                </w:p>
              </w:tc>
              <w:tc>
                <w:tcPr>
                  <w:tcW w:w="460" w:type="pct"/>
                  <w:tcBorders>
                    <w:tl2br w:val="nil"/>
                    <w:tr2bl w:val="nil"/>
                  </w:tcBorders>
                  <w:noWrap/>
                  <w:vAlign w:val="center"/>
                </w:tcPr>
                <w:p w14:paraId="0AA9ED1D">
                  <w:pPr>
                    <w:widowControl/>
                    <w:jc w:val="center"/>
                    <w:rPr>
                      <w:kern w:val="0"/>
                      <w:sz w:val="21"/>
                      <w:szCs w:val="21"/>
                      <w:highlight w:val="none"/>
                    </w:rPr>
                  </w:pPr>
                  <w:r>
                    <w:rPr>
                      <w:kern w:val="0"/>
                      <w:sz w:val="21"/>
                      <w:szCs w:val="21"/>
                      <w:highlight w:val="none"/>
                    </w:rPr>
                    <w:t>0.586</w:t>
                  </w:r>
                </w:p>
              </w:tc>
              <w:tc>
                <w:tcPr>
                  <w:tcW w:w="457" w:type="pct"/>
                  <w:tcBorders>
                    <w:tl2br w:val="nil"/>
                    <w:tr2bl w:val="nil"/>
                  </w:tcBorders>
                  <w:noWrap/>
                  <w:vAlign w:val="center"/>
                </w:tcPr>
                <w:p w14:paraId="7320366F">
                  <w:pPr>
                    <w:widowControl/>
                    <w:jc w:val="center"/>
                    <w:rPr>
                      <w:kern w:val="0"/>
                      <w:sz w:val="21"/>
                      <w:szCs w:val="21"/>
                      <w:highlight w:val="none"/>
                    </w:rPr>
                  </w:pPr>
                  <w:r>
                    <w:rPr>
                      <w:kern w:val="0"/>
                      <w:sz w:val="21"/>
                      <w:szCs w:val="21"/>
                      <w:highlight w:val="none"/>
                    </w:rPr>
                    <w:t>0.854</w:t>
                  </w:r>
                </w:p>
              </w:tc>
            </w:tr>
            <w:tr w14:paraId="2BF06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0EFB7E65">
                  <w:pPr>
                    <w:widowControl/>
                    <w:jc w:val="center"/>
                    <w:rPr>
                      <w:kern w:val="0"/>
                      <w:sz w:val="21"/>
                      <w:szCs w:val="21"/>
                      <w:highlight w:val="none"/>
                    </w:rPr>
                  </w:pPr>
                  <w:r>
                    <w:rPr>
                      <w:kern w:val="0"/>
                      <w:sz w:val="21"/>
                      <w:szCs w:val="21"/>
                      <w:highlight w:val="none"/>
                    </w:rPr>
                    <w:t>17</w:t>
                  </w:r>
                </w:p>
              </w:tc>
              <w:tc>
                <w:tcPr>
                  <w:tcW w:w="1059" w:type="pct"/>
                  <w:tcBorders>
                    <w:tl2br w:val="nil"/>
                    <w:tr2bl w:val="nil"/>
                  </w:tcBorders>
                  <w:noWrap/>
                  <w:vAlign w:val="center"/>
                </w:tcPr>
                <w:p w14:paraId="573F397B">
                  <w:pPr>
                    <w:widowControl/>
                    <w:jc w:val="center"/>
                    <w:rPr>
                      <w:rFonts w:hint="eastAsia" w:eastAsia="宋体"/>
                      <w:kern w:val="0"/>
                      <w:sz w:val="21"/>
                      <w:szCs w:val="21"/>
                      <w:highlight w:val="none"/>
                      <w:lang w:eastAsia="zh-CN"/>
                    </w:rPr>
                  </w:pPr>
                  <w:r>
                    <w:rPr>
                      <w:kern w:val="0"/>
                      <w:sz w:val="21"/>
                      <w:szCs w:val="21"/>
                      <w:highlight w:val="none"/>
                    </w:rPr>
                    <w:t>钠</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4677F504">
                  <w:pPr>
                    <w:widowControl/>
                    <w:jc w:val="center"/>
                    <w:rPr>
                      <w:b/>
                      <w:kern w:val="0"/>
                      <w:sz w:val="21"/>
                      <w:szCs w:val="21"/>
                      <w:highlight w:val="none"/>
                    </w:rPr>
                  </w:pPr>
                  <w:r>
                    <w:rPr>
                      <w:b/>
                      <w:kern w:val="0"/>
                      <w:sz w:val="21"/>
                      <w:szCs w:val="21"/>
                      <w:highlight w:val="none"/>
                    </w:rPr>
                    <w:t>2.920</w:t>
                  </w:r>
                </w:p>
              </w:tc>
              <w:tc>
                <w:tcPr>
                  <w:tcW w:w="460" w:type="pct"/>
                  <w:tcBorders>
                    <w:tl2br w:val="nil"/>
                    <w:tr2bl w:val="nil"/>
                  </w:tcBorders>
                  <w:noWrap/>
                  <w:vAlign w:val="center"/>
                </w:tcPr>
                <w:p w14:paraId="30F63566">
                  <w:pPr>
                    <w:widowControl/>
                    <w:jc w:val="center"/>
                    <w:rPr>
                      <w:b/>
                      <w:kern w:val="0"/>
                      <w:sz w:val="21"/>
                      <w:szCs w:val="21"/>
                      <w:highlight w:val="none"/>
                    </w:rPr>
                  </w:pPr>
                  <w:r>
                    <w:rPr>
                      <w:b/>
                      <w:kern w:val="0"/>
                      <w:sz w:val="21"/>
                      <w:szCs w:val="21"/>
                      <w:highlight w:val="none"/>
                    </w:rPr>
                    <w:t>3.760</w:t>
                  </w:r>
                </w:p>
              </w:tc>
              <w:tc>
                <w:tcPr>
                  <w:tcW w:w="460" w:type="pct"/>
                  <w:tcBorders>
                    <w:tl2br w:val="nil"/>
                    <w:tr2bl w:val="nil"/>
                  </w:tcBorders>
                  <w:noWrap/>
                  <w:vAlign w:val="center"/>
                </w:tcPr>
                <w:p w14:paraId="1384FD17">
                  <w:pPr>
                    <w:widowControl/>
                    <w:jc w:val="center"/>
                    <w:rPr>
                      <w:b/>
                      <w:kern w:val="0"/>
                      <w:sz w:val="21"/>
                      <w:szCs w:val="21"/>
                      <w:highlight w:val="none"/>
                    </w:rPr>
                  </w:pPr>
                  <w:r>
                    <w:rPr>
                      <w:b/>
                      <w:kern w:val="0"/>
                      <w:sz w:val="21"/>
                      <w:szCs w:val="21"/>
                      <w:highlight w:val="none"/>
                    </w:rPr>
                    <w:t>1.735</w:t>
                  </w:r>
                </w:p>
              </w:tc>
              <w:tc>
                <w:tcPr>
                  <w:tcW w:w="460" w:type="pct"/>
                  <w:tcBorders>
                    <w:tl2br w:val="nil"/>
                    <w:tr2bl w:val="nil"/>
                  </w:tcBorders>
                  <w:noWrap/>
                  <w:vAlign w:val="center"/>
                </w:tcPr>
                <w:p w14:paraId="5C2AE8D2">
                  <w:pPr>
                    <w:widowControl/>
                    <w:jc w:val="center"/>
                    <w:rPr>
                      <w:b/>
                      <w:kern w:val="0"/>
                      <w:sz w:val="21"/>
                      <w:szCs w:val="21"/>
                      <w:highlight w:val="none"/>
                    </w:rPr>
                  </w:pPr>
                  <w:r>
                    <w:rPr>
                      <w:b/>
                      <w:kern w:val="0"/>
                      <w:sz w:val="21"/>
                      <w:szCs w:val="21"/>
                      <w:highlight w:val="none"/>
                    </w:rPr>
                    <w:t>3.890</w:t>
                  </w:r>
                </w:p>
              </w:tc>
              <w:tc>
                <w:tcPr>
                  <w:tcW w:w="460" w:type="pct"/>
                  <w:tcBorders>
                    <w:tl2br w:val="nil"/>
                    <w:tr2bl w:val="nil"/>
                  </w:tcBorders>
                  <w:noWrap/>
                  <w:vAlign w:val="center"/>
                </w:tcPr>
                <w:p w14:paraId="5B36B740">
                  <w:pPr>
                    <w:widowControl/>
                    <w:jc w:val="center"/>
                    <w:rPr>
                      <w:b/>
                      <w:kern w:val="0"/>
                      <w:sz w:val="21"/>
                      <w:szCs w:val="21"/>
                      <w:highlight w:val="none"/>
                    </w:rPr>
                  </w:pPr>
                  <w:r>
                    <w:rPr>
                      <w:b/>
                      <w:kern w:val="0"/>
                      <w:sz w:val="21"/>
                      <w:szCs w:val="21"/>
                      <w:highlight w:val="none"/>
                    </w:rPr>
                    <w:t>3.650</w:t>
                  </w:r>
                </w:p>
              </w:tc>
              <w:tc>
                <w:tcPr>
                  <w:tcW w:w="460" w:type="pct"/>
                  <w:tcBorders>
                    <w:tl2br w:val="nil"/>
                    <w:tr2bl w:val="nil"/>
                  </w:tcBorders>
                  <w:noWrap/>
                  <w:vAlign w:val="center"/>
                </w:tcPr>
                <w:p w14:paraId="0484A255">
                  <w:pPr>
                    <w:widowControl/>
                    <w:jc w:val="center"/>
                    <w:rPr>
                      <w:b/>
                      <w:kern w:val="0"/>
                      <w:sz w:val="21"/>
                      <w:szCs w:val="21"/>
                      <w:highlight w:val="none"/>
                    </w:rPr>
                  </w:pPr>
                  <w:r>
                    <w:rPr>
                      <w:b/>
                      <w:kern w:val="0"/>
                      <w:sz w:val="21"/>
                      <w:szCs w:val="21"/>
                      <w:highlight w:val="none"/>
                    </w:rPr>
                    <w:t>4.130</w:t>
                  </w:r>
                </w:p>
              </w:tc>
              <w:tc>
                <w:tcPr>
                  <w:tcW w:w="457" w:type="pct"/>
                  <w:tcBorders>
                    <w:tl2br w:val="nil"/>
                    <w:tr2bl w:val="nil"/>
                  </w:tcBorders>
                  <w:noWrap/>
                  <w:vAlign w:val="center"/>
                </w:tcPr>
                <w:p w14:paraId="03040810">
                  <w:pPr>
                    <w:widowControl/>
                    <w:jc w:val="center"/>
                    <w:rPr>
                      <w:b/>
                      <w:kern w:val="0"/>
                      <w:sz w:val="21"/>
                      <w:szCs w:val="21"/>
                      <w:highlight w:val="none"/>
                    </w:rPr>
                  </w:pPr>
                  <w:r>
                    <w:rPr>
                      <w:b/>
                      <w:kern w:val="0"/>
                      <w:sz w:val="21"/>
                      <w:szCs w:val="21"/>
                      <w:highlight w:val="none"/>
                    </w:rPr>
                    <w:t>2.640</w:t>
                  </w:r>
                </w:p>
              </w:tc>
            </w:tr>
            <w:tr w14:paraId="784C6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1819394A">
                  <w:pPr>
                    <w:widowControl/>
                    <w:jc w:val="center"/>
                    <w:rPr>
                      <w:kern w:val="0"/>
                      <w:sz w:val="21"/>
                      <w:szCs w:val="21"/>
                      <w:highlight w:val="none"/>
                    </w:rPr>
                  </w:pPr>
                  <w:r>
                    <w:rPr>
                      <w:kern w:val="0"/>
                      <w:sz w:val="21"/>
                      <w:szCs w:val="21"/>
                      <w:highlight w:val="none"/>
                    </w:rPr>
                    <w:t>18</w:t>
                  </w:r>
                </w:p>
              </w:tc>
              <w:tc>
                <w:tcPr>
                  <w:tcW w:w="1059" w:type="pct"/>
                  <w:tcBorders>
                    <w:tl2br w:val="nil"/>
                    <w:tr2bl w:val="nil"/>
                  </w:tcBorders>
                  <w:noWrap/>
                  <w:vAlign w:val="center"/>
                </w:tcPr>
                <w:p w14:paraId="4F741B14">
                  <w:pPr>
                    <w:widowControl/>
                    <w:jc w:val="center"/>
                    <w:rPr>
                      <w:rFonts w:hint="eastAsia" w:eastAsia="宋体"/>
                      <w:kern w:val="0"/>
                      <w:sz w:val="21"/>
                      <w:szCs w:val="21"/>
                      <w:highlight w:val="none"/>
                      <w:lang w:eastAsia="zh-CN"/>
                    </w:rPr>
                  </w:pPr>
                  <w:r>
                    <w:rPr>
                      <w:kern w:val="0"/>
                      <w:sz w:val="21"/>
                      <w:szCs w:val="21"/>
                      <w:highlight w:val="none"/>
                    </w:rPr>
                    <w:t>氰化物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1308F26D">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B92F12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4BB938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4A7A84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0587A9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36EB58C">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296F532">
                  <w:pPr>
                    <w:widowControl/>
                    <w:jc w:val="center"/>
                    <w:rPr>
                      <w:kern w:val="0"/>
                      <w:sz w:val="21"/>
                      <w:szCs w:val="21"/>
                      <w:highlight w:val="none"/>
                    </w:rPr>
                  </w:pPr>
                  <w:r>
                    <w:rPr>
                      <w:kern w:val="0"/>
                      <w:sz w:val="21"/>
                      <w:szCs w:val="21"/>
                      <w:highlight w:val="none"/>
                    </w:rPr>
                    <w:t>/</w:t>
                  </w:r>
                </w:p>
              </w:tc>
            </w:tr>
            <w:tr w14:paraId="10D6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326012B9">
                  <w:pPr>
                    <w:widowControl/>
                    <w:jc w:val="center"/>
                    <w:rPr>
                      <w:kern w:val="0"/>
                      <w:sz w:val="21"/>
                      <w:szCs w:val="21"/>
                      <w:highlight w:val="none"/>
                    </w:rPr>
                  </w:pPr>
                  <w:r>
                    <w:rPr>
                      <w:kern w:val="0"/>
                      <w:sz w:val="21"/>
                      <w:szCs w:val="21"/>
                      <w:highlight w:val="none"/>
                    </w:rPr>
                    <w:t>19</w:t>
                  </w:r>
                </w:p>
              </w:tc>
              <w:tc>
                <w:tcPr>
                  <w:tcW w:w="1059" w:type="pct"/>
                  <w:tcBorders>
                    <w:tl2br w:val="nil"/>
                    <w:tr2bl w:val="nil"/>
                  </w:tcBorders>
                  <w:noWrap/>
                  <w:vAlign w:val="center"/>
                </w:tcPr>
                <w:p w14:paraId="4D513592">
                  <w:pPr>
                    <w:widowControl/>
                    <w:jc w:val="center"/>
                    <w:rPr>
                      <w:rFonts w:hint="eastAsia" w:eastAsia="宋体"/>
                      <w:kern w:val="0"/>
                      <w:sz w:val="21"/>
                      <w:szCs w:val="21"/>
                      <w:highlight w:val="none"/>
                      <w:lang w:eastAsia="zh-CN"/>
                    </w:rPr>
                  </w:pPr>
                  <w:r>
                    <w:rPr>
                      <w:kern w:val="0"/>
                      <w:sz w:val="21"/>
                      <w:szCs w:val="21"/>
                      <w:highlight w:val="none"/>
                    </w:rPr>
                    <w:t>硫化物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413A550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3B9670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03ACBC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EA83F2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525A8BD">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DECF5DC">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37ACCC7A">
                  <w:pPr>
                    <w:widowControl/>
                    <w:jc w:val="center"/>
                    <w:rPr>
                      <w:kern w:val="0"/>
                      <w:sz w:val="21"/>
                      <w:szCs w:val="21"/>
                      <w:highlight w:val="none"/>
                    </w:rPr>
                  </w:pPr>
                  <w:r>
                    <w:rPr>
                      <w:kern w:val="0"/>
                      <w:sz w:val="21"/>
                      <w:szCs w:val="21"/>
                      <w:highlight w:val="none"/>
                    </w:rPr>
                    <w:t>/</w:t>
                  </w:r>
                </w:p>
              </w:tc>
            </w:tr>
            <w:tr w14:paraId="27B0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38697BE6">
                  <w:pPr>
                    <w:widowControl/>
                    <w:jc w:val="center"/>
                    <w:rPr>
                      <w:kern w:val="0"/>
                      <w:sz w:val="21"/>
                      <w:szCs w:val="21"/>
                      <w:highlight w:val="none"/>
                    </w:rPr>
                  </w:pPr>
                  <w:r>
                    <w:rPr>
                      <w:kern w:val="0"/>
                      <w:sz w:val="21"/>
                      <w:szCs w:val="21"/>
                      <w:highlight w:val="none"/>
                    </w:rPr>
                    <w:t>20</w:t>
                  </w:r>
                </w:p>
              </w:tc>
              <w:tc>
                <w:tcPr>
                  <w:tcW w:w="1059" w:type="pct"/>
                  <w:tcBorders>
                    <w:tl2br w:val="nil"/>
                    <w:tr2bl w:val="nil"/>
                  </w:tcBorders>
                  <w:noWrap/>
                  <w:vAlign w:val="center"/>
                </w:tcPr>
                <w:p w14:paraId="7451BD4F">
                  <w:pPr>
                    <w:widowControl/>
                    <w:jc w:val="center"/>
                    <w:rPr>
                      <w:rFonts w:hint="eastAsia" w:eastAsia="宋体"/>
                      <w:kern w:val="0"/>
                      <w:sz w:val="21"/>
                      <w:szCs w:val="21"/>
                      <w:highlight w:val="none"/>
                      <w:lang w:eastAsia="zh-CN"/>
                    </w:rPr>
                  </w:pPr>
                  <w:r>
                    <w:rPr>
                      <w:kern w:val="0"/>
                      <w:sz w:val="21"/>
                      <w:szCs w:val="21"/>
                      <w:highlight w:val="none"/>
                    </w:rPr>
                    <w:t>钙</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31EF9F2F">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EA9647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986DBB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635579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AEAFC0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05ED702">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170B9E4A">
                  <w:pPr>
                    <w:widowControl/>
                    <w:jc w:val="center"/>
                    <w:rPr>
                      <w:kern w:val="0"/>
                      <w:sz w:val="21"/>
                      <w:szCs w:val="21"/>
                      <w:highlight w:val="none"/>
                    </w:rPr>
                  </w:pPr>
                  <w:r>
                    <w:rPr>
                      <w:kern w:val="0"/>
                      <w:sz w:val="21"/>
                      <w:szCs w:val="21"/>
                      <w:highlight w:val="none"/>
                    </w:rPr>
                    <w:t>/</w:t>
                  </w:r>
                </w:p>
              </w:tc>
            </w:tr>
            <w:tr w14:paraId="7439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3FF7047C">
                  <w:pPr>
                    <w:widowControl/>
                    <w:jc w:val="center"/>
                    <w:rPr>
                      <w:kern w:val="0"/>
                      <w:sz w:val="21"/>
                      <w:szCs w:val="21"/>
                      <w:highlight w:val="none"/>
                    </w:rPr>
                  </w:pPr>
                  <w:r>
                    <w:rPr>
                      <w:kern w:val="0"/>
                      <w:sz w:val="21"/>
                      <w:szCs w:val="21"/>
                      <w:highlight w:val="none"/>
                    </w:rPr>
                    <w:t>21</w:t>
                  </w:r>
                </w:p>
              </w:tc>
              <w:tc>
                <w:tcPr>
                  <w:tcW w:w="1059" w:type="pct"/>
                  <w:tcBorders>
                    <w:tl2br w:val="nil"/>
                    <w:tr2bl w:val="nil"/>
                  </w:tcBorders>
                  <w:noWrap/>
                  <w:vAlign w:val="center"/>
                </w:tcPr>
                <w:p w14:paraId="0A71E247">
                  <w:pPr>
                    <w:widowControl/>
                    <w:jc w:val="center"/>
                    <w:rPr>
                      <w:rFonts w:hint="eastAsia" w:eastAsia="宋体"/>
                      <w:kern w:val="0"/>
                      <w:sz w:val="21"/>
                      <w:szCs w:val="21"/>
                      <w:highlight w:val="none"/>
                      <w:lang w:eastAsia="zh-CN"/>
                    </w:rPr>
                  </w:pPr>
                  <w:r>
                    <w:rPr>
                      <w:kern w:val="0"/>
                      <w:sz w:val="21"/>
                      <w:szCs w:val="21"/>
                      <w:highlight w:val="none"/>
                    </w:rPr>
                    <w:t>钾</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4D98AF1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2F48BB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4ADAD6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AD216E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A65278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9D49E62">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328D44B4">
                  <w:pPr>
                    <w:widowControl/>
                    <w:jc w:val="center"/>
                    <w:rPr>
                      <w:kern w:val="0"/>
                      <w:sz w:val="21"/>
                      <w:szCs w:val="21"/>
                      <w:highlight w:val="none"/>
                    </w:rPr>
                  </w:pPr>
                  <w:r>
                    <w:rPr>
                      <w:kern w:val="0"/>
                      <w:sz w:val="21"/>
                      <w:szCs w:val="21"/>
                      <w:highlight w:val="none"/>
                    </w:rPr>
                    <w:t>/</w:t>
                  </w:r>
                </w:p>
              </w:tc>
            </w:tr>
            <w:tr w14:paraId="4528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08519A2D">
                  <w:pPr>
                    <w:widowControl/>
                    <w:jc w:val="center"/>
                    <w:rPr>
                      <w:kern w:val="0"/>
                      <w:sz w:val="21"/>
                      <w:szCs w:val="21"/>
                      <w:highlight w:val="none"/>
                    </w:rPr>
                  </w:pPr>
                  <w:r>
                    <w:rPr>
                      <w:kern w:val="0"/>
                      <w:sz w:val="21"/>
                      <w:szCs w:val="21"/>
                      <w:highlight w:val="none"/>
                    </w:rPr>
                    <w:t>22</w:t>
                  </w:r>
                </w:p>
              </w:tc>
              <w:tc>
                <w:tcPr>
                  <w:tcW w:w="1059" w:type="pct"/>
                  <w:tcBorders>
                    <w:tl2br w:val="nil"/>
                    <w:tr2bl w:val="nil"/>
                  </w:tcBorders>
                  <w:noWrap/>
                  <w:vAlign w:val="center"/>
                </w:tcPr>
                <w:p w14:paraId="523F1AFC">
                  <w:pPr>
                    <w:widowControl/>
                    <w:jc w:val="center"/>
                    <w:rPr>
                      <w:rFonts w:hint="eastAsia" w:eastAsia="宋体"/>
                      <w:kern w:val="0"/>
                      <w:sz w:val="21"/>
                      <w:szCs w:val="21"/>
                      <w:highlight w:val="none"/>
                      <w:lang w:eastAsia="zh-CN"/>
                    </w:rPr>
                  </w:pPr>
                  <w:r>
                    <w:rPr>
                      <w:kern w:val="0"/>
                      <w:sz w:val="21"/>
                      <w:szCs w:val="21"/>
                      <w:highlight w:val="none"/>
                    </w:rPr>
                    <w:t>汞</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1CBBFA9C">
                  <w:pPr>
                    <w:widowControl/>
                    <w:jc w:val="center"/>
                    <w:rPr>
                      <w:kern w:val="0"/>
                      <w:sz w:val="21"/>
                      <w:szCs w:val="21"/>
                      <w:highlight w:val="none"/>
                    </w:rPr>
                  </w:pPr>
                  <w:r>
                    <w:rPr>
                      <w:kern w:val="0"/>
                      <w:sz w:val="21"/>
                      <w:szCs w:val="21"/>
                      <w:highlight w:val="none"/>
                    </w:rPr>
                    <w:t>0.060</w:t>
                  </w:r>
                </w:p>
              </w:tc>
              <w:tc>
                <w:tcPr>
                  <w:tcW w:w="460" w:type="pct"/>
                  <w:tcBorders>
                    <w:tl2br w:val="nil"/>
                    <w:tr2bl w:val="nil"/>
                  </w:tcBorders>
                  <w:noWrap/>
                  <w:vAlign w:val="center"/>
                </w:tcPr>
                <w:p w14:paraId="67090FC7">
                  <w:pPr>
                    <w:widowControl/>
                    <w:jc w:val="center"/>
                    <w:rPr>
                      <w:kern w:val="0"/>
                      <w:sz w:val="21"/>
                      <w:szCs w:val="21"/>
                      <w:highlight w:val="none"/>
                    </w:rPr>
                  </w:pPr>
                  <w:r>
                    <w:rPr>
                      <w:kern w:val="0"/>
                      <w:sz w:val="21"/>
                      <w:szCs w:val="21"/>
                      <w:highlight w:val="none"/>
                    </w:rPr>
                    <w:t>0.070</w:t>
                  </w:r>
                </w:p>
              </w:tc>
              <w:tc>
                <w:tcPr>
                  <w:tcW w:w="460" w:type="pct"/>
                  <w:tcBorders>
                    <w:tl2br w:val="nil"/>
                    <w:tr2bl w:val="nil"/>
                  </w:tcBorders>
                  <w:noWrap/>
                  <w:vAlign w:val="center"/>
                </w:tcPr>
                <w:p w14:paraId="71CAB285">
                  <w:pPr>
                    <w:widowControl/>
                    <w:jc w:val="center"/>
                    <w:rPr>
                      <w:kern w:val="0"/>
                      <w:sz w:val="21"/>
                      <w:szCs w:val="21"/>
                      <w:highlight w:val="none"/>
                    </w:rPr>
                  </w:pPr>
                  <w:r>
                    <w:rPr>
                      <w:kern w:val="0"/>
                      <w:sz w:val="21"/>
                      <w:szCs w:val="21"/>
                      <w:highlight w:val="none"/>
                    </w:rPr>
                    <w:t>0.070</w:t>
                  </w:r>
                </w:p>
              </w:tc>
              <w:tc>
                <w:tcPr>
                  <w:tcW w:w="460" w:type="pct"/>
                  <w:tcBorders>
                    <w:tl2br w:val="nil"/>
                    <w:tr2bl w:val="nil"/>
                  </w:tcBorders>
                  <w:noWrap/>
                  <w:vAlign w:val="center"/>
                </w:tcPr>
                <w:p w14:paraId="775A07D2">
                  <w:pPr>
                    <w:widowControl/>
                    <w:jc w:val="center"/>
                    <w:rPr>
                      <w:kern w:val="0"/>
                      <w:sz w:val="21"/>
                      <w:szCs w:val="21"/>
                      <w:highlight w:val="none"/>
                    </w:rPr>
                  </w:pPr>
                  <w:r>
                    <w:rPr>
                      <w:kern w:val="0"/>
                      <w:sz w:val="21"/>
                      <w:szCs w:val="21"/>
                      <w:highlight w:val="none"/>
                    </w:rPr>
                    <w:t>0.080</w:t>
                  </w:r>
                </w:p>
              </w:tc>
              <w:tc>
                <w:tcPr>
                  <w:tcW w:w="460" w:type="pct"/>
                  <w:tcBorders>
                    <w:tl2br w:val="nil"/>
                    <w:tr2bl w:val="nil"/>
                  </w:tcBorders>
                  <w:noWrap/>
                  <w:vAlign w:val="center"/>
                </w:tcPr>
                <w:p w14:paraId="3FB58C42">
                  <w:pPr>
                    <w:widowControl/>
                    <w:jc w:val="center"/>
                    <w:rPr>
                      <w:kern w:val="0"/>
                      <w:sz w:val="21"/>
                      <w:szCs w:val="21"/>
                      <w:highlight w:val="none"/>
                    </w:rPr>
                  </w:pPr>
                  <w:r>
                    <w:rPr>
                      <w:kern w:val="0"/>
                      <w:sz w:val="21"/>
                      <w:szCs w:val="21"/>
                      <w:highlight w:val="none"/>
                    </w:rPr>
                    <w:t>0.080</w:t>
                  </w:r>
                </w:p>
              </w:tc>
              <w:tc>
                <w:tcPr>
                  <w:tcW w:w="460" w:type="pct"/>
                  <w:tcBorders>
                    <w:tl2br w:val="nil"/>
                    <w:tr2bl w:val="nil"/>
                  </w:tcBorders>
                  <w:noWrap/>
                  <w:vAlign w:val="center"/>
                </w:tcPr>
                <w:p w14:paraId="246CD856">
                  <w:pPr>
                    <w:widowControl/>
                    <w:jc w:val="center"/>
                    <w:rPr>
                      <w:kern w:val="0"/>
                      <w:sz w:val="21"/>
                      <w:szCs w:val="21"/>
                      <w:highlight w:val="none"/>
                    </w:rPr>
                  </w:pPr>
                  <w:r>
                    <w:rPr>
                      <w:kern w:val="0"/>
                      <w:sz w:val="21"/>
                      <w:szCs w:val="21"/>
                      <w:highlight w:val="none"/>
                    </w:rPr>
                    <w:t>0.080</w:t>
                  </w:r>
                </w:p>
              </w:tc>
              <w:tc>
                <w:tcPr>
                  <w:tcW w:w="457" w:type="pct"/>
                  <w:tcBorders>
                    <w:tl2br w:val="nil"/>
                    <w:tr2bl w:val="nil"/>
                  </w:tcBorders>
                  <w:noWrap/>
                  <w:vAlign w:val="center"/>
                </w:tcPr>
                <w:p w14:paraId="363B026B">
                  <w:pPr>
                    <w:widowControl/>
                    <w:jc w:val="center"/>
                    <w:rPr>
                      <w:kern w:val="0"/>
                      <w:sz w:val="21"/>
                      <w:szCs w:val="21"/>
                      <w:highlight w:val="none"/>
                    </w:rPr>
                  </w:pPr>
                  <w:r>
                    <w:rPr>
                      <w:kern w:val="0"/>
                      <w:sz w:val="21"/>
                      <w:szCs w:val="21"/>
                      <w:highlight w:val="none"/>
                    </w:rPr>
                    <w:t>0.090</w:t>
                  </w:r>
                </w:p>
              </w:tc>
            </w:tr>
            <w:tr w14:paraId="2DA82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4C35372A">
                  <w:pPr>
                    <w:widowControl/>
                    <w:jc w:val="center"/>
                    <w:rPr>
                      <w:kern w:val="0"/>
                      <w:sz w:val="21"/>
                      <w:szCs w:val="21"/>
                      <w:highlight w:val="none"/>
                    </w:rPr>
                  </w:pPr>
                  <w:r>
                    <w:rPr>
                      <w:kern w:val="0"/>
                      <w:sz w:val="21"/>
                      <w:szCs w:val="21"/>
                      <w:highlight w:val="none"/>
                    </w:rPr>
                    <w:t>23</w:t>
                  </w:r>
                </w:p>
              </w:tc>
              <w:tc>
                <w:tcPr>
                  <w:tcW w:w="1059" w:type="pct"/>
                  <w:tcBorders>
                    <w:tl2br w:val="nil"/>
                    <w:tr2bl w:val="nil"/>
                  </w:tcBorders>
                  <w:noWrap/>
                  <w:vAlign w:val="center"/>
                </w:tcPr>
                <w:p w14:paraId="16AB79EB">
                  <w:pPr>
                    <w:widowControl/>
                    <w:jc w:val="center"/>
                    <w:rPr>
                      <w:rFonts w:hint="eastAsia" w:eastAsia="宋体"/>
                      <w:kern w:val="0"/>
                      <w:sz w:val="21"/>
                      <w:szCs w:val="21"/>
                      <w:highlight w:val="none"/>
                      <w:lang w:eastAsia="zh-CN"/>
                    </w:rPr>
                  </w:pPr>
                  <w:r>
                    <w:rPr>
                      <w:kern w:val="0"/>
                      <w:sz w:val="21"/>
                      <w:szCs w:val="21"/>
                      <w:highlight w:val="none"/>
                    </w:rPr>
                    <w:t>砷</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7CD5B24F">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2B5BACA">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3F5F796">
                  <w:pPr>
                    <w:widowControl/>
                    <w:jc w:val="center"/>
                    <w:rPr>
                      <w:kern w:val="0"/>
                      <w:sz w:val="21"/>
                      <w:szCs w:val="21"/>
                      <w:highlight w:val="none"/>
                    </w:rPr>
                  </w:pPr>
                  <w:r>
                    <w:rPr>
                      <w:kern w:val="0"/>
                      <w:sz w:val="21"/>
                      <w:szCs w:val="21"/>
                      <w:highlight w:val="none"/>
                    </w:rPr>
                    <w:t>0.120</w:t>
                  </w:r>
                </w:p>
              </w:tc>
              <w:tc>
                <w:tcPr>
                  <w:tcW w:w="460" w:type="pct"/>
                  <w:tcBorders>
                    <w:tl2br w:val="nil"/>
                    <w:tr2bl w:val="nil"/>
                  </w:tcBorders>
                  <w:noWrap/>
                  <w:vAlign w:val="center"/>
                </w:tcPr>
                <w:p w14:paraId="116ADDE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1A7E39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F6263C9">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564F8BBE">
                  <w:pPr>
                    <w:widowControl/>
                    <w:jc w:val="center"/>
                    <w:rPr>
                      <w:kern w:val="0"/>
                      <w:sz w:val="21"/>
                      <w:szCs w:val="21"/>
                      <w:highlight w:val="none"/>
                    </w:rPr>
                  </w:pPr>
                  <w:r>
                    <w:rPr>
                      <w:kern w:val="0"/>
                      <w:sz w:val="21"/>
                      <w:szCs w:val="21"/>
                      <w:highlight w:val="none"/>
                    </w:rPr>
                    <w:t>0.040</w:t>
                  </w:r>
                </w:p>
              </w:tc>
            </w:tr>
            <w:tr w14:paraId="5592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47310561">
                  <w:pPr>
                    <w:widowControl/>
                    <w:jc w:val="center"/>
                    <w:rPr>
                      <w:kern w:val="0"/>
                      <w:sz w:val="21"/>
                      <w:szCs w:val="21"/>
                      <w:highlight w:val="none"/>
                    </w:rPr>
                  </w:pPr>
                  <w:r>
                    <w:rPr>
                      <w:kern w:val="0"/>
                      <w:sz w:val="21"/>
                      <w:szCs w:val="21"/>
                      <w:highlight w:val="none"/>
                    </w:rPr>
                    <w:t>24</w:t>
                  </w:r>
                </w:p>
              </w:tc>
              <w:tc>
                <w:tcPr>
                  <w:tcW w:w="1059" w:type="pct"/>
                  <w:tcBorders>
                    <w:tl2br w:val="nil"/>
                    <w:tr2bl w:val="nil"/>
                  </w:tcBorders>
                  <w:noWrap/>
                  <w:vAlign w:val="center"/>
                </w:tcPr>
                <w:p w14:paraId="3831163B">
                  <w:pPr>
                    <w:widowControl/>
                    <w:jc w:val="center"/>
                    <w:rPr>
                      <w:rFonts w:hint="eastAsia" w:eastAsia="宋体"/>
                      <w:kern w:val="0"/>
                      <w:sz w:val="21"/>
                      <w:szCs w:val="21"/>
                      <w:highlight w:val="none"/>
                      <w:lang w:eastAsia="zh-CN"/>
                    </w:rPr>
                  </w:pPr>
                  <w:r>
                    <w:rPr>
                      <w:kern w:val="0"/>
                      <w:sz w:val="21"/>
                      <w:szCs w:val="21"/>
                      <w:highlight w:val="none"/>
                    </w:rPr>
                    <w:t>硒</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5F13888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3D0823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B60BB3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835166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EF6AF8A">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C67C209">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1DC21D9E">
                  <w:pPr>
                    <w:widowControl/>
                    <w:jc w:val="center"/>
                    <w:rPr>
                      <w:kern w:val="0"/>
                      <w:sz w:val="21"/>
                      <w:szCs w:val="21"/>
                      <w:highlight w:val="none"/>
                    </w:rPr>
                  </w:pPr>
                  <w:r>
                    <w:rPr>
                      <w:kern w:val="0"/>
                      <w:sz w:val="21"/>
                      <w:szCs w:val="21"/>
                      <w:highlight w:val="none"/>
                    </w:rPr>
                    <w:t>/</w:t>
                  </w:r>
                </w:p>
              </w:tc>
            </w:tr>
            <w:tr w14:paraId="7D53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6D8046CB">
                  <w:pPr>
                    <w:widowControl/>
                    <w:jc w:val="center"/>
                    <w:rPr>
                      <w:kern w:val="0"/>
                      <w:sz w:val="21"/>
                      <w:szCs w:val="21"/>
                      <w:highlight w:val="none"/>
                    </w:rPr>
                  </w:pPr>
                  <w:r>
                    <w:rPr>
                      <w:kern w:val="0"/>
                      <w:sz w:val="21"/>
                      <w:szCs w:val="21"/>
                      <w:highlight w:val="none"/>
                    </w:rPr>
                    <w:t>25</w:t>
                  </w:r>
                </w:p>
              </w:tc>
              <w:tc>
                <w:tcPr>
                  <w:tcW w:w="1059" w:type="pct"/>
                  <w:tcBorders>
                    <w:tl2br w:val="nil"/>
                    <w:tr2bl w:val="nil"/>
                  </w:tcBorders>
                  <w:noWrap/>
                  <w:vAlign w:val="center"/>
                </w:tcPr>
                <w:p w14:paraId="088F86B3">
                  <w:pPr>
                    <w:widowControl/>
                    <w:jc w:val="center"/>
                    <w:rPr>
                      <w:rFonts w:hint="eastAsia" w:eastAsia="宋体"/>
                      <w:kern w:val="0"/>
                      <w:sz w:val="21"/>
                      <w:szCs w:val="21"/>
                      <w:highlight w:val="none"/>
                      <w:lang w:eastAsia="zh-CN"/>
                    </w:rPr>
                  </w:pPr>
                  <w:r>
                    <w:rPr>
                      <w:kern w:val="0"/>
                      <w:sz w:val="21"/>
                      <w:szCs w:val="21"/>
                      <w:highlight w:val="none"/>
                    </w:rPr>
                    <w:t>镉</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2103836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F69808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D55966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7B46D9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0F2721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7A1E10B">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24BBCF1F">
                  <w:pPr>
                    <w:widowControl/>
                    <w:jc w:val="center"/>
                    <w:rPr>
                      <w:kern w:val="0"/>
                      <w:sz w:val="21"/>
                      <w:szCs w:val="21"/>
                      <w:highlight w:val="none"/>
                    </w:rPr>
                  </w:pPr>
                  <w:r>
                    <w:rPr>
                      <w:kern w:val="0"/>
                      <w:sz w:val="21"/>
                      <w:szCs w:val="21"/>
                      <w:highlight w:val="none"/>
                    </w:rPr>
                    <w:t>/</w:t>
                  </w:r>
                </w:p>
              </w:tc>
            </w:tr>
            <w:tr w14:paraId="3DA4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47ED616C">
                  <w:pPr>
                    <w:widowControl/>
                    <w:jc w:val="center"/>
                    <w:rPr>
                      <w:kern w:val="0"/>
                      <w:sz w:val="21"/>
                      <w:szCs w:val="21"/>
                      <w:highlight w:val="none"/>
                    </w:rPr>
                  </w:pPr>
                  <w:r>
                    <w:rPr>
                      <w:kern w:val="0"/>
                      <w:sz w:val="21"/>
                      <w:szCs w:val="21"/>
                      <w:highlight w:val="none"/>
                    </w:rPr>
                    <w:t>26</w:t>
                  </w:r>
                </w:p>
              </w:tc>
              <w:tc>
                <w:tcPr>
                  <w:tcW w:w="1059" w:type="pct"/>
                  <w:tcBorders>
                    <w:tl2br w:val="nil"/>
                    <w:tr2bl w:val="nil"/>
                  </w:tcBorders>
                  <w:noWrap/>
                  <w:vAlign w:val="center"/>
                </w:tcPr>
                <w:p w14:paraId="2291B5E4">
                  <w:pPr>
                    <w:widowControl/>
                    <w:jc w:val="center"/>
                    <w:rPr>
                      <w:rFonts w:hint="eastAsia" w:eastAsia="宋体"/>
                      <w:kern w:val="0"/>
                      <w:sz w:val="21"/>
                      <w:szCs w:val="21"/>
                      <w:highlight w:val="none"/>
                      <w:lang w:eastAsia="zh-CN"/>
                    </w:rPr>
                  </w:pPr>
                  <w:r>
                    <w:rPr>
                      <w:kern w:val="0"/>
                      <w:sz w:val="21"/>
                      <w:szCs w:val="21"/>
                      <w:highlight w:val="none"/>
                    </w:rPr>
                    <w:t>铅</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685B9DD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4FE0D4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9E7C63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4643B3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45CC16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03A32D0">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4FD93024">
                  <w:pPr>
                    <w:widowControl/>
                    <w:jc w:val="center"/>
                    <w:rPr>
                      <w:kern w:val="0"/>
                      <w:sz w:val="21"/>
                      <w:szCs w:val="21"/>
                      <w:highlight w:val="none"/>
                    </w:rPr>
                  </w:pPr>
                  <w:r>
                    <w:rPr>
                      <w:kern w:val="0"/>
                      <w:sz w:val="21"/>
                      <w:szCs w:val="21"/>
                      <w:highlight w:val="none"/>
                    </w:rPr>
                    <w:t>/</w:t>
                  </w:r>
                </w:p>
              </w:tc>
            </w:tr>
            <w:tr w14:paraId="00DC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16D3AF40">
                  <w:pPr>
                    <w:widowControl/>
                    <w:jc w:val="center"/>
                    <w:rPr>
                      <w:kern w:val="0"/>
                      <w:sz w:val="21"/>
                      <w:szCs w:val="21"/>
                      <w:highlight w:val="none"/>
                    </w:rPr>
                  </w:pPr>
                  <w:r>
                    <w:rPr>
                      <w:kern w:val="0"/>
                      <w:sz w:val="21"/>
                      <w:szCs w:val="21"/>
                      <w:highlight w:val="none"/>
                    </w:rPr>
                    <w:t>27</w:t>
                  </w:r>
                </w:p>
              </w:tc>
              <w:tc>
                <w:tcPr>
                  <w:tcW w:w="1059" w:type="pct"/>
                  <w:tcBorders>
                    <w:tl2br w:val="nil"/>
                    <w:tr2bl w:val="nil"/>
                  </w:tcBorders>
                  <w:noWrap/>
                  <w:vAlign w:val="center"/>
                </w:tcPr>
                <w:p w14:paraId="42904E76">
                  <w:pPr>
                    <w:widowControl/>
                    <w:jc w:val="center"/>
                    <w:rPr>
                      <w:rFonts w:hint="eastAsia" w:eastAsia="宋体"/>
                      <w:kern w:val="0"/>
                      <w:sz w:val="21"/>
                      <w:szCs w:val="21"/>
                      <w:highlight w:val="none"/>
                      <w:lang w:eastAsia="zh-CN"/>
                    </w:rPr>
                  </w:pPr>
                  <w:r>
                    <w:rPr>
                      <w:kern w:val="0"/>
                      <w:sz w:val="21"/>
                      <w:szCs w:val="21"/>
                      <w:highlight w:val="none"/>
                    </w:rPr>
                    <w:t>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723" w:type="pct"/>
                  <w:tcBorders>
                    <w:tl2br w:val="nil"/>
                    <w:tr2bl w:val="nil"/>
                  </w:tcBorders>
                  <w:noWrap/>
                  <w:vAlign w:val="center"/>
                </w:tcPr>
                <w:p w14:paraId="55EDD067">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890FE7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4D6AE59">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238037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AD9EC0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8255A21">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72CDF68">
                  <w:pPr>
                    <w:widowControl/>
                    <w:jc w:val="center"/>
                    <w:rPr>
                      <w:kern w:val="0"/>
                      <w:sz w:val="21"/>
                      <w:szCs w:val="21"/>
                      <w:highlight w:val="none"/>
                    </w:rPr>
                  </w:pPr>
                  <w:r>
                    <w:rPr>
                      <w:kern w:val="0"/>
                      <w:sz w:val="21"/>
                      <w:szCs w:val="21"/>
                      <w:highlight w:val="none"/>
                    </w:rPr>
                    <w:t>/</w:t>
                  </w:r>
                </w:p>
              </w:tc>
            </w:tr>
            <w:tr w14:paraId="511B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4FDBDFBD">
                  <w:pPr>
                    <w:widowControl/>
                    <w:jc w:val="center"/>
                    <w:rPr>
                      <w:kern w:val="0"/>
                      <w:sz w:val="21"/>
                      <w:szCs w:val="21"/>
                      <w:highlight w:val="none"/>
                    </w:rPr>
                  </w:pPr>
                  <w:r>
                    <w:rPr>
                      <w:kern w:val="0"/>
                      <w:sz w:val="21"/>
                      <w:szCs w:val="21"/>
                      <w:highlight w:val="none"/>
                    </w:rPr>
                    <w:t>28</w:t>
                  </w:r>
                </w:p>
              </w:tc>
              <w:tc>
                <w:tcPr>
                  <w:tcW w:w="1059" w:type="pct"/>
                  <w:tcBorders>
                    <w:tl2br w:val="nil"/>
                    <w:tr2bl w:val="nil"/>
                  </w:tcBorders>
                  <w:noWrap/>
                  <w:vAlign w:val="center"/>
                </w:tcPr>
                <w:p w14:paraId="0B231F25">
                  <w:pPr>
                    <w:widowControl/>
                    <w:jc w:val="center"/>
                    <w:rPr>
                      <w:rFonts w:hint="eastAsia" w:eastAsia="宋体"/>
                      <w:kern w:val="0"/>
                      <w:sz w:val="21"/>
                      <w:szCs w:val="21"/>
                      <w:highlight w:val="none"/>
                      <w:lang w:eastAsia="zh-CN"/>
                    </w:rPr>
                  </w:pPr>
                  <w:r>
                    <w:rPr>
                      <w:kern w:val="0"/>
                      <w:sz w:val="21"/>
                      <w:szCs w:val="21"/>
                      <w:highlight w:val="none"/>
                    </w:rPr>
                    <w:t>甲苯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723" w:type="pct"/>
                  <w:tcBorders>
                    <w:tl2br w:val="nil"/>
                    <w:tr2bl w:val="nil"/>
                  </w:tcBorders>
                  <w:noWrap/>
                  <w:vAlign w:val="center"/>
                </w:tcPr>
                <w:p w14:paraId="3436F35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83EEC4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44F2E1F">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6C4275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379EC0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A209402">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7360311">
                  <w:pPr>
                    <w:widowControl/>
                    <w:jc w:val="center"/>
                    <w:rPr>
                      <w:kern w:val="0"/>
                      <w:sz w:val="21"/>
                      <w:szCs w:val="21"/>
                      <w:highlight w:val="none"/>
                    </w:rPr>
                  </w:pPr>
                  <w:r>
                    <w:rPr>
                      <w:kern w:val="0"/>
                      <w:sz w:val="21"/>
                      <w:szCs w:val="21"/>
                      <w:highlight w:val="none"/>
                    </w:rPr>
                    <w:t>/</w:t>
                  </w:r>
                </w:p>
              </w:tc>
            </w:tr>
            <w:tr w14:paraId="7FE9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512ED941">
                  <w:pPr>
                    <w:widowControl/>
                    <w:jc w:val="center"/>
                    <w:rPr>
                      <w:kern w:val="0"/>
                      <w:sz w:val="21"/>
                      <w:szCs w:val="21"/>
                      <w:highlight w:val="none"/>
                    </w:rPr>
                  </w:pPr>
                  <w:r>
                    <w:rPr>
                      <w:kern w:val="0"/>
                      <w:sz w:val="21"/>
                      <w:szCs w:val="21"/>
                      <w:highlight w:val="none"/>
                    </w:rPr>
                    <w:t>29</w:t>
                  </w:r>
                </w:p>
              </w:tc>
              <w:tc>
                <w:tcPr>
                  <w:tcW w:w="1059" w:type="pct"/>
                  <w:tcBorders>
                    <w:tl2br w:val="nil"/>
                    <w:tr2bl w:val="nil"/>
                  </w:tcBorders>
                  <w:noWrap/>
                  <w:vAlign w:val="center"/>
                </w:tcPr>
                <w:p w14:paraId="2F95F7C4">
                  <w:pPr>
                    <w:widowControl/>
                    <w:jc w:val="center"/>
                    <w:rPr>
                      <w:rFonts w:hint="eastAsia" w:eastAsia="宋体"/>
                      <w:kern w:val="0"/>
                      <w:sz w:val="21"/>
                      <w:szCs w:val="21"/>
                      <w:highlight w:val="none"/>
                      <w:lang w:eastAsia="zh-CN"/>
                    </w:rPr>
                  </w:pPr>
                  <w:r>
                    <w:rPr>
                      <w:kern w:val="0"/>
                      <w:sz w:val="21"/>
                      <w:szCs w:val="21"/>
                      <w:highlight w:val="none"/>
                    </w:rPr>
                    <w:t>乙苯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723" w:type="pct"/>
                  <w:tcBorders>
                    <w:tl2br w:val="nil"/>
                    <w:tr2bl w:val="nil"/>
                  </w:tcBorders>
                  <w:noWrap/>
                  <w:vAlign w:val="center"/>
                </w:tcPr>
                <w:p w14:paraId="54B1C18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62B64E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547F5BF">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F9D922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175D16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9E86960">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6550D3F0">
                  <w:pPr>
                    <w:widowControl/>
                    <w:jc w:val="center"/>
                    <w:rPr>
                      <w:kern w:val="0"/>
                      <w:sz w:val="21"/>
                      <w:szCs w:val="21"/>
                      <w:highlight w:val="none"/>
                    </w:rPr>
                  </w:pPr>
                  <w:r>
                    <w:rPr>
                      <w:kern w:val="0"/>
                      <w:sz w:val="21"/>
                      <w:szCs w:val="21"/>
                      <w:highlight w:val="none"/>
                    </w:rPr>
                    <w:t>/</w:t>
                  </w:r>
                </w:p>
              </w:tc>
            </w:tr>
            <w:tr w14:paraId="41E2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0D97A6A2">
                  <w:pPr>
                    <w:widowControl/>
                    <w:jc w:val="center"/>
                    <w:rPr>
                      <w:kern w:val="0"/>
                      <w:sz w:val="21"/>
                      <w:szCs w:val="21"/>
                      <w:highlight w:val="none"/>
                    </w:rPr>
                  </w:pPr>
                  <w:r>
                    <w:rPr>
                      <w:kern w:val="0"/>
                      <w:sz w:val="21"/>
                      <w:szCs w:val="21"/>
                      <w:highlight w:val="none"/>
                    </w:rPr>
                    <w:t>30</w:t>
                  </w:r>
                </w:p>
              </w:tc>
              <w:tc>
                <w:tcPr>
                  <w:tcW w:w="1059" w:type="pct"/>
                  <w:tcBorders>
                    <w:tl2br w:val="nil"/>
                    <w:tr2bl w:val="nil"/>
                  </w:tcBorders>
                  <w:noWrap/>
                  <w:vAlign w:val="center"/>
                </w:tcPr>
                <w:p w14:paraId="7336A294">
                  <w:pPr>
                    <w:widowControl/>
                    <w:jc w:val="center"/>
                    <w:rPr>
                      <w:rFonts w:hint="eastAsia" w:eastAsia="宋体"/>
                      <w:kern w:val="0"/>
                      <w:sz w:val="21"/>
                      <w:szCs w:val="21"/>
                      <w:highlight w:val="none"/>
                      <w:lang w:eastAsia="zh-CN"/>
                    </w:rPr>
                  </w:pPr>
                  <w:r>
                    <w:rPr>
                      <w:kern w:val="0"/>
                      <w:sz w:val="21"/>
                      <w:szCs w:val="21"/>
                      <w:highlight w:val="none"/>
                    </w:rPr>
                    <w:t>六价铬</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31CCC24D">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A002B8A">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D1F89A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1D6795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2BB3A3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7CE67C3">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25BA853F">
                  <w:pPr>
                    <w:widowControl/>
                    <w:jc w:val="center"/>
                    <w:rPr>
                      <w:kern w:val="0"/>
                      <w:sz w:val="21"/>
                      <w:szCs w:val="21"/>
                      <w:highlight w:val="none"/>
                    </w:rPr>
                  </w:pPr>
                  <w:r>
                    <w:rPr>
                      <w:kern w:val="0"/>
                      <w:sz w:val="21"/>
                      <w:szCs w:val="21"/>
                      <w:highlight w:val="none"/>
                    </w:rPr>
                    <w:t>/</w:t>
                  </w:r>
                </w:p>
              </w:tc>
            </w:tr>
            <w:tr w14:paraId="4D4C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73634BBB">
                  <w:pPr>
                    <w:widowControl/>
                    <w:jc w:val="center"/>
                    <w:rPr>
                      <w:kern w:val="0"/>
                      <w:sz w:val="21"/>
                      <w:szCs w:val="21"/>
                      <w:highlight w:val="none"/>
                    </w:rPr>
                  </w:pPr>
                  <w:r>
                    <w:rPr>
                      <w:kern w:val="0"/>
                      <w:sz w:val="21"/>
                      <w:szCs w:val="21"/>
                      <w:highlight w:val="none"/>
                    </w:rPr>
                    <w:t>31</w:t>
                  </w:r>
                </w:p>
              </w:tc>
              <w:tc>
                <w:tcPr>
                  <w:tcW w:w="1059" w:type="pct"/>
                  <w:tcBorders>
                    <w:tl2br w:val="nil"/>
                    <w:tr2bl w:val="nil"/>
                  </w:tcBorders>
                  <w:noWrap/>
                  <w:vAlign w:val="center"/>
                </w:tcPr>
                <w:p w14:paraId="2A2C38FB">
                  <w:pPr>
                    <w:widowControl/>
                    <w:jc w:val="center"/>
                    <w:rPr>
                      <w:rFonts w:hint="eastAsia" w:eastAsia="宋体"/>
                      <w:kern w:val="0"/>
                      <w:sz w:val="21"/>
                      <w:szCs w:val="21"/>
                      <w:highlight w:val="none"/>
                      <w:lang w:eastAsia="zh-CN"/>
                    </w:rPr>
                  </w:pPr>
                  <w:r>
                    <w:rPr>
                      <w:kern w:val="0"/>
                      <w:sz w:val="21"/>
                      <w:szCs w:val="21"/>
                      <w:highlight w:val="none"/>
                    </w:rPr>
                    <w:t>邻二甲苯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723" w:type="pct"/>
                  <w:tcBorders>
                    <w:tl2br w:val="nil"/>
                    <w:tr2bl w:val="nil"/>
                  </w:tcBorders>
                  <w:noWrap/>
                  <w:vAlign w:val="center"/>
                </w:tcPr>
                <w:p w14:paraId="520C52C2">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1373C5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A5C9FE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85120DD">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D665F4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94B582E">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4933234">
                  <w:pPr>
                    <w:widowControl/>
                    <w:jc w:val="center"/>
                    <w:rPr>
                      <w:kern w:val="0"/>
                      <w:sz w:val="21"/>
                      <w:szCs w:val="21"/>
                      <w:highlight w:val="none"/>
                    </w:rPr>
                  </w:pPr>
                  <w:r>
                    <w:rPr>
                      <w:kern w:val="0"/>
                      <w:sz w:val="21"/>
                      <w:szCs w:val="21"/>
                      <w:highlight w:val="none"/>
                    </w:rPr>
                    <w:t>/</w:t>
                  </w:r>
                </w:p>
              </w:tc>
            </w:tr>
            <w:tr w14:paraId="59AE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12FBC3CB">
                  <w:pPr>
                    <w:widowControl/>
                    <w:jc w:val="center"/>
                    <w:rPr>
                      <w:kern w:val="0"/>
                      <w:sz w:val="21"/>
                      <w:szCs w:val="21"/>
                      <w:highlight w:val="none"/>
                    </w:rPr>
                  </w:pPr>
                  <w:r>
                    <w:rPr>
                      <w:kern w:val="0"/>
                      <w:sz w:val="21"/>
                      <w:szCs w:val="21"/>
                      <w:highlight w:val="none"/>
                    </w:rPr>
                    <w:t>32</w:t>
                  </w:r>
                </w:p>
              </w:tc>
              <w:tc>
                <w:tcPr>
                  <w:tcW w:w="1059" w:type="pct"/>
                  <w:tcBorders>
                    <w:tl2br w:val="nil"/>
                    <w:tr2bl w:val="nil"/>
                  </w:tcBorders>
                  <w:noWrap/>
                  <w:vAlign w:val="center"/>
                </w:tcPr>
                <w:p w14:paraId="67A6E79F">
                  <w:pPr>
                    <w:widowControl/>
                    <w:jc w:val="center"/>
                    <w:rPr>
                      <w:rFonts w:hint="eastAsia" w:eastAsia="宋体"/>
                      <w:kern w:val="0"/>
                      <w:sz w:val="21"/>
                      <w:szCs w:val="21"/>
                      <w:highlight w:val="none"/>
                      <w:lang w:eastAsia="zh-CN"/>
                    </w:rPr>
                  </w:pPr>
                  <w:r>
                    <w:rPr>
                      <w:kern w:val="0"/>
                      <w:sz w:val="21"/>
                      <w:szCs w:val="21"/>
                      <w:highlight w:val="none"/>
                    </w:rPr>
                    <w:t>间，对-二甲苯</w:t>
                  </w:r>
                  <w:r>
                    <w:rPr>
                      <w:rFonts w:hint="eastAsia"/>
                      <w:kern w:val="0"/>
                      <w:sz w:val="21"/>
                      <w:szCs w:val="21"/>
                      <w:highlight w:val="none"/>
                      <w:lang w:eastAsia="zh-CN"/>
                    </w:rPr>
                    <w:t>（</w:t>
                  </w:r>
                  <w:r>
                    <w:rPr>
                      <w:kern w:val="0"/>
                      <w:sz w:val="21"/>
                      <w:szCs w:val="21"/>
                      <w:highlight w:val="none"/>
                    </w:rPr>
                    <w:t>ug/L</w:t>
                  </w:r>
                  <w:r>
                    <w:rPr>
                      <w:rFonts w:hint="eastAsia"/>
                      <w:kern w:val="0"/>
                      <w:sz w:val="21"/>
                      <w:szCs w:val="21"/>
                      <w:highlight w:val="none"/>
                      <w:lang w:eastAsia="zh-CN"/>
                    </w:rPr>
                    <w:t>）</w:t>
                  </w:r>
                </w:p>
              </w:tc>
              <w:tc>
                <w:tcPr>
                  <w:tcW w:w="723" w:type="pct"/>
                  <w:tcBorders>
                    <w:tl2br w:val="nil"/>
                    <w:tr2bl w:val="nil"/>
                  </w:tcBorders>
                  <w:noWrap/>
                  <w:vAlign w:val="center"/>
                </w:tcPr>
                <w:p w14:paraId="3091426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3CF396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212296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3B2B87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40DD78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E811042">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E9F10BF">
                  <w:pPr>
                    <w:widowControl/>
                    <w:jc w:val="center"/>
                    <w:rPr>
                      <w:kern w:val="0"/>
                      <w:sz w:val="21"/>
                      <w:szCs w:val="21"/>
                      <w:highlight w:val="none"/>
                    </w:rPr>
                  </w:pPr>
                  <w:r>
                    <w:rPr>
                      <w:kern w:val="0"/>
                      <w:sz w:val="21"/>
                      <w:szCs w:val="21"/>
                      <w:highlight w:val="none"/>
                    </w:rPr>
                    <w:t>/</w:t>
                  </w:r>
                </w:p>
              </w:tc>
            </w:tr>
            <w:tr w14:paraId="28EE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576749F3">
                  <w:pPr>
                    <w:widowControl/>
                    <w:jc w:val="center"/>
                    <w:rPr>
                      <w:kern w:val="0"/>
                      <w:sz w:val="21"/>
                      <w:szCs w:val="21"/>
                      <w:highlight w:val="none"/>
                    </w:rPr>
                  </w:pPr>
                  <w:r>
                    <w:rPr>
                      <w:kern w:val="0"/>
                      <w:sz w:val="21"/>
                      <w:szCs w:val="21"/>
                      <w:highlight w:val="none"/>
                    </w:rPr>
                    <w:t>33</w:t>
                  </w:r>
                </w:p>
              </w:tc>
              <w:tc>
                <w:tcPr>
                  <w:tcW w:w="1059" w:type="pct"/>
                  <w:tcBorders>
                    <w:tl2br w:val="nil"/>
                    <w:tr2bl w:val="nil"/>
                  </w:tcBorders>
                  <w:noWrap/>
                  <w:vAlign w:val="center"/>
                </w:tcPr>
                <w:p w14:paraId="5A005A2F">
                  <w:pPr>
                    <w:widowControl/>
                    <w:jc w:val="center"/>
                    <w:rPr>
                      <w:rFonts w:hint="eastAsia" w:eastAsia="宋体"/>
                      <w:kern w:val="0"/>
                      <w:sz w:val="21"/>
                      <w:szCs w:val="21"/>
                      <w:highlight w:val="none"/>
                      <w:lang w:eastAsia="zh-CN"/>
                    </w:rPr>
                  </w:pPr>
                  <w:r>
                    <w:rPr>
                      <w:kern w:val="0"/>
                      <w:sz w:val="21"/>
                      <w:szCs w:val="21"/>
                      <w:highlight w:val="none"/>
                    </w:rPr>
                    <w:t>甲基汞</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304F48CB">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9E73023">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337389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E99A4E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4767AB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FC759A9">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096EDCA2">
                  <w:pPr>
                    <w:widowControl/>
                    <w:jc w:val="center"/>
                    <w:rPr>
                      <w:kern w:val="0"/>
                      <w:sz w:val="21"/>
                      <w:szCs w:val="21"/>
                      <w:highlight w:val="none"/>
                    </w:rPr>
                  </w:pPr>
                  <w:r>
                    <w:rPr>
                      <w:kern w:val="0"/>
                      <w:sz w:val="21"/>
                      <w:szCs w:val="21"/>
                      <w:highlight w:val="none"/>
                    </w:rPr>
                    <w:t>/</w:t>
                  </w:r>
                </w:p>
              </w:tc>
            </w:tr>
            <w:tr w14:paraId="0C87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3630A76B">
                  <w:pPr>
                    <w:widowControl/>
                    <w:jc w:val="center"/>
                    <w:rPr>
                      <w:kern w:val="0"/>
                      <w:sz w:val="21"/>
                      <w:szCs w:val="21"/>
                      <w:highlight w:val="none"/>
                    </w:rPr>
                  </w:pPr>
                  <w:r>
                    <w:rPr>
                      <w:kern w:val="0"/>
                      <w:sz w:val="21"/>
                      <w:szCs w:val="21"/>
                      <w:highlight w:val="none"/>
                    </w:rPr>
                    <w:t>34</w:t>
                  </w:r>
                </w:p>
              </w:tc>
              <w:tc>
                <w:tcPr>
                  <w:tcW w:w="1059" w:type="pct"/>
                  <w:tcBorders>
                    <w:tl2br w:val="nil"/>
                    <w:tr2bl w:val="nil"/>
                  </w:tcBorders>
                  <w:noWrap/>
                  <w:vAlign w:val="center"/>
                </w:tcPr>
                <w:p w14:paraId="57D30EC7">
                  <w:pPr>
                    <w:widowControl/>
                    <w:jc w:val="center"/>
                    <w:rPr>
                      <w:rFonts w:hint="eastAsia" w:eastAsia="宋体"/>
                      <w:kern w:val="0"/>
                      <w:sz w:val="21"/>
                      <w:szCs w:val="21"/>
                      <w:highlight w:val="none"/>
                      <w:lang w:eastAsia="zh-CN"/>
                    </w:rPr>
                  </w:pPr>
                  <w:r>
                    <w:rPr>
                      <w:kern w:val="0"/>
                      <w:sz w:val="21"/>
                      <w:szCs w:val="21"/>
                      <w:highlight w:val="none"/>
                    </w:rPr>
                    <w:t>乙基汞</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75C466A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555CA39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70B5FA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22B4D90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88E494D">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A227C04">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692837EC">
                  <w:pPr>
                    <w:widowControl/>
                    <w:jc w:val="center"/>
                    <w:rPr>
                      <w:kern w:val="0"/>
                      <w:sz w:val="21"/>
                      <w:szCs w:val="21"/>
                      <w:highlight w:val="none"/>
                    </w:rPr>
                  </w:pPr>
                  <w:r>
                    <w:rPr>
                      <w:kern w:val="0"/>
                      <w:sz w:val="21"/>
                      <w:szCs w:val="21"/>
                      <w:highlight w:val="none"/>
                    </w:rPr>
                    <w:t>/</w:t>
                  </w:r>
                </w:p>
              </w:tc>
            </w:tr>
            <w:tr w14:paraId="1241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 w:hRule="atLeast"/>
                <w:jc w:val="center"/>
              </w:trPr>
              <w:tc>
                <w:tcPr>
                  <w:tcW w:w="459" w:type="pct"/>
                  <w:tcBorders>
                    <w:tl2br w:val="nil"/>
                    <w:tr2bl w:val="nil"/>
                  </w:tcBorders>
                  <w:noWrap/>
                  <w:vAlign w:val="center"/>
                </w:tcPr>
                <w:p w14:paraId="67C91FF3">
                  <w:pPr>
                    <w:widowControl/>
                    <w:jc w:val="center"/>
                    <w:rPr>
                      <w:kern w:val="0"/>
                      <w:sz w:val="21"/>
                      <w:szCs w:val="21"/>
                      <w:highlight w:val="none"/>
                    </w:rPr>
                  </w:pPr>
                  <w:r>
                    <w:rPr>
                      <w:kern w:val="0"/>
                      <w:sz w:val="21"/>
                      <w:szCs w:val="21"/>
                      <w:highlight w:val="none"/>
                    </w:rPr>
                    <w:t>35</w:t>
                  </w:r>
                </w:p>
              </w:tc>
              <w:tc>
                <w:tcPr>
                  <w:tcW w:w="1059" w:type="pct"/>
                  <w:tcBorders>
                    <w:tl2br w:val="nil"/>
                    <w:tr2bl w:val="nil"/>
                  </w:tcBorders>
                  <w:noWrap/>
                  <w:vAlign w:val="center"/>
                </w:tcPr>
                <w:p w14:paraId="7374C1B4">
                  <w:pPr>
                    <w:widowControl/>
                    <w:jc w:val="center"/>
                    <w:rPr>
                      <w:rFonts w:hint="eastAsia" w:eastAsia="宋体"/>
                      <w:kern w:val="0"/>
                      <w:sz w:val="21"/>
                      <w:szCs w:val="21"/>
                      <w:highlight w:val="none"/>
                      <w:lang w:eastAsia="zh-CN"/>
                    </w:rPr>
                  </w:pPr>
                  <w:r>
                    <w:rPr>
                      <w:kern w:val="0"/>
                      <w:sz w:val="21"/>
                      <w:szCs w:val="21"/>
                      <w:highlight w:val="none"/>
                    </w:rPr>
                    <w:t>氟化物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00635F8E">
                  <w:pPr>
                    <w:widowControl/>
                    <w:jc w:val="center"/>
                    <w:rPr>
                      <w:b/>
                      <w:kern w:val="0"/>
                      <w:sz w:val="21"/>
                      <w:szCs w:val="21"/>
                      <w:highlight w:val="none"/>
                    </w:rPr>
                  </w:pPr>
                  <w:r>
                    <w:rPr>
                      <w:b/>
                      <w:kern w:val="0"/>
                      <w:sz w:val="21"/>
                      <w:szCs w:val="21"/>
                      <w:highlight w:val="none"/>
                    </w:rPr>
                    <w:t>3.940</w:t>
                  </w:r>
                </w:p>
              </w:tc>
              <w:tc>
                <w:tcPr>
                  <w:tcW w:w="460" w:type="pct"/>
                  <w:tcBorders>
                    <w:tl2br w:val="nil"/>
                    <w:tr2bl w:val="nil"/>
                  </w:tcBorders>
                  <w:noWrap/>
                  <w:vAlign w:val="center"/>
                </w:tcPr>
                <w:p w14:paraId="4B5A5F55">
                  <w:pPr>
                    <w:widowControl/>
                    <w:jc w:val="center"/>
                    <w:rPr>
                      <w:kern w:val="0"/>
                      <w:sz w:val="21"/>
                      <w:szCs w:val="21"/>
                      <w:highlight w:val="none"/>
                    </w:rPr>
                  </w:pPr>
                  <w:r>
                    <w:rPr>
                      <w:kern w:val="0"/>
                      <w:sz w:val="21"/>
                      <w:szCs w:val="21"/>
                      <w:highlight w:val="none"/>
                    </w:rPr>
                    <w:t>0.622</w:t>
                  </w:r>
                </w:p>
              </w:tc>
              <w:tc>
                <w:tcPr>
                  <w:tcW w:w="460" w:type="pct"/>
                  <w:tcBorders>
                    <w:tl2br w:val="nil"/>
                    <w:tr2bl w:val="nil"/>
                  </w:tcBorders>
                  <w:noWrap/>
                  <w:vAlign w:val="center"/>
                </w:tcPr>
                <w:p w14:paraId="59F46CC2">
                  <w:pPr>
                    <w:widowControl/>
                    <w:jc w:val="center"/>
                    <w:rPr>
                      <w:b/>
                      <w:kern w:val="0"/>
                      <w:sz w:val="21"/>
                      <w:szCs w:val="21"/>
                      <w:highlight w:val="none"/>
                    </w:rPr>
                  </w:pPr>
                  <w:r>
                    <w:rPr>
                      <w:b/>
                      <w:kern w:val="0"/>
                      <w:sz w:val="21"/>
                      <w:szCs w:val="21"/>
                      <w:highlight w:val="none"/>
                    </w:rPr>
                    <w:t>1.450</w:t>
                  </w:r>
                </w:p>
              </w:tc>
              <w:tc>
                <w:tcPr>
                  <w:tcW w:w="460" w:type="pct"/>
                  <w:tcBorders>
                    <w:tl2br w:val="nil"/>
                    <w:tr2bl w:val="nil"/>
                  </w:tcBorders>
                  <w:noWrap/>
                  <w:vAlign w:val="center"/>
                </w:tcPr>
                <w:p w14:paraId="34B69B3C">
                  <w:pPr>
                    <w:widowControl/>
                    <w:jc w:val="center"/>
                    <w:rPr>
                      <w:b/>
                      <w:kern w:val="0"/>
                      <w:sz w:val="21"/>
                      <w:szCs w:val="21"/>
                      <w:highlight w:val="none"/>
                    </w:rPr>
                  </w:pPr>
                  <w:r>
                    <w:rPr>
                      <w:b/>
                      <w:kern w:val="0"/>
                      <w:sz w:val="21"/>
                      <w:szCs w:val="21"/>
                      <w:highlight w:val="none"/>
                    </w:rPr>
                    <w:t>1.760</w:t>
                  </w:r>
                </w:p>
              </w:tc>
              <w:tc>
                <w:tcPr>
                  <w:tcW w:w="460" w:type="pct"/>
                  <w:tcBorders>
                    <w:tl2br w:val="nil"/>
                    <w:tr2bl w:val="nil"/>
                  </w:tcBorders>
                  <w:noWrap/>
                  <w:vAlign w:val="center"/>
                </w:tcPr>
                <w:p w14:paraId="168A6F67">
                  <w:pPr>
                    <w:widowControl/>
                    <w:jc w:val="center"/>
                    <w:rPr>
                      <w:b/>
                      <w:kern w:val="0"/>
                      <w:sz w:val="21"/>
                      <w:szCs w:val="21"/>
                      <w:highlight w:val="none"/>
                    </w:rPr>
                  </w:pPr>
                  <w:r>
                    <w:rPr>
                      <w:b/>
                      <w:kern w:val="0"/>
                      <w:sz w:val="21"/>
                      <w:szCs w:val="21"/>
                      <w:highlight w:val="none"/>
                    </w:rPr>
                    <w:t>2.230</w:t>
                  </w:r>
                </w:p>
              </w:tc>
              <w:tc>
                <w:tcPr>
                  <w:tcW w:w="460" w:type="pct"/>
                  <w:tcBorders>
                    <w:tl2br w:val="nil"/>
                    <w:tr2bl w:val="nil"/>
                  </w:tcBorders>
                  <w:noWrap/>
                  <w:vAlign w:val="center"/>
                </w:tcPr>
                <w:p w14:paraId="48785FF1">
                  <w:pPr>
                    <w:widowControl/>
                    <w:jc w:val="center"/>
                    <w:rPr>
                      <w:b/>
                      <w:kern w:val="0"/>
                      <w:sz w:val="21"/>
                      <w:szCs w:val="21"/>
                      <w:highlight w:val="none"/>
                    </w:rPr>
                  </w:pPr>
                  <w:r>
                    <w:rPr>
                      <w:b/>
                      <w:kern w:val="0"/>
                      <w:sz w:val="21"/>
                      <w:szCs w:val="21"/>
                      <w:highlight w:val="none"/>
                    </w:rPr>
                    <w:t>2.100</w:t>
                  </w:r>
                </w:p>
              </w:tc>
              <w:tc>
                <w:tcPr>
                  <w:tcW w:w="457" w:type="pct"/>
                  <w:tcBorders>
                    <w:tl2br w:val="nil"/>
                    <w:tr2bl w:val="nil"/>
                  </w:tcBorders>
                  <w:noWrap/>
                  <w:vAlign w:val="center"/>
                </w:tcPr>
                <w:p w14:paraId="40196276">
                  <w:pPr>
                    <w:widowControl/>
                    <w:jc w:val="center"/>
                    <w:rPr>
                      <w:b/>
                      <w:kern w:val="0"/>
                      <w:sz w:val="21"/>
                      <w:szCs w:val="21"/>
                      <w:highlight w:val="none"/>
                    </w:rPr>
                  </w:pPr>
                  <w:r>
                    <w:rPr>
                      <w:b/>
                      <w:kern w:val="0"/>
                      <w:sz w:val="21"/>
                      <w:szCs w:val="21"/>
                      <w:highlight w:val="none"/>
                    </w:rPr>
                    <w:t>1.790</w:t>
                  </w:r>
                </w:p>
              </w:tc>
            </w:tr>
            <w:tr w14:paraId="77CE3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49592CBA">
                  <w:pPr>
                    <w:widowControl/>
                    <w:jc w:val="center"/>
                    <w:rPr>
                      <w:kern w:val="0"/>
                      <w:sz w:val="21"/>
                      <w:szCs w:val="21"/>
                      <w:highlight w:val="none"/>
                    </w:rPr>
                  </w:pPr>
                  <w:r>
                    <w:rPr>
                      <w:kern w:val="0"/>
                      <w:sz w:val="21"/>
                      <w:szCs w:val="21"/>
                      <w:highlight w:val="none"/>
                    </w:rPr>
                    <w:t>36</w:t>
                  </w:r>
                </w:p>
              </w:tc>
              <w:tc>
                <w:tcPr>
                  <w:tcW w:w="1059" w:type="pct"/>
                  <w:tcBorders>
                    <w:tl2br w:val="nil"/>
                    <w:tr2bl w:val="nil"/>
                  </w:tcBorders>
                  <w:noWrap/>
                  <w:vAlign w:val="center"/>
                </w:tcPr>
                <w:p w14:paraId="59B5C7CD">
                  <w:pPr>
                    <w:widowControl/>
                    <w:jc w:val="center"/>
                    <w:rPr>
                      <w:rFonts w:hint="eastAsia" w:eastAsia="宋体"/>
                      <w:kern w:val="0"/>
                      <w:sz w:val="21"/>
                      <w:szCs w:val="21"/>
                      <w:highlight w:val="none"/>
                      <w:lang w:eastAsia="zh-CN"/>
                    </w:rPr>
                  </w:pPr>
                  <w:r>
                    <w:rPr>
                      <w:kern w:val="0"/>
                      <w:sz w:val="21"/>
                      <w:szCs w:val="21"/>
                      <w:highlight w:val="none"/>
                    </w:rPr>
                    <w:t>氯化物</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7B75A372">
                  <w:pPr>
                    <w:widowControl/>
                    <w:jc w:val="center"/>
                    <w:rPr>
                      <w:b/>
                      <w:kern w:val="0"/>
                      <w:sz w:val="21"/>
                      <w:szCs w:val="21"/>
                      <w:highlight w:val="none"/>
                    </w:rPr>
                  </w:pPr>
                  <w:r>
                    <w:rPr>
                      <w:b/>
                      <w:kern w:val="0"/>
                      <w:sz w:val="21"/>
                      <w:szCs w:val="21"/>
                      <w:highlight w:val="none"/>
                    </w:rPr>
                    <w:t>1.264</w:t>
                  </w:r>
                </w:p>
              </w:tc>
              <w:tc>
                <w:tcPr>
                  <w:tcW w:w="460" w:type="pct"/>
                  <w:tcBorders>
                    <w:tl2br w:val="nil"/>
                    <w:tr2bl w:val="nil"/>
                  </w:tcBorders>
                  <w:noWrap/>
                  <w:vAlign w:val="center"/>
                </w:tcPr>
                <w:p w14:paraId="249D2D7D">
                  <w:pPr>
                    <w:widowControl/>
                    <w:jc w:val="center"/>
                    <w:rPr>
                      <w:b/>
                      <w:kern w:val="0"/>
                      <w:sz w:val="21"/>
                      <w:szCs w:val="21"/>
                      <w:highlight w:val="none"/>
                    </w:rPr>
                  </w:pPr>
                  <w:r>
                    <w:rPr>
                      <w:b/>
                      <w:kern w:val="0"/>
                      <w:sz w:val="21"/>
                      <w:szCs w:val="21"/>
                      <w:highlight w:val="none"/>
                    </w:rPr>
                    <w:t>1.904</w:t>
                  </w:r>
                </w:p>
              </w:tc>
              <w:tc>
                <w:tcPr>
                  <w:tcW w:w="460" w:type="pct"/>
                  <w:tcBorders>
                    <w:tl2br w:val="nil"/>
                    <w:tr2bl w:val="nil"/>
                  </w:tcBorders>
                  <w:noWrap/>
                  <w:vAlign w:val="center"/>
                </w:tcPr>
                <w:p w14:paraId="2364C3DA">
                  <w:pPr>
                    <w:widowControl/>
                    <w:jc w:val="center"/>
                    <w:rPr>
                      <w:kern w:val="0"/>
                      <w:sz w:val="21"/>
                      <w:szCs w:val="21"/>
                      <w:highlight w:val="none"/>
                    </w:rPr>
                  </w:pPr>
                  <w:r>
                    <w:rPr>
                      <w:kern w:val="0"/>
                      <w:sz w:val="21"/>
                      <w:szCs w:val="21"/>
                      <w:highlight w:val="none"/>
                    </w:rPr>
                    <w:t>0.724</w:t>
                  </w:r>
                </w:p>
              </w:tc>
              <w:tc>
                <w:tcPr>
                  <w:tcW w:w="460" w:type="pct"/>
                  <w:tcBorders>
                    <w:tl2br w:val="nil"/>
                    <w:tr2bl w:val="nil"/>
                  </w:tcBorders>
                  <w:noWrap/>
                  <w:vAlign w:val="center"/>
                </w:tcPr>
                <w:p w14:paraId="2E0437CF">
                  <w:pPr>
                    <w:widowControl/>
                    <w:jc w:val="center"/>
                    <w:rPr>
                      <w:b/>
                      <w:kern w:val="0"/>
                      <w:sz w:val="21"/>
                      <w:szCs w:val="21"/>
                      <w:highlight w:val="none"/>
                    </w:rPr>
                  </w:pPr>
                  <w:r>
                    <w:rPr>
                      <w:b/>
                      <w:kern w:val="0"/>
                      <w:sz w:val="21"/>
                      <w:szCs w:val="21"/>
                      <w:highlight w:val="none"/>
                    </w:rPr>
                    <w:t>1.840</w:t>
                  </w:r>
                </w:p>
              </w:tc>
              <w:tc>
                <w:tcPr>
                  <w:tcW w:w="460" w:type="pct"/>
                  <w:tcBorders>
                    <w:tl2br w:val="nil"/>
                    <w:tr2bl w:val="nil"/>
                  </w:tcBorders>
                  <w:noWrap/>
                  <w:vAlign w:val="center"/>
                </w:tcPr>
                <w:p w14:paraId="69764973">
                  <w:pPr>
                    <w:widowControl/>
                    <w:jc w:val="center"/>
                    <w:rPr>
                      <w:b/>
                      <w:kern w:val="0"/>
                      <w:sz w:val="21"/>
                      <w:szCs w:val="21"/>
                      <w:highlight w:val="none"/>
                    </w:rPr>
                  </w:pPr>
                  <w:r>
                    <w:rPr>
                      <w:b/>
                      <w:kern w:val="0"/>
                      <w:sz w:val="21"/>
                      <w:szCs w:val="21"/>
                      <w:highlight w:val="none"/>
                    </w:rPr>
                    <w:t>1.900</w:t>
                  </w:r>
                </w:p>
              </w:tc>
              <w:tc>
                <w:tcPr>
                  <w:tcW w:w="460" w:type="pct"/>
                  <w:tcBorders>
                    <w:tl2br w:val="nil"/>
                    <w:tr2bl w:val="nil"/>
                  </w:tcBorders>
                  <w:noWrap/>
                  <w:vAlign w:val="center"/>
                </w:tcPr>
                <w:p w14:paraId="3C83B61A">
                  <w:pPr>
                    <w:widowControl/>
                    <w:jc w:val="center"/>
                    <w:rPr>
                      <w:b/>
                      <w:kern w:val="0"/>
                      <w:sz w:val="21"/>
                      <w:szCs w:val="21"/>
                      <w:highlight w:val="none"/>
                    </w:rPr>
                  </w:pPr>
                  <w:r>
                    <w:rPr>
                      <w:b/>
                      <w:kern w:val="0"/>
                      <w:sz w:val="21"/>
                      <w:szCs w:val="21"/>
                      <w:highlight w:val="none"/>
                    </w:rPr>
                    <w:t>1.972</w:t>
                  </w:r>
                </w:p>
              </w:tc>
              <w:tc>
                <w:tcPr>
                  <w:tcW w:w="457" w:type="pct"/>
                  <w:tcBorders>
                    <w:tl2br w:val="nil"/>
                    <w:tr2bl w:val="nil"/>
                  </w:tcBorders>
                  <w:noWrap/>
                  <w:vAlign w:val="center"/>
                </w:tcPr>
                <w:p w14:paraId="04E95D92">
                  <w:pPr>
                    <w:widowControl/>
                    <w:jc w:val="center"/>
                    <w:rPr>
                      <w:kern w:val="0"/>
                      <w:sz w:val="21"/>
                      <w:szCs w:val="21"/>
                      <w:highlight w:val="none"/>
                    </w:rPr>
                  </w:pPr>
                  <w:r>
                    <w:rPr>
                      <w:kern w:val="0"/>
                      <w:sz w:val="21"/>
                      <w:szCs w:val="21"/>
                      <w:highlight w:val="none"/>
                    </w:rPr>
                    <w:t>0.724</w:t>
                  </w:r>
                </w:p>
              </w:tc>
            </w:tr>
            <w:tr w14:paraId="15B7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453DD99A">
                  <w:pPr>
                    <w:widowControl/>
                    <w:jc w:val="center"/>
                    <w:rPr>
                      <w:kern w:val="0"/>
                      <w:sz w:val="21"/>
                      <w:szCs w:val="21"/>
                      <w:highlight w:val="none"/>
                    </w:rPr>
                  </w:pPr>
                  <w:r>
                    <w:rPr>
                      <w:kern w:val="0"/>
                      <w:sz w:val="21"/>
                      <w:szCs w:val="21"/>
                      <w:highlight w:val="none"/>
                    </w:rPr>
                    <w:t>37</w:t>
                  </w:r>
                </w:p>
              </w:tc>
              <w:tc>
                <w:tcPr>
                  <w:tcW w:w="1059" w:type="pct"/>
                  <w:tcBorders>
                    <w:tl2br w:val="nil"/>
                    <w:tr2bl w:val="nil"/>
                  </w:tcBorders>
                  <w:noWrap/>
                  <w:vAlign w:val="center"/>
                </w:tcPr>
                <w:p w14:paraId="0AEEA1F0">
                  <w:pPr>
                    <w:widowControl/>
                    <w:jc w:val="center"/>
                    <w:rPr>
                      <w:rFonts w:hint="eastAsia" w:eastAsia="宋体"/>
                      <w:kern w:val="0"/>
                      <w:sz w:val="21"/>
                      <w:szCs w:val="21"/>
                      <w:highlight w:val="none"/>
                      <w:lang w:eastAsia="zh-CN"/>
                    </w:rPr>
                  </w:pPr>
                  <w:r>
                    <w:rPr>
                      <w:kern w:val="0"/>
                      <w:sz w:val="21"/>
                      <w:szCs w:val="21"/>
                      <w:highlight w:val="none"/>
                    </w:rPr>
                    <w:t>高锰酸盐指数（耗氧量）</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3A1131E7">
                  <w:pPr>
                    <w:widowControl/>
                    <w:jc w:val="center"/>
                    <w:rPr>
                      <w:b/>
                      <w:kern w:val="0"/>
                      <w:sz w:val="21"/>
                      <w:szCs w:val="21"/>
                      <w:highlight w:val="none"/>
                    </w:rPr>
                  </w:pPr>
                  <w:r>
                    <w:rPr>
                      <w:b/>
                      <w:kern w:val="0"/>
                      <w:sz w:val="21"/>
                      <w:szCs w:val="21"/>
                      <w:highlight w:val="none"/>
                    </w:rPr>
                    <w:t>1.230</w:t>
                  </w:r>
                </w:p>
              </w:tc>
              <w:tc>
                <w:tcPr>
                  <w:tcW w:w="460" w:type="pct"/>
                  <w:tcBorders>
                    <w:tl2br w:val="nil"/>
                    <w:tr2bl w:val="nil"/>
                  </w:tcBorders>
                  <w:noWrap/>
                  <w:vAlign w:val="center"/>
                </w:tcPr>
                <w:p w14:paraId="2F79A32C">
                  <w:pPr>
                    <w:widowControl/>
                    <w:jc w:val="center"/>
                    <w:rPr>
                      <w:kern w:val="0"/>
                      <w:sz w:val="21"/>
                      <w:szCs w:val="21"/>
                      <w:highlight w:val="none"/>
                    </w:rPr>
                  </w:pPr>
                  <w:r>
                    <w:rPr>
                      <w:kern w:val="0"/>
                      <w:sz w:val="21"/>
                      <w:szCs w:val="21"/>
                      <w:highlight w:val="none"/>
                    </w:rPr>
                    <w:t>0.857</w:t>
                  </w:r>
                </w:p>
              </w:tc>
              <w:tc>
                <w:tcPr>
                  <w:tcW w:w="460" w:type="pct"/>
                  <w:tcBorders>
                    <w:tl2br w:val="nil"/>
                    <w:tr2bl w:val="nil"/>
                  </w:tcBorders>
                  <w:noWrap/>
                  <w:vAlign w:val="center"/>
                </w:tcPr>
                <w:p w14:paraId="66C792A5">
                  <w:pPr>
                    <w:widowControl/>
                    <w:jc w:val="center"/>
                    <w:rPr>
                      <w:kern w:val="0"/>
                      <w:sz w:val="21"/>
                      <w:szCs w:val="21"/>
                      <w:highlight w:val="none"/>
                    </w:rPr>
                  </w:pPr>
                  <w:r>
                    <w:rPr>
                      <w:kern w:val="0"/>
                      <w:sz w:val="21"/>
                      <w:szCs w:val="21"/>
                      <w:highlight w:val="none"/>
                    </w:rPr>
                    <w:t>0.603</w:t>
                  </w:r>
                </w:p>
              </w:tc>
              <w:tc>
                <w:tcPr>
                  <w:tcW w:w="460" w:type="pct"/>
                  <w:tcBorders>
                    <w:tl2br w:val="nil"/>
                    <w:tr2bl w:val="nil"/>
                  </w:tcBorders>
                  <w:noWrap/>
                  <w:vAlign w:val="center"/>
                </w:tcPr>
                <w:p w14:paraId="3B9394E8">
                  <w:pPr>
                    <w:widowControl/>
                    <w:jc w:val="center"/>
                    <w:rPr>
                      <w:kern w:val="0"/>
                      <w:sz w:val="21"/>
                      <w:szCs w:val="21"/>
                      <w:highlight w:val="none"/>
                    </w:rPr>
                  </w:pPr>
                  <w:r>
                    <w:rPr>
                      <w:kern w:val="0"/>
                      <w:sz w:val="21"/>
                      <w:szCs w:val="21"/>
                      <w:highlight w:val="none"/>
                    </w:rPr>
                    <w:t>0.887</w:t>
                  </w:r>
                </w:p>
              </w:tc>
              <w:tc>
                <w:tcPr>
                  <w:tcW w:w="460" w:type="pct"/>
                  <w:tcBorders>
                    <w:tl2br w:val="nil"/>
                    <w:tr2bl w:val="nil"/>
                  </w:tcBorders>
                  <w:noWrap/>
                  <w:vAlign w:val="center"/>
                </w:tcPr>
                <w:p w14:paraId="04CF8014">
                  <w:pPr>
                    <w:widowControl/>
                    <w:jc w:val="center"/>
                    <w:rPr>
                      <w:kern w:val="0"/>
                      <w:sz w:val="21"/>
                      <w:szCs w:val="21"/>
                      <w:highlight w:val="none"/>
                    </w:rPr>
                  </w:pPr>
                  <w:r>
                    <w:rPr>
                      <w:kern w:val="0"/>
                      <w:sz w:val="21"/>
                      <w:szCs w:val="21"/>
                      <w:highlight w:val="none"/>
                    </w:rPr>
                    <w:t>0.817</w:t>
                  </w:r>
                </w:p>
              </w:tc>
              <w:tc>
                <w:tcPr>
                  <w:tcW w:w="460" w:type="pct"/>
                  <w:tcBorders>
                    <w:tl2br w:val="nil"/>
                    <w:tr2bl w:val="nil"/>
                  </w:tcBorders>
                  <w:noWrap/>
                  <w:vAlign w:val="center"/>
                </w:tcPr>
                <w:p w14:paraId="30F46CB3">
                  <w:pPr>
                    <w:widowControl/>
                    <w:jc w:val="center"/>
                    <w:rPr>
                      <w:b/>
                      <w:kern w:val="0"/>
                      <w:sz w:val="21"/>
                      <w:szCs w:val="21"/>
                      <w:highlight w:val="none"/>
                    </w:rPr>
                  </w:pPr>
                  <w:r>
                    <w:rPr>
                      <w:b/>
                      <w:kern w:val="0"/>
                      <w:sz w:val="21"/>
                      <w:szCs w:val="21"/>
                      <w:highlight w:val="none"/>
                    </w:rPr>
                    <w:t>1.167</w:t>
                  </w:r>
                </w:p>
              </w:tc>
              <w:tc>
                <w:tcPr>
                  <w:tcW w:w="457" w:type="pct"/>
                  <w:tcBorders>
                    <w:tl2br w:val="nil"/>
                    <w:tr2bl w:val="nil"/>
                  </w:tcBorders>
                  <w:noWrap/>
                  <w:vAlign w:val="center"/>
                </w:tcPr>
                <w:p w14:paraId="0D754E03">
                  <w:pPr>
                    <w:widowControl/>
                    <w:jc w:val="center"/>
                    <w:rPr>
                      <w:b/>
                      <w:kern w:val="0"/>
                      <w:sz w:val="21"/>
                      <w:szCs w:val="21"/>
                      <w:highlight w:val="none"/>
                    </w:rPr>
                  </w:pPr>
                  <w:r>
                    <w:rPr>
                      <w:b/>
                      <w:kern w:val="0"/>
                      <w:sz w:val="21"/>
                      <w:szCs w:val="21"/>
                      <w:highlight w:val="none"/>
                    </w:rPr>
                    <w:t>1.133</w:t>
                  </w:r>
                </w:p>
              </w:tc>
            </w:tr>
            <w:tr w14:paraId="6069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4B88EF00">
                  <w:pPr>
                    <w:widowControl/>
                    <w:jc w:val="center"/>
                    <w:rPr>
                      <w:kern w:val="0"/>
                      <w:sz w:val="21"/>
                      <w:szCs w:val="21"/>
                      <w:highlight w:val="none"/>
                    </w:rPr>
                  </w:pPr>
                  <w:r>
                    <w:rPr>
                      <w:kern w:val="0"/>
                      <w:sz w:val="21"/>
                      <w:szCs w:val="21"/>
                      <w:highlight w:val="none"/>
                    </w:rPr>
                    <w:t>38</w:t>
                  </w:r>
                </w:p>
              </w:tc>
              <w:tc>
                <w:tcPr>
                  <w:tcW w:w="1059" w:type="pct"/>
                  <w:tcBorders>
                    <w:tl2br w:val="nil"/>
                    <w:tr2bl w:val="nil"/>
                  </w:tcBorders>
                  <w:noWrap/>
                  <w:vAlign w:val="center"/>
                </w:tcPr>
                <w:p w14:paraId="5B17D12C">
                  <w:pPr>
                    <w:widowControl/>
                    <w:jc w:val="center"/>
                    <w:rPr>
                      <w:rFonts w:hint="eastAsia" w:eastAsia="宋体"/>
                      <w:kern w:val="0"/>
                      <w:sz w:val="21"/>
                      <w:szCs w:val="21"/>
                      <w:highlight w:val="none"/>
                      <w:lang w:eastAsia="zh-CN"/>
                    </w:rPr>
                  </w:pPr>
                  <w:r>
                    <w:rPr>
                      <w:kern w:val="0"/>
                      <w:sz w:val="21"/>
                      <w:szCs w:val="21"/>
                      <w:highlight w:val="none"/>
                    </w:rPr>
                    <w:t>亚硝酸盐氮</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2EE0EB46">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7FAE064">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F02F585">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1522CAA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A6FDFA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D654368">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61DF4587">
                  <w:pPr>
                    <w:widowControl/>
                    <w:jc w:val="center"/>
                    <w:rPr>
                      <w:kern w:val="0"/>
                      <w:sz w:val="21"/>
                      <w:szCs w:val="21"/>
                      <w:highlight w:val="none"/>
                    </w:rPr>
                  </w:pPr>
                  <w:r>
                    <w:rPr>
                      <w:kern w:val="0"/>
                      <w:sz w:val="21"/>
                      <w:szCs w:val="21"/>
                      <w:highlight w:val="none"/>
                    </w:rPr>
                    <w:t>/</w:t>
                  </w:r>
                </w:p>
              </w:tc>
            </w:tr>
            <w:tr w14:paraId="7785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27539767">
                  <w:pPr>
                    <w:widowControl/>
                    <w:jc w:val="center"/>
                    <w:rPr>
                      <w:kern w:val="0"/>
                      <w:sz w:val="21"/>
                      <w:szCs w:val="21"/>
                      <w:highlight w:val="none"/>
                    </w:rPr>
                  </w:pPr>
                  <w:r>
                    <w:rPr>
                      <w:kern w:val="0"/>
                      <w:sz w:val="21"/>
                      <w:szCs w:val="21"/>
                      <w:highlight w:val="none"/>
                    </w:rPr>
                    <w:t>39</w:t>
                  </w:r>
                </w:p>
              </w:tc>
              <w:tc>
                <w:tcPr>
                  <w:tcW w:w="1059" w:type="pct"/>
                  <w:tcBorders>
                    <w:tl2br w:val="nil"/>
                    <w:tr2bl w:val="nil"/>
                  </w:tcBorders>
                  <w:noWrap/>
                  <w:vAlign w:val="center"/>
                </w:tcPr>
                <w:p w14:paraId="3F9E2F2E">
                  <w:pPr>
                    <w:widowControl/>
                    <w:jc w:val="center"/>
                    <w:rPr>
                      <w:rFonts w:hint="eastAsia" w:eastAsia="宋体"/>
                      <w:kern w:val="0"/>
                      <w:sz w:val="21"/>
                      <w:szCs w:val="21"/>
                      <w:highlight w:val="none"/>
                      <w:lang w:eastAsia="zh-CN"/>
                    </w:rPr>
                  </w:pPr>
                  <w:r>
                    <w:rPr>
                      <w:kern w:val="0"/>
                      <w:sz w:val="21"/>
                      <w:szCs w:val="21"/>
                      <w:highlight w:val="none"/>
                    </w:rPr>
                    <w:t>硝酸盐氮</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2D594860">
                  <w:pPr>
                    <w:widowControl/>
                    <w:jc w:val="center"/>
                    <w:rPr>
                      <w:kern w:val="0"/>
                      <w:sz w:val="21"/>
                      <w:szCs w:val="21"/>
                      <w:highlight w:val="none"/>
                    </w:rPr>
                  </w:pPr>
                  <w:r>
                    <w:rPr>
                      <w:kern w:val="0"/>
                      <w:sz w:val="21"/>
                      <w:szCs w:val="21"/>
                      <w:highlight w:val="none"/>
                    </w:rPr>
                    <w:t>0.331</w:t>
                  </w:r>
                </w:p>
              </w:tc>
              <w:tc>
                <w:tcPr>
                  <w:tcW w:w="460" w:type="pct"/>
                  <w:tcBorders>
                    <w:tl2br w:val="nil"/>
                    <w:tr2bl w:val="nil"/>
                  </w:tcBorders>
                  <w:noWrap/>
                  <w:vAlign w:val="center"/>
                </w:tcPr>
                <w:p w14:paraId="795ED08D">
                  <w:pPr>
                    <w:widowControl/>
                    <w:jc w:val="center"/>
                    <w:rPr>
                      <w:kern w:val="0"/>
                      <w:sz w:val="21"/>
                      <w:szCs w:val="21"/>
                      <w:highlight w:val="none"/>
                    </w:rPr>
                  </w:pPr>
                  <w:r>
                    <w:rPr>
                      <w:kern w:val="0"/>
                      <w:sz w:val="21"/>
                      <w:szCs w:val="21"/>
                      <w:highlight w:val="none"/>
                    </w:rPr>
                    <w:t>0.770</w:t>
                  </w:r>
                </w:p>
              </w:tc>
              <w:tc>
                <w:tcPr>
                  <w:tcW w:w="460" w:type="pct"/>
                  <w:tcBorders>
                    <w:tl2br w:val="nil"/>
                    <w:tr2bl w:val="nil"/>
                  </w:tcBorders>
                  <w:noWrap/>
                  <w:vAlign w:val="center"/>
                </w:tcPr>
                <w:p w14:paraId="520F5FD2">
                  <w:pPr>
                    <w:widowControl/>
                    <w:jc w:val="center"/>
                    <w:rPr>
                      <w:b/>
                      <w:kern w:val="0"/>
                      <w:sz w:val="21"/>
                      <w:szCs w:val="21"/>
                      <w:highlight w:val="none"/>
                    </w:rPr>
                  </w:pPr>
                  <w:r>
                    <w:rPr>
                      <w:b/>
                      <w:kern w:val="0"/>
                      <w:sz w:val="21"/>
                      <w:szCs w:val="21"/>
                      <w:highlight w:val="none"/>
                    </w:rPr>
                    <w:t>1.330</w:t>
                  </w:r>
                </w:p>
              </w:tc>
              <w:tc>
                <w:tcPr>
                  <w:tcW w:w="460" w:type="pct"/>
                  <w:tcBorders>
                    <w:tl2br w:val="nil"/>
                    <w:tr2bl w:val="nil"/>
                  </w:tcBorders>
                  <w:noWrap/>
                  <w:vAlign w:val="center"/>
                </w:tcPr>
                <w:p w14:paraId="11D2182E">
                  <w:pPr>
                    <w:widowControl/>
                    <w:jc w:val="center"/>
                    <w:rPr>
                      <w:kern w:val="0"/>
                      <w:sz w:val="21"/>
                      <w:szCs w:val="21"/>
                      <w:highlight w:val="none"/>
                    </w:rPr>
                  </w:pPr>
                  <w:r>
                    <w:rPr>
                      <w:kern w:val="0"/>
                      <w:sz w:val="21"/>
                      <w:szCs w:val="21"/>
                      <w:highlight w:val="none"/>
                    </w:rPr>
                    <w:t>0.685</w:t>
                  </w:r>
                </w:p>
              </w:tc>
              <w:tc>
                <w:tcPr>
                  <w:tcW w:w="460" w:type="pct"/>
                  <w:tcBorders>
                    <w:tl2br w:val="nil"/>
                    <w:tr2bl w:val="nil"/>
                  </w:tcBorders>
                  <w:noWrap/>
                  <w:vAlign w:val="center"/>
                </w:tcPr>
                <w:p w14:paraId="1A9B3B12">
                  <w:pPr>
                    <w:widowControl/>
                    <w:jc w:val="center"/>
                    <w:rPr>
                      <w:kern w:val="0"/>
                      <w:sz w:val="21"/>
                      <w:szCs w:val="21"/>
                      <w:highlight w:val="none"/>
                    </w:rPr>
                  </w:pPr>
                  <w:r>
                    <w:rPr>
                      <w:kern w:val="0"/>
                      <w:sz w:val="21"/>
                      <w:szCs w:val="21"/>
                      <w:highlight w:val="none"/>
                    </w:rPr>
                    <w:t>0.845</w:t>
                  </w:r>
                </w:p>
              </w:tc>
              <w:tc>
                <w:tcPr>
                  <w:tcW w:w="460" w:type="pct"/>
                  <w:tcBorders>
                    <w:tl2br w:val="nil"/>
                    <w:tr2bl w:val="nil"/>
                  </w:tcBorders>
                  <w:noWrap/>
                  <w:vAlign w:val="center"/>
                </w:tcPr>
                <w:p w14:paraId="587105A4">
                  <w:pPr>
                    <w:widowControl/>
                    <w:jc w:val="center"/>
                    <w:rPr>
                      <w:kern w:val="0"/>
                      <w:sz w:val="21"/>
                      <w:szCs w:val="21"/>
                      <w:highlight w:val="none"/>
                    </w:rPr>
                  </w:pPr>
                  <w:r>
                    <w:rPr>
                      <w:kern w:val="0"/>
                      <w:sz w:val="21"/>
                      <w:szCs w:val="21"/>
                      <w:highlight w:val="none"/>
                    </w:rPr>
                    <w:t>0.815</w:t>
                  </w:r>
                </w:p>
              </w:tc>
              <w:tc>
                <w:tcPr>
                  <w:tcW w:w="457" w:type="pct"/>
                  <w:tcBorders>
                    <w:tl2br w:val="nil"/>
                    <w:tr2bl w:val="nil"/>
                  </w:tcBorders>
                  <w:noWrap/>
                  <w:vAlign w:val="center"/>
                </w:tcPr>
                <w:p w14:paraId="7C5205A3">
                  <w:pPr>
                    <w:widowControl/>
                    <w:jc w:val="center"/>
                    <w:rPr>
                      <w:kern w:val="0"/>
                      <w:sz w:val="21"/>
                      <w:szCs w:val="21"/>
                      <w:highlight w:val="none"/>
                    </w:rPr>
                  </w:pPr>
                  <w:r>
                    <w:rPr>
                      <w:kern w:val="0"/>
                      <w:sz w:val="21"/>
                      <w:szCs w:val="21"/>
                      <w:highlight w:val="none"/>
                    </w:rPr>
                    <w:t>0.300</w:t>
                  </w:r>
                </w:p>
              </w:tc>
            </w:tr>
            <w:tr w14:paraId="4AF5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5F973AF3">
                  <w:pPr>
                    <w:widowControl/>
                    <w:jc w:val="center"/>
                    <w:rPr>
                      <w:kern w:val="0"/>
                      <w:sz w:val="21"/>
                      <w:szCs w:val="21"/>
                      <w:highlight w:val="none"/>
                    </w:rPr>
                  </w:pPr>
                  <w:r>
                    <w:rPr>
                      <w:kern w:val="0"/>
                      <w:sz w:val="21"/>
                      <w:szCs w:val="21"/>
                      <w:highlight w:val="none"/>
                    </w:rPr>
                    <w:t>40</w:t>
                  </w:r>
                </w:p>
              </w:tc>
              <w:tc>
                <w:tcPr>
                  <w:tcW w:w="1059" w:type="pct"/>
                  <w:tcBorders>
                    <w:tl2br w:val="nil"/>
                    <w:tr2bl w:val="nil"/>
                  </w:tcBorders>
                  <w:noWrap/>
                  <w:vAlign w:val="center"/>
                </w:tcPr>
                <w:p w14:paraId="113B2737">
                  <w:pPr>
                    <w:widowControl/>
                    <w:jc w:val="center"/>
                    <w:rPr>
                      <w:rFonts w:hint="eastAsia" w:eastAsia="宋体"/>
                      <w:kern w:val="0"/>
                      <w:sz w:val="21"/>
                      <w:szCs w:val="21"/>
                      <w:highlight w:val="none"/>
                      <w:lang w:eastAsia="zh-CN"/>
                    </w:rPr>
                  </w:pPr>
                  <w:r>
                    <w:rPr>
                      <w:kern w:val="0"/>
                      <w:sz w:val="21"/>
                      <w:szCs w:val="21"/>
                      <w:highlight w:val="none"/>
                    </w:rPr>
                    <w:t>硫酸盐</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588DFFCD">
                  <w:pPr>
                    <w:widowControl/>
                    <w:jc w:val="center"/>
                    <w:rPr>
                      <w:b/>
                      <w:kern w:val="0"/>
                      <w:sz w:val="21"/>
                      <w:szCs w:val="21"/>
                      <w:highlight w:val="none"/>
                    </w:rPr>
                  </w:pPr>
                  <w:r>
                    <w:rPr>
                      <w:b/>
                      <w:kern w:val="0"/>
                      <w:sz w:val="21"/>
                      <w:szCs w:val="21"/>
                      <w:highlight w:val="none"/>
                    </w:rPr>
                    <w:t>1.988</w:t>
                  </w:r>
                </w:p>
              </w:tc>
              <w:tc>
                <w:tcPr>
                  <w:tcW w:w="460" w:type="pct"/>
                  <w:tcBorders>
                    <w:tl2br w:val="nil"/>
                    <w:tr2bl w:val="nil"/>
                  </w:tcBorders>
                  <w:noWrap/>
                  <w:vAlign w:val="center"/>
                </w:tcPr>
                <w:p w14:paraId="4CF0FFA8">
                  <w:pPr>
                    <w:widowControl/>
                    <w:jc w:val="center"/>
                    <w:rPr>
                      <w:b/>
                      <w:kern w:val="0"/>
                      <w:sz w:val="21"/>
                      <w:szCs w:val="21"/>
                      <w:highlight w:val="none"/>
                    </w:rPr>
                  </w:pPr>
                  <w:r>
                    <w:rPr>
                      <w:b/>
                      <w:kern w:val="0"/>
                      <w:sz w:val="21"/>
                      <w:szCs w:val="21"/>
                      <w:highlight w:val="none"/>
                    </w:rPr>
                    <w:t>2.152</w:t>
                  </w:r>
                </w:p>
              </w:tc>
              <w:tc>
                <w:tcPr>
                  <w:tcW w:w="460" w:type="pct"/>
                  <w:tcBorders>
                    <w:tl2br w:val="nil"/>
                    <w:tr2bl w:val="nil"/>
                  </w:tcBorders>
                  <w:noWrap/>
                  <w:vAlign w:val="center"/>
                </w:tcPr>
                <w:p w14:paraId="5FBD0D1D">
                  <w:pPr>
                    <w:widowControl/>
                    <w:jc w:val="center"/>
                    <w:rPr>
                      <w:kern w:val="0"/>
                      <w:sz w:val="21"/>
                      <w:szCs w:val="21"/>
                      <w:highlight w:val="none"/>
                    </w:rPr>
                  </w:pPr>
                  <w:r>
                    <w:rPr>
                      <w:kern w:val="0"/>
                      <w:sz w:val="21"/>
                      <w:szCs w:val="21"/>
                      <w:highlight w:val="none"/>
                    </w:rPr>
                    <w:t>0.568</w:t>
                  </w:r>
                </w:p>
              </w:tc>
              <w:tc>
                <w:tcPr>
                  <w:tcW w:w="460" w:type="pct"/>
                  <w:tcBorders>
                    <w:tl2br w:val="nil"/>
                    <w:tr2bl w:val="nil"/>
                  </w:tcBorders>
                  <w:noWrap/>
                  <w:vAlign w:val="center"/>
                </w:tcPr>
                <w:p w14:paraId="2684240A">
                  <w:pPr>
                    <w:widowControl/>
                    <w:jc w:val="center"/>
                    <w:rPr>
                      <w:b/>
                      <w:kern w:val="0"/>
                      <w:sz w:val="21"/>
                      <w:szCs w:val="21"/>
                      <w:highlight w:val="none"/>
                    </w:rPr>
                  </w:pPr>
                  <w:r>
                    <w:rPr>
                      <w:b/>
                      <w:kern w:val="0"/>
                      <w:sz w:val="21"/>
                      <w:szCs w:val="21"/>
                      <w:highlight w:val="none"/>
                    </w:rPr>
                    <w:t>2.344</w:t>
                  </w:r>
                </w:p>
              </w:tc>
              <w:tc>
                <w:tcPr>
                  <w:tcW w:w="460" w:type="pct"/>
                  <w:tcBorders>
                    <w:tl2br w:val="nil"/>
                    <w:tr2bl w:val="nil"/>
                  </w:tcBorders>
                  <w:noWrap/>
                  <w:vAlign w:val="center"/>
                </w:tcPr>
                <w:p w14:paraId="35842C89">
                  <w:pPr>
                    <w:widowControl/>
                    <w:jc w:val="center"/>
                    <w:rPr>
                      <w:b/>
                      <w:kern w:val="0"/>
                      <w:sz w:val="21"/>
                      <w:szCs w:val="21"/>
                      <w:highlight w:val="none"/>
                    </w:rPr>
                  </w:pPr>
                  <w:r>
                    <w:rPr>
                      <w:b/>
                      <w:kern w:val="0"/>
                      <w:sz w:val="21"/>
                      <w:szCs w:val="21"/>
                      <w:highlight w:val="none"/>
                    </w:rPr>
                    <w:t>2.284</w:t>
                  </w:r>
                </w:p>
              </w:tc>
              <w:tc>
                <w:tcPr>
                  <w:tcW w:w="460" w:type="pct"/>
                  <w:tcBorders>
                    <w:tl2br w:val="nil"/>
                    <w:tr2bl w:val="nil"/>
                  </w:tcBorders>
                  <w:noWrap/>
                  <w:vAlign w:val="center"/>
                </w:tcPr>
                <w:p w14:paraId="63F1F091">
                  <w:pPr>
                    <w:widowControl/>
                    <w:jc w:val="center"/>
                    <w:rPr>
                      <w:b/>
                      <w:kern w:val="0"/>
                      <w:sz w:val="21"/>
                      <w:szCs w:val="21"/>
                      <w:highlight w:val="none"/>
                    </w:rPr>
                  </w:pPr>
                  <w:r>
                    <w:rPr>
                      <w:b/>
                      <w:kern w:val="0"/>
                      <w:sz w:val="21"/>
                      <w:szCs w:val="21"/>
                      <w:highlight w:val="none"/>
                    </w:rPr>
                    <w:t>2.448</w:t>
                  </w:r>
                </w:p>
              </w:tc>
              <w:tc>
                <w:tcPr>
                  <w:tcW w:w="457" w:type="pct"/>
                  <w:tcBorders>
                    <w:tl2br w:val="nil"/>
                    <w:tr2bl w:val="nil"/>
                  </w:tcBorders>
                  <w:noWrap/>
                  <w:vAlign w:val="center"/>
                </w:tcPr>
                <w:p w14:paraId="2779B85E">
                  <w:pPr>
                    <w:widowControl/>
                    <w:jc w:val="center"/>
                    <w:rPr>
                      <w:b/>
                      <w:kern w:val="0"/>
                      <w:sz w:val="21"/>
                      <w:szCs w:val="21"/>
                      <w:highlight w:val="none"/>
                    </w:rPr>
                  </w:pPr>
                  <w:r>
                    <w:rPr>
                      <w:b/>
                      <w:kern w:val="0"/>
                      <w:sz w:val="21"/>
                      <w:szCs w:val="21"/>
                      <w:highlight w:val="none"/>
                    </w:rPr>
                    <w:t>1.528</w:t>
                  </w:r>
                </w:p>
              </w:tc>
            </w:tr>
            <w:tr w14:paraId="54AD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59" w:type="pct"/>
                  <w:tcBorders>
                    <w:tl2br w:val="nil"/>
                    <w:tr2bl w:val="nil"/>
                  </w:tcBorders>
                  <w:noWrap/>
                  <w:vAlign w:val="center"/>
                </w:tcPr>
                <w:p w14:paraId="51DE88E5">
                  <w:pPr>
                    <w:widowControl/>
                    <w:jc w:val="center"/>
                    <w:rPr>
                      <w:kern w:val="0"/>
                      <w:sz w:val="21"/>
                      <w:szCs w:val="21"/>
                      <w:highlight w:val="none"/>
                    </w:rPr>
                  </w:pPr>
                  <w:r>
                    <w:rPr>
                      <w:kern w:val="0"/>
                      <w:sz w:val="21"/>
                      <w:szCs w:val="21"/>
                      <w:highlight w:val="none"/>
                    </w:rPr>
                    <w:t>41</w:t>
                  </w:r>
                </w:p>
              </w:tc>
              <w:tc>
                <w:tcPr>
                  <w:tcW w:w="1059" w:type="pct"/>
                  <w:tcBorders>
                    <w:tl2br w:val="nil"/>
                    <w:tr2bl w:val="nil"/>
                  </w:tcBorders>
                  <w:noWrap/>
                  <w:vAlign w:val="center"/>
                </w:tcPr>
                <w:p w14:paraId="29A98A55">
                  <w:pPr>
                    <w:widowControl/>
                    <w:jc w:val="center"/>
                    <w:rPr>
                      <w:rFonts w:hint="eastAsia" w:eastAsia="宋体"/>
                      <w:kern w:val="0"/>
                      <w:sz w:val="21"/>
                      <w:szCs w:val="21"/>
                      <w:highlight w:val="none"/>
                      <w:lang w:eastAsia="zh-CN"/>
                    </w:rPr>
                  </w:pPr>
                  <w:r>
                    <w:rPr>
                      <w:kern w:val="0"/>
                      <w:sz w:val="21"/>
                      <w:szCs w:val="21"/>
                      <w:highlight w:val="none"/>
                    </w:rPr>
                    <w:t>石油类</w:t>
                  </w:r>
                  <w:r>
                    <w:rPr>
                      <w:rFonts w:hint="eastAsia"/>
                      <w:kern w:val="0"/>
                      <w:sz w:val="21"/>
                      <w:szCs w:val="21"/>
                      <w:highlight w:val="none"/>
                      <w:lang w:eastAsia="zh-CN"/>
                    </w:rPr>
                    <w:t>（</w:t>
                  </w:r>
                  <w:r>
                    <w:rPr>
                      <w:kern w:val="0"/>
                      <w:sz w:val="21"/>
                      <w:szCs w:val="21"/>
                      <w:highlight w:val="none"/>
                    </w:rPr>
                    <w:t>mg/L</w:t>
                  </w:r>
                  <w:r>
                    <w:rPr>
                      <w:rFonts w:hint="eastAsia"/>
                      <w:kern w:val="0"/>
                      <w:sz w:val="21"/>
                      <w:szCs w:val="21"/>
                      <w:highlight w:val="none"/>
                      <w:lang w:eastAsia="zh-CN"/>
                    </w:rPr>
                    <w:t>）</w:t>
                  </w:r>
                </w:p>
              </w:tc>
              <w:tc>
                <w:tcPr>
                  <w:tcW w:w="723" w:type="pct"/>
                  <w:tcBorders>
                    <w:tl2br w:val="nil"/>
                    <w:tr2bl w:val="nil"/>
                  </w:tcBorders>
                  <w:noWrap/>
                  <w:vAlign w:val="center"/>
                </w:tcPr>
                <w:p w14:paraId="2C29B21E">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0D4CCF71">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3C91F710">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41977548">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7C258F8C">
                  <w:pPr>
                    <w:widowControl/>
                    <w:jc w:val="center"/>
                    <w:rPr>
                      <w:kern w:val="0"/>
                      <w:sz w:val="21"/>
                      <w:szCs w:val="21"/>
                      <w:highlight w:val="none"/>
                    </w:rPr>
                  </w:pPr>
                  <w:r>
                    <w:rPr>
                      <w:kern w:val="0"/>
                      <w:sz w:val="21"/>
                      <w:szCs w:val="21"/>
                      <w:highlight w:val="none"/>
                    </w:rPr>
                    <w:t>/</w:t>
                  </w:r>
                </w:p>
              </w:tc>
              <w:tc>
                <w:tcPr>
                  <w:tcW w:w="460" w:type="pct"/>
                  <w:tcBorders>
                    <w:tl2br w:val="nil"/>
                    <w:tr2bl w:val="nil"/>
                  </w:tcBorders>
                  <w:noWrap/>
                  <w:vAlign w:val="center"/>
                </w:tcPr>
                <w:p w14:paraId="6DC44037">
                  <w:pPr>
                    <w:widowControl/>
                    <w:jc w:val="center"/>
                    <w:rPr>
                      <w:kern w:val="0"/>
                      <w:sz w:val="21"/>
                      <w:szCs w:val="21"/>
                      <w:highlight w:val="none"/>
                    </w:rPr>
                  </w:pPr>
                  <w:r>
                    <w:rPr>
                      <w:kern w:val="0"/>
                      <w:sz w:val="21"/>
                      <w:szCs w:val="21"/>
                      <w:highlight w:val="none"/>
                    </w:rPr>
                    <w:t>/</w:t>
                  </w:r>
                </w:p>
              </w:tc>
              <w:tc>
                <w:tcPr>
                  <w:tcW w:w="457" w:type="pct"/>
                  <w:tcBorders>
                    <w:tl2br w:val="nil"/>
                    <w:tr2bl w:val="nil"/>
                  </w:tcBorders>
                  <w:noWrap/>
                  <w:vAlign w:val="center"/>
                </w:tcPr>
                <w:p w14:paraId="50AD2315">
                  <w:pPr>
                    <w:widowControl/>
                    <w:jc w:val="center"/>
                    <w:rPr>
                      <w:kern w:val="0"/>
                      <w:sz w:val="21"/>
                      <w:szCs w:val="21"/>
                      <w:highlight w:val="none"/>
                    </w:rPr>
                  </w:pPr>
                  <w:r>
                    <w:rPr>
                      <w:kern w:val="0"/>
                      <w:sz w:val="21"/>
                      <w:szCs w:val="21"/>
                      <w:highlight w:val="none"/>
                    </w:rPr>
                    <w:t>/</w:t>
                  </w:r>
                </w:p>
              </w:tc>
            </w:tr>
          </w:tbl>
          <w:p w14:paraId="34F8FA5D">
            <w:pPr>
              <w:adjustRightInd w:val="0"/>
              <w:snapToGrid w:val="0"/>
              <w:spacing w:line="360" w:lineRule="auto"/>
              <w:ind w:firstLine="480" w:firstLineChars="200"/>
              <w:rPr>
                <w:snapToGrid w:val="0"/>
                <w:color w:val="000000"/>
                <w:sz w:val="24"/>
                <w:szCs w:val="20"/>
              </w:rPr>
            </w:pPr>
          </w:p>
          <w:p w14:paraId="4C59F78E">
            <w:pPr>
              <w:adjustRightInd w:val="0"/>
              <w:snapToGrid w:val="0"/>
              <w:spacing w:line="360" w:lineRule="auto"/>
              <w:rPr>
                <w:rFonts w:hint="default" w:eastAsia="宋体"/>
                <w:b/>
                <w:bCs/>
                <w:color w:val="000000"/>
                <w:sz w:val="24"/>
                <w:szCs w:val="20"/>
                <w:lang w:val="en-US" w:eastAsia="zh-CN"/>
              </w:rPr>
            </w:pPr>
            <w:r>
              <w:rPr>
                <w:b/>
                <w:bCs/>
                <w:color w:val="000000"/>
                <w:sz w:val="24"/>
                <w:szCs w:val="20"/>
              </w:rPr>
              <w:t>5</w:t>
            </w:r>
            <w:r>
              <w:rPr>
                <w:rFonts w:hint="eastAsia"/>
                <w:b/>
                <w:bCs/>
                <w:color w:val="000000"/>
                <w:sz w:val="24"/>
                <w:szCs w:val="20"/>
              </w:rPr>
              <w:t>.</w:t>
            </w:r>
            <w:r>
              <w:rPr>
                <w:rFonts w:hint="eastAsia"/>
                <w:b/>
                <w:bCs/>
                <w:color w:val="000000"/>
                <w:sz w:val="24"/>
                <w:szCs w:val="20"/>
                <w:lang w:val="en-US" w:eastAsia="zh-CN"/>
              </w:rPr>
              <w:t>生态环境</w:t>
            </w:r>
          </w:p>
          <w:p w14:paraId="007E418C">
            <w:pPr>
              <w:snapToGrid w:val="0"/>
              <w:spacing w:line="360" w:lineRule="auto"/>
              <w:ind w:firstLine="480" w:firstLineChars="200"/>
              <w:rPr>
                <w:color w:val="000000"/>
                <w:sz w:val="24"/>
              </w:rPr>
            </w:pPr>
            <w:r>
              <w:rPr>
                <w:rFonts w:hint="eastAsia"/>
                <w:bCs/>
                <w:color w:val="000000"/>
                <w:sz w:val="24"/>
                <w:szCs w:val="20"/>
                <w:lang w:val="en-US" w:eastAsia="zh-CN"/>
              </w:rPr>
              <w:t>本项目位于园区现有厂区范围内，不新增占地，</w:t>
            </w:r>
            <w:r>
              <w:rPr>
                <w:bCs/>
                <w:color w:val="000000"/>
                <w:sz w:val="24"/>
                <w:szCs w:val="20"/>
              </w:rPr>
              <w:t>因此，根据《建设项目环境影响报告表编制技术指南（污染影响类）》（试行），本次不进行现状调查。</w:t>
            </w:r>
          </w:p>
        </w:tc>
      </w:tr>
      <w:tr w14:paraId="4D27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216" w:type="pct"/>
            <w:tcBorders>
              <w:tl2br w:val="nil"/>
              <w:tr2bl w:val="nil"/>
            </w:tcBorders>
            <w:noWrap w:val="0"/>
            <w:vAlign w:val="center"/>
          </w:tcPr>
          <w:p w14:paraId="05C31B6C">
            <w:pPr>
              <w:adjustRightInd w:val="0"/>
              <w:snapToGrid w:val="0"/>
              <w:jc w:val="center"/>
              <w:rPr>
                <w:b/>
                <w:color w:val="000000"/>
                <w:kern w:val="0"/>
                <w:sz w:val="24"/>
              </w:rPr>
            </w:pPr>
            <w:r>
              <w:rPr>
                <w:b/>
                <w:color w:val="000000"/>
                <w:kern w:val="0"/>
                <w:sz w:val="24"/>
              </w:rPr>
              <w:t>环境</w:t>
            </w:r>
          </w:p>
          <w:p w14:paraId="1457CA2B">
            <w:pPr>
              <w:adjustRightInd w:val="0"/>
              <w:snapToGrid w:val="0"/>
              <w:jc w:val="center"/>
              <w:rPr>
                <w:b/>
                <w:color w:val="000000"/>
                <w:kern w:val="0"/>
                <w:sz w:val="24"/>
              </w:rPr>
            </w:pPr>
            <w:r>
              <w:rPr>
                <w:b/>
                <w:color w:val="000000"/>
                <w:kern w:val="0"/>
                <w:sz w:val="24"/>
              </w:rPr>
              <w:t>保护</w:t>
            </w:r>
          </w:p>
          <w:p w14:paraId="6EFD9E4F">
            <w:pPr>
              <w:adjustRightInd w:val="0"/>
              <w:snapToGrid w:val="0"/>
              <w:jc w:val="center"/>
              <w:rPr>
                <w:color w:val="000000"/>
                <w:kern w:val="0"/>
                <w:szCs w:val="21"/>
              </w:rPr>
            </w:pPr>
            <w:r>
              <w:rPr>
                <w:b/>
                <w:color w:val="000000"/>
                <w:kern w:val="0"/>
                <w:sz w:val="24"/>
              </w:rPr>
              <w:t>目标</w:t>
            </w:r>
          </w:p>
        </w:tc>
        <w:tc>
          <w:tcPr>
            <w:tcW w:w="4783" w:type="pct"/>
            <w:tcBorders>
              <w:tl2br w:val="nil"/>
              <w:tr2bl w:val="nil"/>
            </w:tcBorders>
            <w:noWrap w:val="0"/>
            <w:vAlign w:val="center"/>
          </w:tcPr>
          <w:p w14:paraId="5765A4BB">
            <w:pPr>
              <w:snapToGrid w:val="0"/>
              <w:spacing w:line="360" w:lineRule="auto"/>
              <w:ind w:firstLine="480" w:firstLineChars="200"/>
              <w:rPr>
                <w:b/>
                <w:color w:val="000000"/>
                <w:sz w:val="24"/>
                <w:szCs w:val="24"/>
              </w:rPr>
            </w:pPr>
            <w:r>
              <w:rPr>
                <w:color w:val="000000"/>
                <w:sz w:val="24"/>
              </w:rPr>
              <w:t>本项目位于</w:t>
            </w:r>
            <w:r>
              <w:rPr>
                <w:bCs/>
                <w:color w:val="000000"/>
                <w:sz w:val="24"/>
              </w:rPr>
              <w:t>鄂尔多斯市杭锦旗经济开发区</w:t>
            </w:r>
            <w:r>
              <w:rPr>
                <w:rFonts w:hint="eastAsia"/>
                <w:bCs/>
                <w:color w:val="000000"/>
                <w:sz w:val="24"/>
                <w:lang w:val="en-US" w:eastAsia="zh-CN"/>
              </w:rPr>
              <w:t>现有厂区内</w:t>
            </w:r>
            <w:r>
              <w:rPr>
                <w:color w:val="000000"/>
                <w:sz w:val="24"/>
              </w:rPr>
              <w:t>。根据现场踏勘，项目厂界外500m范围内无自然保护区、风景名胜区、文化区</w:t>
            </w:r>
            <w:r>
              <w:rPr>
                <w:rFonts w:hint="eastAsia"/>
                <w:color w:val="000000"/>
                <w:sz w:val="24"/>
                <w:lang w:eastAsia="zh-CN"/>
              </w:rPr>
              <w:t>、</w:t>
            </w:r>
            <w:r>
              <w:rPr>
                <w:rFonts w:hint="eastAsia"/>
                <w:color w:val="000000"/>
                <w:sz w:val="24"/>
                <w:lang w:val="en-US" w:eastAsia="zh-CN"/>
              </w:rPr>
              <w:t>居住区等</w:t>
            </w:r>
            <w:r>
              <w:rPr>
                <w:color w:val="000000"/>
                <w:sz w:val="24"/>
              </w:rPr>
              <w:t>大气环境敏感</w:t>
            </w:r>
            <w:r>
              <w:rPr>
                <w:rFonts w:hint="eastAsia"/>
                <w:color w:val="000000"/>
                <w:sz w:val="24"/>
                <w:lang w:val="en-US" w:eastAsia="zh-CN"/>
              </w:rPr>
              <w:t>目标</w:t>
            </w:r>
            <w:r>
              <w:rPr>
                <w:color w:val="000000"/>
                <w:sz w:val="24"/>
              </w:rPr>
              <w:t>；500m范围内也无地下水集中式饮用水水源和热水、矿泉水、温泉等特殊地下水资源；厂界外50m范围内无声环境保护目标。环境保护目标见表3-</w:t>
            </w:r>
            <w:r>
              <w:rPr>
                <w:rFonts w:hint="eastAsia"/>
                <w:color w:val="000000"/>
                <w:sz w:val="24"/>
                <w:lang w:val="en-US" w:eastAsia="zh-CN"/>
              </w:rPr>
              <w:t>1</w:t>
            </w:r>
            <w:r>
              <w:rPr>
                <w:color w:val="000000"/>
                <w:sz w:val="24"/>
              </w:rPr>
              <w:t>。</w:t>
            </w:r>
          </w:p>
          <w:p w14:paraId="58E8C860">
            <w:pPr>
              <w:pStyle w:val="40"/>
              <w:spacing w:before="0" w:after="0" w:line="240" w:lineRule="auto"/>
              <w:ind w:firstLine="0" w:firstLineChars="0"/>
              <w:jc w:val="center"/>
              <w:rPr>
                <w:b/>
                <w:color w:val="000000"/>
                <w:sz w:val="24"/>
                <w:szCs w:val="24"/>
              </w:rPr>
            </w:pPr>
            <w:r>
              <w:rPr>
                <w:b/>
                <w:color w:val="000000"/>
                <w:sz w:val="24"/>
                <w:szCs w:val="24"/>
              </w:rPr>
              <w:t>表3-</w:t>
            </w:r>
            <w:r>
              <w:rPr>
                <w:rFonts w:hint="eastAsia"/>
                <w:b/>
                <w:color w:val="000000"/>
                <w:sz w:val="24"/>
                <w:szCs w:val="24"/>
                <w:lang w:val="en-US" w:eastAsia="zh-CN"/>
              </w:rPr>
              <w:t>4：</w:t>
            </w:r>
            <w:r>
              <w:rPr>
                <w:b/>
                <w:color w:val="000000"/>
                <w:sz w:val="24"/>
                <w:szCs w:val="24"/>
              </w:rPr>
              <w:t>项目环境空气保护目标</w:t>
            </w:r>
          </w:p>
          <w:tbl>
            <w:tblPr>
              <w:tblStyle w:val="41"/>
              <w:tblW w:w="8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1086"/>
              <w:gridCol w:w="740"/>
              <w:gridCol w:w="831"/>
              <w:gridCol w:w="969"/>
              <w:gridCol w:w="723"/>
              <w:gridCol w:w="3007"/>
            </w:tblGrid>
            <w:tr w14:paraId="364BF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121" w:type="dxa"/>
                  <w:noWrap w:val="0"/>
                  <w:vAlign w:val="center"/>
                </w:tcPr>
                <w:p w14:paraId="740E7DBD">
                  <w:pPr>
                    <w:jc w:val="center"/>
                    <w:rPr>
                      <w:b/>
                      <w:color w:val="000000"/>
                      <w:sz w:val="21"/>
                      <w:szCs w:val="21"/>
                    </w:rPr>
                  </w:pPr>
                  <w:r>
                    <w:rPr>
                      <w:b/>
                      <w:color w:val="000000"/>
                      <w:sz w:val="21"/>
                      <w:szCs w:val="21"/>
                    </w:rPr>
                    <w:t>环境要素</w:t>
                  </w:r>
                </w:p>
              </w:tc>
              <w:tc>
                <w:tcPr>
                  <w:tcW w:w="1086" w:type="dxa"/>
                  <w:noWrap w:val="0"/>
                  <w:vAlign w:val="center"/>
                </w:tcPr>
                <w:p w14:paraId="5EC5ED8C">
                  <w:pPr>
                    <w:jc w:val="center"/>
                    <w:rPr>
                      <w:b/>
                      <w:color w:val="000000"/>
                      <w:sz w:val="21"/>
                      <w:szCs w:val="21"/>
                    </w:rPr>
                  </w:pPr>
                  <w:r>
                    <w:rPr>
                      <w:b/>
                      <w:color w:val="000000"/>
                      <w:sz w:val="21"/>
                      <w:szCs w:val="21"/>
                    </w:rPr>
                    <w:t>保护目标</w:t>
                  </w:r>
                </w:p>
              </w:tc>
              <w:tc>
                <w:tcPr>
                  <w:tcW w:w="740" w:type="dxa"/>
                  <w:noWrap w:val="0"/>
                  <w:vAlign w:val="center"/>
                </w:tcPr>
                <w:p w14:paraId="071E183E">
                  <w:pPr>
                    <w:jc w:val="center"/>
                    <w:rPr>
                      <w:b/>
                      <w:color w:val="000000"/>
                      <w:sz w:val="21"/>
                      <w:szCs w:val="21"/>
                    </w:rPr>
                  </w:pPr>
                  <w:r>
                    <w:rPr>
                      <w:b/>
                      <w:color w:val="000000"/>
                      <w:sz w:val="21"/>
                      <w:szCs w:val="21"/>
                    </w:rPr>
                    <w:t>坐标</w:t>
                  </w:r>
                </w:p>
              </w:tc>
              <w:tc>
                <w:tcPr>
                  <w:tcW w:w="831" w:type="dxa"/>
                  <w:noWrap w:val="0"/>
                  <w:vAlign w:val="center"/>
                </w:tcPr>
                <w:p w14:paraId="38810848">
                  <w:pPr>
                    <w:jc w:val="center"/>
                    <w:rPr>
                      <w:b/>
                      <w:color w:val="000000"/>
                      <w:sz w:val="21"/>
                      <w:szCs w:val="21"/>
                    </w:rPr>
                  </w:pPr>
                  <w:r>
                    <w:rPr>
                      <w:b/>
                      <w:color w:val="000000"/>
                      <w:sz w:val="21"/>
                      <w:szCs w:val="21"/>
                    </w:rPr>
                    <w:t>规模/人口</w:t>
                  </w:r>
                </w:p>
              </w:tc>
              <w:tc>
                <w:tcPr>
                  <w:tcW w:w="969" w:type="dxa"/>
                  <w:noWrap w:val="0"/>
                  <w:vAlign w:val="center"/>
                </w:tcPr>
                <w:p w14:paraId="57C1131F">
                  <w:pPr>
                    <w:jc w:val="center"/>
                    <w:rPr>
                      <w:b/>
                      <w:color w:val="000000"/>
                      <w:sz w:val="21"/>
                      <w:szCs w:val="21"/>
                    </w:rPr>
                  </w:pPr>
                  <w:r>
                    <w:rPr>
                      <w:b/>
                      <w:color w:val="000000"/>
                      <w:sz w:val="21"/>
                      <w:szCs w:val="21"/>
                    </w:rPr>
                    <w:t>相对距离km</w:t>
                  </w:r>
                </w:p>
              </w:tc>
              <w:tc>
                <w:tcPr>
                  <w:tcW w:w="723" w:type="dxa"/>
                  <w:noWrap w:val="0"/>
                  <w:vAlign w:val="center"/>
                </w:tcPr>
                <w:p w14:paraId="08EA80C3">
                  <w:pPr>
                    <w:jc w:val="center"/>
                    <w:rPr>
                      <w:b/>
                      <w:color w:val="000000"/>
                      <w:sz w:val="21"/>
                      <w:szCs w:val="21"/>
                    </w:rPr>
                  </w:pPr>
                  <w:r>
                    <w:rPr>
                      <w:b/>
                      <w:color w:val="000000"/>
                      <w:sz w:val="21"/>
                      <w:szCs w:val="21"/>
                    </w:rPr>
                    <w:t>方位</w:t>
                  </w:r>
                </w:p>
              </w:tc>
              <w:tc>
                <w:tcPr>
                  <w:tcW w:w="3007" w:type="dxa"/>
                  <w:noWrap w:val="0"/>
                  <w:vAlign w:val="center"/>
                </w:tcPr>
                <w:p w14:paraId="0A08B080">
                  <w:pPr>
                    <w:jc w:val="center"/>
                    <w:rPr>
                      <w:b/>
                      <w:color w:val="000000"/>
                      <w:sz w:val="21"/>
                      <w:szCs w:val="21"/>
                    </w:rPr>
                  </w:pPr>
                  <w:r>
                    <w:rPr>
                      <w:b/>
                      <w:color w:val="000000"/>
                      <w:sz w:val="21"/>
                      <w:szCs w:val="21"/>
                    </w:rPr>
                    <w:t>保护等级</w:t>
                  </w:r>
                </w:p>
              </w:tc>
            </w:tr>
            <w:tr w14:paraId="182B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121" w:type="dxa"/>
                  <w:noWrap w:val="0"/>
                  <w:vAlign w:val="center"/>
                </w:tcPr>
                <w:p w14:paraId="64D15BE1">
                  <w:pPr>
                    <w:jc w:val="center"/>
                    <w:rPr>
                      <w:color w:val="000000"/>
                      <w:sz w:val="21"/>
                      <w:szCs w:val="21"/>
                    </w:rPr>
                  </w:pPr>
                  <w:r>
                    <w:rPr>
                      <w:color w:val="000000"/>
                      <w:sz w:val="21"/>
                      <w:szCs w:val="21"/>
                    </w:rPr>
                    <w:t>大气环境</w:t>
                  </w:r>
                </w:p>
              </w:tc>
              <w:tc>
                <w:tcPr>
                  <w:tcW w:w="4349" w:type="dxa"/>
                  <w:gridSpan w:val="5"/>
                  <w:noWrap w:val="0"/>
                  <w:vAlign w:val="center"/>
                </w:tcPr>
                <w:p w14:paraId="1264406E">
                  <w:pPr>
                    <w:jc w:val="center"/>
                    <w:rPr>
                      <w:rFonts w:hint="eastAsia" w:eastAsia="宋体"/>
                      <w:color w:val="000000"/>
                      <w:sz w:val="21"/>
                      <w:szCs w:val="21"/>
                      <w:lang w:eastAsia="zh-CN"/>
                    </w:rPr>
                  </w:pPr>
                  <w:r>
                    <w:rPr>
                      <w:rFonts w:hint="eastAsia"/>
                      <w:color w:val="000000"/>
                      <w:sz w:val="21"/>
                      <w:szCs w:val="21"/>
                    </w:rPr>
                    <w:t>厂界外500米范围内</w:t>
                  </w:r>
                  <w:r>
                    <w:rPr>
                      <w:rFonts w:hint="eastAsia"/>
                      <w:color w:val="000000"/>
                      <w:sz w:val="21"/>
                      <w:szCs w:val="21"/>
                      <w:lang w:val="en-US" w:eastAsia="zh-CN"/>
                    </w:rPr>
                    <w:t>无</w:t>
                  </w:r>
                  <w:r>
                    <w:rPr>
                      <w:rFonts w:hint="eastAsia"/>
                      <w:color w:val="000000"/>
                      <w:sz w:val="21"/>
                      <w:szCs w:val="21"/>
                    </w:rPr>
                    <w:t>自然保护区、风景名胜区、居住区、文化区和农村地区中人群较集中的区域等保护目标</w:t>
                  </w:r>
                  <w:r>
                    <w:rPr>
                      <w:rFonts w:hint="eastAsia"/>
                      <w:color w:val="000000"/>
                      <w:sz w:val="21"/>
                      <w:szCs w:val="21"/>
                      <w:lang w:eastAsia="zh-CN"/>
                    </w:rPr>
                    <w:t>。</w:t>
                  </w:r>
                </w:p>
              </w:tc>
              <w:tc>
                <w:tcPr>
                  <w:tcW w:w="3007" w:type="dxa"/>
                  <w:noWrap w:val="0"/>
                  <w:vAlign w:val="center"/>
                </w:tcPr>
                <w:p w14:paraId="196F8215">
                  <w:pPr>
                    <w:jc w:val="center"/>
                    <w:rPr>
                      <w:rFonts w:hint="default" w:eastAsia="宋体"/>
                      <w:color w:val="000000"/>
                      <w:sz w:val="21"/>
                      <w:szCs w:val="21"/>
                      <w:lang w:val="en-US" w:eastAsia="zh-CN"/>
                    </w:rPr>
                  </w:pPr>
                  <w:r>
                    <w:rPr>
                      <w:color w:val="000000"/>
                      <w:sz w:val="21"/>
                      <w:szCs w:val="21"/>
                    </w:rPr>
                    <w:t>《环境空气质量标准》（GB3095—</w:t>
                  </w:r>
                  <w:r>
                    <w:rPr>
                      <w:rFonts w:hint="eastAsia"/>
                      <w:color w:val="000000"/>
                      <w:sz w:val="21"/>
                      <w:szCs w:val="21"/>
                      <w:lang w:val="en-US" w:eastAsia="zh-CN"/>
                    </w:rPr>
                    <w:t>2012</w:t>
                  </w:r>
                  <w:r>
                    <w:rPr>
                      <w:color w:val="000000"/>
                      <w:sz w:val="21"/>
                      <w:szCs w:val="21"/>
                    </w:rPr>
                    <w:t>）二级标准</w:t>
                  </w:r>
                  <w:r>
                    <w:rPr>
                      <w:rFonts w:hint="eastAsia"/>
                      <w:color w:val="000000"/>
                      <w:sz w:val="21"/>
                      <w:szCs w:val="21"/>
                      <w:lang w:val="en-US" w:eastAsia="zh-CN"/>
                    </w:rPr>
                    <w:t>及修改单要求</w:t>
                  </w:r>
                </w:p>
              </w:tc>
            </w:tr>
            <w:tr w14:paraId="0391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21" w:type="dxa"/>
                  <w:noWrap w:val="0"/>
                  <w:vAlign w:val="center"/>
                </w:tcPr>
                <w:p w14:paraId="12E133F9">
                  <w:pPr>
                    <w:jc w:val="center"/>
                    <w:rPr>
                      <w:color w:val="000000"/>
                      <w:sz w:val="21"/>
                      <w:szCs w:val="21"/>
                    </w:rPr>
                  </w:pPr>
                  <w:r>
                    <w:rPr>
                      <w:color w:val="000000"/>
                      <w:sz w:val="21"/>
                      <w:szCs w:val="21"/>
                    </w:rPr>
                    <w:t>声环境</w:t>
                  </w:r>
                </w:p>
              </w:tc>
              <w:tc>
                <w:tcPr>
                  <w:tcW w:w="4349" w:type="dxa"/>
                  <w:gridSpan w:val="5"/>
                  <w:noWrap w:val="0"/>
                  <w:vAlign w:val="center"/>
                </w:tcPr>
                <w:p w14:paraId="625A47B2">
                  <w:pPr>
                    <w:jc w:val="center"/>
                    <w:rPr>
                      <w:rFonts w:hint="eastAsia" w:eastAsia="宋体"/>
                      <w:color w:val="000000"/>
                      <w:sz w:val="21"/>
                      <w:szCs w:val="21"/>
                      <w:lang w:eastAsia="zh-CN"/>
                    </w:rPr>
                  </w:pPr>
                  <w:r>
                    <w:rPr>
                      <w:color w:val="000000"/>
                      <w:sz w:val="21"/>
                      <w:szCs w:val="21"/>
                    </w:rPr>
                    <w:t>厂界四周50m内无敏感点</w:t>
                  </w:r>
                  <w:r>
                    <w:rPr>
                      <w:rFonts w:hint="eastAsia"/>
                      <w:color w:val="000000"/>
                      <w:sz w:val="21"/>
                      <w:szCs w:val="21"/>
                      <w:lang w:eastAsia="zh-CN"/>
                    </w:rPr>
                    <w:t>。</w:t>
                  </w:r>
                </w:p>
              </w:tc>
              <w:tc>
                <w:tcPr>
                  <w:tcW w:w="3007" w:type="dxa"/>
                  <w:noWrap w:val="0"/>
                  <w:vAlign w:val="center"/>
                </w:tcPr>
                <w:p w14:paraId="1A066EDA">
                  <w:pPr>
                    <w:jc w:val="center"/>
                    <w:rPr>
                      <w:rFonts w:hint="eastAsia" w:eastAsia="宋体"/>
                      <w:color w:val="000000"/>
                      <w:sz w:val="21"/>
                      <w:szCs w:val="21"/>
                      <w:lang w:eastAsia="zh-CN"/>
                    </w:rPr>
                  </w:pPr>
                  <w:r>
                    <w:rPr>
                      <w:color w:val="000000"/>
                      <w:sz w:val="21"/>
                      <w:szCs w:val="21"/>
                    </w:rPr>
                    <w:t>《声环境质量标准》</w:t>
                  </w:r>
                  <w:r>
                    <w:rPr>
                      <w:rFonts w:hint="eastAsia"/>
                      <w:color w:val="000000"/>
                      <w:sz w:val="21"/>
                      <w:szCs w:val="21"/>
                    </w:rPr>
                    <w:t>（</w:t>
                  </w:r>
                  <w:r>
                    <w:rPr>
                      <w:color w:val="000000"/>
                      <w:sz w:val="21"/>
                      <w:szCs w:val="21"/>
                    </w:rPr>
                    <w:t>GB3096-2008</w:t>
                  </w:r>
                  <w:r>
                    <w:rPr>
                      <w:rFonts w:hint="eastAsia"/>
                      <w:color w:val="000000"/>
                      <w:sz w:val="21"/>
                      <w:szCs w:val="21"/>
                    </w:rPr>
                    <w:t>）</w:t>
                  </w:r>
                  <w:r>
                    <w:rPr>
                      <w:color w:val="000000"/>
                      <w:sz w:val="21"/>
                      <w:szCs w:val="21"/>
                    </w:rPr>
                    <w:t>中3类标准</w:t>
                  </w:r>
                  <w:r>
                    <w:rPr>
                      <w:rFonts w:hint="eastAsia"/>
                      <w:color w:val="000000"/>
                      <w:sz w:val="21"/>
                      <w:szCs w:val="21"/>
                      <w:lang w:eastAsia="zh-CN"/>
                    </w:rPr>
                    <w:t>。</w:t>
                  </w:r>
                </w:p>
              </w:tc>
            </w:tr>
            <w:tr w14:paraId="058E9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21" w:type="dxa"/>
                  <w:noWrap w:val="0"/>
                  <w:vAlign w:val="center"/>
                </w:tcPr>
                <w:p w14:paraId="61ED19C9">
                  <w:pPr>
                    <w:jc w:val="center"/>
                    <w:rPr>
                      <w:rFonts w:hint="eastAsia" w:eastAsia="宋体"/>
                      <w:color w:val="000000"/>
                      <w:sz w:val="21"/>
                      <w:szCs w:val="21"/>
                      <w:lang w:val="en-US" w:eastAsia="zh-CN"/>
                    </w:rPr>
                  </w:pPr>
                  <w:r>
                    <w:rPr>
                      <w:rFonts w:hint="eastAsia"/>
                      <w:color w:val="000000"/>
                      <w:sz w:val="21"/>
                      <w:szCs w:val="21"/>
                      <w:lang w:val="en-US" w:eastAsia="zh-CN"/>
                    </w:rPr>
                    <w:t>地下水环境</w:t>
                  </w:r>
                </w:p>
              </w:tc>
              <w:tc>
                <w:tcPr>
                  <w:tcW w:w="4349" w:type="dxa"/>
                  <w:gridSpan w:val="5"/>
                  <w:noWrap w:val="0"/>
                  <w:vAlign w:val="center"/>
                </w:tcPr>
                <w:p w14:paraId="3F93412C">
                  <w:pPr>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rPr>
                    <w:t>厂界500m范围内无地下水集中式饮用水水源和热水、矿泉水、温泉等特殊地下水资源</w:t>
                  </w:r>
                  <w:r>
                    <w:rPr>
                      <w:rFonts w:hint="eastAsia" w:cs="Times New Roman"/>
                      <w:color w:val="000000"/>
                      <w:sz w:val="21"/>
                      <w:szCs w:val="21"/>
                      <w:lang w:eastAsia="zh-CN"/>
                    </w:rPr>
                    <w:t>。</w:t>
                  </w:r>
                </w:p>
              </w:tc>
              <w:tc>
                <w:tcPr>
                  <w:tcW w:w="3007" w:type="dxa"/>
                  <w:noWrap w:val="0"/>
                  <w:vAlign w:val="center"/>
                </w:tcPr>
                <w:p w14:paraId="73049863">
                  <w:pPr>
                    <w:jc w:val="center"/>
                    <w:rPr>
                      <w:rFonts w:hint="eastAsia" w:ascii="Times New Roman" w:hAnsi="Times New Roman" w:eastAsia="宋体" w:cs="Times New Roman"/>
                      <w:color w:val="000000"/>
                      <w:sz w:val="21"/>
                      <w:szCs w:val="21"/>
                      <w:lang w:eastAsia="zh-CN"/>
                    </w:rPr>
                  </w:pPr>
                  <w:r>
                    <w:rPr>
                      <w:rFonts w:hint="eastAsia" w:ascii="Times New Roman" w:hAnsi="Times New Roman" w:eastAsia="宋体" w:cs="Times New Roman"/>
                      <w:color w:val="000000"/>
                      <w:sz w:val="21"/>
                      <w:szCs w:val="21"/>
                    </w:rPr>
                    <w:t>《地下水质量标准》（GB/T14848-2017）</w:t>
                  </w:r>
                  <w:r>
                    <w:rPr>
                      <w:rFonts w:ascii="微软雅黑" w:hAnsi="微软雅黑" w:eastAsia="微软雅黑" w:cs="微软雅黑"/>
                      <w:i w:val="0"/>
                      <w:iCs w:val="0"/>
                      <w:caps w:val="0"/>
                      <w:color w:val="auto"/>
                      <w:spacing w:val="0"/>
                      <w:sz w:val="21"/>
                      <w:szCs w:val="21"/>
                    </w:rPr>
                    <w:t>Ⅲ</w:t>
                  </w:r>
                  <w:r>
                    <w:rPr>
                      <w:rFonts w:hint="eastAsia" w:ascii="Times New Roman" w:hAnsi="Times New Roman" w:eastAsia="宋体" w:cs="Times New Roman"/>
                      <w:color w:val="000000"/>
                      <w:sz w:val="21"/>
                      <w:szCs w:val="21"/>
                    </w:rPr>
                    <w:t>类标准</w:t>
                  </w:r>
                  <w:r>
                    <w:rPr>
                      <w:rFonts w:hint="eastAsia" w:cs="Times New Roman"/>
                      <w:color w:val="000000"/>
                      <w:sz w:val="21"/>
                      <w:szCs w:val="21"/>
                      <w:lang w:eastAsia="zh-CN"/>
                    </w:rPr>
                    <w:t>。</w:t>
                  </w:r>
                </w:p>
              </w:tc>
            </w:tr>
          </w:tbl>
          <w:p w14:paraId="2412A47D">
            <w:pPr>
              <w:adjustRightInd w:val="0"/>
              <w:snapToGrid w:val="0"/>
              <w:jc w:val="center"/>
              <w:rPr>
                <w:b/>
                <w:color w:val="000000"/>
                <w:sz w:val="24"/>
              </w:rPr>
            </w:pPr>
          </w:p>
        </w:tc>
      </w:tr>
      <w:tr w14:paraId="3521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jc w:val="center"/>
        </w:trPr>
        <w:tc>
          <w:tcPr>
            <w:tcW w:w="216" w:type="pct"/>
            <w:tcBorders>
              <w:tl2br w:val="nil"/>
              <w:tr2bl w:val="nil"/>
            </w:tcBorders>
            <w:noWrap w:val="0"/>
            <w:tcMar>
              <w:left w:w="28" w:type="dxa"/>
              <w:right w:w="28" w:type="dxa"/>
            </w:tcMar>
            <w:vAlign w:val="center"/>
          </w:tcPr>
          <w:p w14:paraId="49F6E615">
            <w:pPr>
              <w:adjustRightInd w:val="0"/>
              <w:snapToGrid w:val="0"/>
              <w:jc w:val="center"/>
              <w:rPr>
                <w:b/>
                <w:color w:val="000000"/>
                <w:kern w:val="0"/>
                <w:sz w:val="24"/>
              </w:rPr>
            </w:pPr>
            <w:r>
              <w:rPr>
                <w:b/>
                <w:color w:val="000000"/>
                <w:kern w:val="0"/>
                <w:sz w:val="24"/>
              </w:rPr>
              <w:t>污</w:t>
            </w:r>
          </w:p>
          <w:p w14:paraId="71A669DD">
            <w:pPr>
              <w:adjustRightInd w:val="0"/>
              <w:snapToGrid w:val="0"/>
              <w:jc w:val="center"/>
              <w:rPr>
                <w:b/>
                <w:color w:val="000000"/>
                <w:kern w:val="0"/>
                <w:sz w:val="24"/>
              </w:rPr>
            </w:pPr>
            <w:r>
              <w:rPr>
                <w:b/>
                <w:color w:val="000000"/>
                <w:kern w:val="0"/>
                <w:sz w:val="24"/>
              </w:rPr>
              <w:t>染</w:t>
            </w:r>
          </w:p>
          <w:p w14:paraId="1A41F5EC">
            <w:pPr>
              <w:adjustRightInd w:val="0"/>
              <w:snapToGrid w:val="0"/>
              <w:jc w:val="center"/>
              <w:rPr>
                <w:b/>
                <w:color w:val="000000"/>
                <w:kern w:val="0"/>
                <w:sz w:val="24"/>
              </w:rPr>
            </w:pPr>
            <w:r>
              <w:rPr>
                <w:b/>
                <w:color w:val="000000"/>
                <w:kern w:val="0"/>
                <w:sz w:val="24"/>
              </w:rPr>
              <w:t>物</w:t>
            </w:r>
          </w:p>
          <w:p w14:paraId="6ADAA196">
            <w:pPr>
              <w:adjustRightInd w:val="0"/>
              <w:snapToGrid w:val="0"/>
              <w:jc w:val="center"/>
              <w:rPr>
                <w:b/>
                <w:color w:val="000000"/>
                <w:kern w:val="0"/>
                <w:sz w:val="24"/>
              </w:rPr>
            </w:pPr>
            <w:r>
              <w:rPr>
                <w:b/>
                <w:color w:val="000000"/>
                <w:kern w:val="0"/>
                <w:sz w:val="24"/>
              </w:rPr>
              <w:t>排</w:t>
            </w:r>
          </w:p>
          <w:p w14:paraId="45D6FE43">
            <w:pPr>
              <w:adjustRightInd w:val="0"/>
              <w:snapToGrid w:val="0"/>
              <w:jc w:val="center"/>
              <w:rPr>
                <w:b/>
                <w:color w:val="000000"/>
                <w:kern w:val="0"/>
                <w:sz w:val="24"/>
              </w:rPr>
            </w:pPr>
            <w:r>
              <w:rPr>
                <w:b/>
                <w:color w:val="000000"/>
                <w:kern w:val="0"/>
                <w:sz w:val="24"/>
              </w:rPr>
              <w:t>放</w:t>
            </w:r>
          </w:p>
          <w:p w14:paraId="4B833A5F">
            <w:pPr>
              <w:adjustRightInd w:val="0"/>
              <w:snapToGrid w:val="0"/>
              <w:jc w:val="center"/>
              <w:rPr>
                <w:b/>
                <w:color w:val="000000"/>
                <w:kern w:val="0"/>
                <w:sz w:val="24"/>
              </w:rPr>
            </w:pPr>
            <w:r>
              <w:rPr>
                <w:b/>
                <w:color w:val="000000"/>
                <w:kern w:val="0"/>
                <w:sz w:val="24"/>
              </w:rPr>
              <w:t>控</w:t>
            </w:r>
          </w:p>
          <w:p w14:paraId="4D5C6087">
            <w:pPr>
              <w:adjustRightInd w:val="0"/>
              <w:snapToGrid w:val="0"/>
              <w:jc w:val="center"/>
              <w:rPr>
                <w:b/>
                <w:color w:val="000000"/>
                <w:kern w:val="0"/>
                <w:sz w:val="24"/>
              </w:rPr>
            </w:pPr>
            <w:r>
              <w:rPr>
                <w:b/>
                <w:color w:val="000000"/>
                <w:kern w:val="0"/>
                <w:sz w:val="24"/>
              </w:rPr>
              <w:t>制</w:t>
            </w:r>
          </w:p>
          <w:p w14:paraId="1FB94FBE">
            <w:pPr>
              <w:adjustRightInd w:val="0"/>
              <w:snapToGrid w:val="0"/>
              <w:jc w:val="center"/>
              <w:rPr>
                <w:b/>
                <w:color w:val="000000"/>
                <w:kern w:val="0"/>
                <w:sz w:val="24"/>
              </w:rPr>
            </w:pPr>
            <w:r>
              <w:rPr>
                <w:b/>
                <w:color w:val="000000"/>
                <w:kern w:val="0"/>
                <w:sz w:val="24"/>
              </w:rPr>
              <w:t>标</w:t>
            </w:r>
          </w:p>
          <w:p w14:paraId="17481C97">
            <w:pPr>
              <w:adjustRightInd w:val="0"/>
              <w:snapToGrid w:val="0"/>
              <w:jc w:val="center"/>
              <w:rPr>
                <w:color w:val="000000"/>
                <w:kern w:val="0"/>
                <w:szCs w:val="21"/>
              </w:rPr>
            </w:pPr>
            <w:r>
              <w:rPr>
                <w:b/>
                <w:color w:val="000000"/>
                <w:kern w:val="0"/>
                <w:sz w:val="24"/>
              </w:rPr>
              <w:t>准</w:t>
            </w:r>
          </w:p>
        </w:tc>
        <w:tc>
          <w:tcPr>
            <w:tcW w:w="4783" w:type="pct"/>
            <w:tcBorders>
              <w:tl2br w:val="nil"/>
              <w:tr2bl w:val="nil"/>
            </w:tcBorders>
            <w:noWrap w:val="0"/>
            <w:vAlign w:val="center"/>
          </w:tcPr>
          <w:p w14:paraId="644AAD27">
            <w:pPr>
              <w:adjustRightInd w:val="0"/>
              <w:snapToGrid w:val="0"/>
              <w:spacing w:line="360" w:lineRule="auto"/>
              <w:textAlignment w:val="center"/>
              <w:rPr>
                <w:b/>
                <w:color w:val="000000"/>
                <w:sz w:val="24"/>
              </w:rPr>
            </w:pPr>
            <w:r>
              <w:rPr>
                <w:b/>
                <w:color w:val="000000"/>
                <w:sz w:val="24"/>
              </w:rPr>
              <w:t>1</w:t>
            </w:r>
            <w:r>
              <w:rPr>
                <w:rFonts w:hint="eastAsia"/>
                <w:b/>
                <w:color w:val="000000"/>
                <w:sz w:val="24"/>
              </w:rPr>
              <w:t>.</w:t>
            </w:r>
            <w:r>
              <w:rPr>
                <w:b/>
                <w:color w:val="000000"/>
                <w:sz w:val="24"/>
              </w:rPr>
              <w:t>废气排放标准</w:t>
            </w:r>
          </w:p>
          <w:p w14:paraId="5646C825">
            <w:pPr>
              <w:autoSpaceDE w:val="0"/>
              <w:autoSpaceDN w:val="0"/>
              <w:adjustRightInd w:val="0"/>
              <w:snapToGrid w:val="0"/>
              <w:spacing w:line="360" w:lineRule="auto"/>
              <w:ind w:firstLine="480" w:firstLineChars="200"/>
              <w:rPr>
                <w:rFonts w:hint="eastAsia"/>
                <w:color w:val="000000"/>
                <w:sz w:val="24"/>
              </w:rPr>
            </w:pPr>
            <w:r>
              <w:rPr>
                <w:color w:val="000000"/>
                <w:kern w:val="0"/>
                <w:sz w:val="24"/>
              </w:rPr>
              <w:t>施工扬尘排放执行《大气污染物综合排放标准》（GB16297-1996）表2中无组织排放监控浓度限值</w:t>
            </w:r>
            <w:r>
              <w:rPr>
                <w:rFonts w:hint="eastAsia"/>
                <w:color w:val="000000"/>
                <w:sz w:val="24"/>
              </w:rPr>
              <w:t>。</w:t>
            </w:r>
          </w:p>
          <w:p w14:paraId="0E7E5F54">
            <w:pPr>
              <w:adjustRightInd w:val="0"/>
              <w:snapToGrid w:val="0"/>
              <w:jc w:val="center"/>
              <w:rPr>
                <w:rFonts w:hint="eastAsia"/>
                <w:b/>
                <w:color w:val="000000"/>
                <w:sz w:val="24"/>
              </w:rPr>
            </w:pPr>
            <w:r>
              <w:rPr>
                <w:b/>
                <w:color w:val="000000"/>
                <w:sz w:val="24"/>
              </w:rPr>
              <w:t>表3-</w:t>
            </w:r>
            <w:r>
              <w:rPr>
                <w:rFonts w:hint="eastAsia"/>
                <w:b/>
                <w:color w:val="000000"/>
                <w:sz w:val="24"/>
                <w:lang w:val="en-US" w:eastAsia="zh-CN"/>
              </w:rPr>
              <w:t>5：</w:t>
            </w:r>
            <w:r>
              <w:rPr>
                <w:b/>
                <w:color w:val="000000"/>
                <w:sz w:val="24"/>
              </w:rPr>
              <w:t>《大气污染物</w:t>
            </w:r>
            <w:r>
              <w:rPr>
                <w:rFonts w:hint="eastAsia"/>
                <w:b/>
                <w:color w:val="000000"/>
                <w:sz w:val="24"/>
                <w:lang w:val="en-US" w:eastAsia="zh-CN"/>
              </w:rPr>
              <w:t>综合</w:t>
            </w:r>
            <w:r>
              <w:rPr>
                <w:b/>
                <w:color w:val="000000"/>
                <w:sz w:val="24"/>
              </w:rPr>
              <w:t>排放标准》</w:t>
            </w:r>
            <w:r>
              <w:rPr>
                <w:rFonts w:hint="eastAsia"/>
                <w:b/>
                <w:color w:val="000000"/>
                <w:sz w:val="24"/>
              </w:rPr>
              <w:t>（</w:t>
            </w:r>
            <w:r>
              <w:rPr>
                <w:b/>
                <w:color w:val="000000"/>
                <w:sz w:val="24"/>
              </w:rPr>
              <w:t>GB16297-1996</w:t>
            </w:r>
            <w:r>
              <w:rPr>
                <w:rFonts w:hint="eastAsia"/>
                <w:b/>
                <w:color w:val="000000"/>
                <w:sz w:val="24"/>
              </w:rPr>
              <w:t>）</w:t>
            </w:r>
          </w:p>
          <w:tbl>
            <w:tblPr>
              <w:tblStyle w:val="41"/>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76"/>
              <w:gridCol w:w="920"/>
              <w:gridCol w:w="1298"/>
              <w:gridCol w:w="852"/>
              <w:gridCol w:w="708"/>
              <w:gridCol w:w="1114"/>
              <w:gridCol w:w="903"/>
              <w:gridCol w:w="1981"/>
            </w:tblGrid>
            <w:tr w14:paraId="2F480B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400" w:type="pct"/>
                  <w:vMerge w:val="restart"/>
                  <w:tcBorders>
                    <w:top w:val="single" w:color="auto" w:sz="4" w:space="0"/>
                    <w:left w:val="single" w:color="auto" w:sz="0" w:space="0"/>
                  </w:tcBorders>
                  <w:noWrap w:val="0"/>
                  <w:vAlign w:val="center"/>
                </w:tcPr>
                <w:p w14:paraId="57474F0B">
                  <w:pPr>
                    <w:snapToGrid w:val="0"/>
                    <w:jc w:val="center"/>
                    <w:rPr>
                      <w:b w:val="0"/>
                      <w:bCs w:val="0"/>
                      <w:color w:val="000000"/>
                      <w:sz w:val="21"/>
                      <w:szCs w:val="21"/>
                    </w:rPr>
                  </w:pPr>
                  <w:r>
                    <w:rPr>
                      <w:b w:val="0"/>
                      <w:bCs w:val="0"/>
                      <w:color w:val="000000"/>
                      <w:sz w:val="21"/>
                      <w:szCs w:val="21"/>
                    </w:rPr>
                    <w:t>时期</w:t>
                  </w:r>
                </w:p>
              </w:tc>
              <w:tc>
                <w:tcPr>
                  <w:tcW w:w="544" w:type="pct"/>
                  <w:vMerge w:val="restart"/>
                  <w:tcBorders>
                    <w:top w:val="single" w:color="auto" w:sz="4" w:space="0"/>
                  </w:tcBorders>
                  <w:noWrap w:val="0"/>
                  <w:vAlign w:val="center"/>
                </w:tcPr>
                <w:p w14:paraId="0A83A5AC">
                  <w:pPr>
                    <w:snapToGrid w:val="0"/>
                    <w:jc w:val="center"/>
                    <w:rPr>
                      <w:b w:val="0"/>
                      <w:bCs w:val="0"/>
                      <w:color w:val="000000"/>
                      <w:sz w:val="21"/>
                      <w:szCs w:val="21"/>
                    </w:rPr>
                  </w:pPr>
                  <w:r>
                    <w:rPr>
                      <w:b w:val="0"/>
                      <w:bCs w:val="0"/>
                      <w:color w:val="000000"/>
                      <w:sz w:val="21"/>
                      <w:szCs w:val="21"/>
                    </w:rPr>
                    <w:t>污染因子</w:t>
                  </w:r>
                </w:p>
              </w:tc>
              <w:tc>
                <w:tcPr>
                  <w:tcW w:w="768" w:type="pct"/>
                  <w:vMerge w:val="restart"/>
                  <w:tcBorders>
                    <w:top w:val="single" w:color="auto" w:sz="4" w:space="0"/>
                  </w:tcBorders>
                  <w:noWrap w:val="0"/>
                  <w:vAlign w:val="center"/>
                </w:tcPr>
                <w:p w14:paraId="60933825">
                  <w:pPr>
                    <w:snapToGrid w:val="0"/>
                    <w:jc w:val="center"/>
                    <w:rPr>
                      <w:b w:val="0"/>
                      <w:bCs w:val="0"/>
                      <w:color w:val="000000"/>
                      <w:sz w:val="21"/>
                      <w:szCs w:val="21"/>
                    </w:rPr>
                  </w:pPr>
                  <w:r>
                    <w:rPr>
                      <w:b w:val="0"/>
                      <w:bCs w:val="0"/>
                      <w:color w:val="000000"/>
                      <w:sz w:val="21"/>
                      <w:szCs w:val="21"/>
                    </w:rPr>
                    <w:t>最高允许排放浓度（mg/m</w:t>
                  </w:r>
                  <w:r>
                    <w:rPr>
                      <w:b w:val="0"/>
                      <w:bCs w:val="0"/>
                      <w:color w:val="000000"/>
                      <w:sz w:val="21"/>
                      <w:szCs w:val="21"/>
                      <w:vertAlign w:val="superscript"/>
                    </w:rPr>
                    <w:t>3</w:t>
                  </w:r>
                  <w:r>
                    <w:rPr>
                      <w:b w:val="0"/>
                      <w:bCs w:val="0"/>
                      <w:color w:val="000000"/>
                      <w:sz w:val="21"/>
                      <w:szCs w:val="21"/>
                    </w:rPr>
                    <w:t>）</w:t>
                  </w:r>
                </w:p>
              </w:tc>
              <w:tc>
                <w:tcPr>
                  <w:tcW w:w="923" w:type="pct"/>
                  <w:gridSpan w:val="2"/>
                  <w:tcBorders>
                    <w:top w:val="single" w:color="auto" w:sz="4" w:space="0"/>
                  </w:tcBorders>
                  <w:noWrap w:val="0"/>
                  <w:vAlign w:val="center"/>
                </w:tcPr>
                <w:p w14:paraId="6B864318">
                  <w:pPr>
                    <w:snapToGrid w:val="0"/>
                    <w:jc w:val="center"/>
                    <w:rPr>
                      <w:b w:val="0"/>
                      <w:bCs w:val="0"/>
                      <w:color w:val="000000"/>
                      <w:sz w:val="21"/>
                      <w:szCs w:val="21"/>
                    </w:rPr>
                  </w:pPr>
                  <w:r>
                    <w:rPr>
                      <w:b w:val="0"/>
                      <w:bCs w:val="0"/>
                      <w:color w:val="000000"/>
                      <w:sz w:val="21"/>
                      <w:szCs w:val="21"/>
                    </w:rPr>
                    <w:t>最高允许排放速率（kg/h）</w:t>
                  </w:r>
                </w:p>
              </w:tc>
              <w:tc>
                <w:tcPr>
                  <w:tcW w:w="1192" w:type="pct"/>
                  <w:gridSpan w:val="2"/>
                  <w:tcBorders>
                    <w:top w:val="single" w:color="auto" w:sz="4" w:space="0"/>
                  </w:tcBorders>
                  <w:noWrap w:val="0"/>
                  <w:vAlign w:val="center"/>
                </w:tcPr>
                <w:p w14:paraId="7A70A256">
                  <w:pPr>
                    <w:snapToGrid w:val="0"/>
                    <w:jc w:val="center"/>
                    <w:rPr>
                      <w:b w:val="0"/>
                      <w:bCs w:val="0"/>
                      <w:color w:val="000000"/>
                      <w:sz w:val="21"/>
                      <w:szCs w:val="21"/>
                    </w:rPr>
                  </w:pPr>
                  <w:r>
                    <w:rPr>
                      <w:b w:val="0"/>
                      <w:bCs w:val="0"/>
                      <w:color w:val="000000"/>
                      <w:sz w:val="21"/>
                      <w:szCs w:val="21"/>
                    </w:rPr>
                    <w:t>无组织监控点浓度限值</w:t>
                  </w:r>
                </w:p>
              </w:tc>
              <w:tc>
                <w:tcPr>
                  <w:tcW w:w="1173" w:type="pct"/>
                  <w:vMerge w:val="restart"/>
                  <w:tcBorders>
                    <w:top w:val="single" w:color="auto" w:sz="4" w:space="0"/>
                    <w:right w:val="single" w:color="auto" w:sz="4" w:space="0"/>
                  </w:tcBorders>
                  <w:noWrap w:val="0"/>
                  <w:vAlign w:val="center"/>
                </w:tcPr>
                <w:p w14:paraId="6A4A369F">
                  <w:pPr>
                    <w:snapToGrid w:val="0"/>
                    <w:jc w:val="center"/>
                    <w:rPr>
                      <w:b w:val="0"/>
                      <w:bCs w:val="0"/>
                      <w:color w:val="000000"/>
                      <w:sz w:val="21"/>
                      <w:szCs w:val="21"/>
                    </w:rPr>
                  </w:pPr>
                  <w:r>
                    <w:rPr>
                      <w:b w:val="0"/>
                      <w:bCs w:val="0"/>
                      <w:color w:val="000000"/>
                      <w:sz w:val="21"/>
                      <w:szCs w:val="21"/>
                    </w:rPr>
                    <w:t>标准来源</w:t>
                  </w:r>
                </w:p>
              </w:tc>
            </w:tr>
            <w:tr w14:paraId="126EFA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41" w:hRule="atLeast"/>
                <w:jc w:val="center"/>
              </w:trPr>
              <w:tc>
                <w:tcPr>
                  <w:tcW w:w="400" w:type="pct"/>
                  <w:vMerge w:val="continue"/>
                  <w:tcBorders>
                    <w:left w:val="single" w:color="auto" w:sz="4" w:space="0"/>
                  </w:tcBorders>
                  <w:noWrap w:val="0"/>
                  <w:vAlign w:val="center"/>
                </w:tcPr>
                <w:p w14:paraId="40BB53FE">
                  <w:pPr>
                    <w:snapToGrid w:val="0"/>
                    <w:jc w:val="center"/>
                    <w:rPr>
                      <w:b w:val="0"/>
                      <w:bCs w:val="0"/>
                      <w:color w:val="000000"/>
                      <w:sz w:val="21"/>
                      <w:szCs w:val="21"/>
                    </w:rPr>
                  </w:pPr>
                </w:p>
              </w:tc>
              <w:tc>
                <w:tcPr>
                  <w:tcW w:w="544" w:type="pct"/>
                  <w:vMerge w:val="continue"/>
                  <w:noWrap w:val="0"/>
                  <w:vAlign w:val="center"/>
                </w:tcPr>
                <w:p w14:paraId="310273A5">
                  <w:pPr>
                    <w:snapToGrid w:val="0"/>
                    <w:jc w:val="center"/>
                    <w:rPr>
                      <w:b w:val="0"/>
                      <w:bCs w:val="0"/>
                      <w:color w:val="000000"/>
                      <w:sz w:val="21"/>
                      <w:szCs w:val="21"/>
                    </w:rPr>
                  </w:pPr>
                </w:p>
              </w:tc>
              <w:tc>
                <w:tcPr>
                  <w:tcW w:w="768" w:type="pct"/>
                  <w:vMerge w:val="continue"/>
                  <w:noWrap w:val="0"/>
                  <w:vAlign w:val="center"/>
                </w:tcPr>
                <w:p w14:paraId="021B7C2E">
                  <w:pPr>
                    <w:snapToGrid w:val="0"/>
                    <w:jc w:val="center"/>
                    <w:rPr>
                      <w:b w:val="0"/>
                      <w:bCs w:val="0"/>
                      <w:color w:val="000000"/>
                      <w:sz w:val="21"/>
                      <w:szCs w:val="21"/>
                    </w:rPr>
                  </w:pPr>
                </w:p>
              </w:tc>
              <w:tc>
                <w:tcPr>
                  <w:tcW w:w="504" w:type="pct"/>
                  <w:noWrap w:val="0"/>
                  <w:vAlign w:val="center"/>
                </w:tcPr>
                <w:p w14:paraId="372D2C3A">
                  <w:pPr>
                    <w:snapToGrid w:val="0"/>
                    <w:jc w:val="center"/>
                    <w:rPr>
                      <w:b w:val="0"/>
                      <w:bCs w:val="0"/>
                      <w:color w:val="000000"/>
                      <w:sz w:val="21"/>
                      <w:szCs w:val="21"/>
                    </w:rPr>
                  </w:pPr>
                  <w:r>
                    <w:rPr>
                      <w:b w:val="0"/>
                      <w:bCs w:val="0"/>
                      <w:color w:val="000000"/>
                      <w:sz w:val="21"/>
                      <w:szCs w:val="21"/>
                    </w:rPr>
                    <w:t>排气筒高度</w:t>
                  </w:r>
                </w:p>
              </w:tc>
              <w:tc>
                <w:tcPr>
                  <w:tcW w:w="419" w:type="pct"/>
                  <w:noWrap w:val="0"/>
                  <w:vAlign w:val="center"/>
                </w:tcPr>
                <w:p w14:paraId="707D32AF">
                  <w:pPr>
                    <w:snapToGrid w:val="0"/>
                    <w:jc w:val="center"/>
                    <w:rPr>
                      <w:b w:val="0"/>
                      <w:bCs w:val="0"/>
                      <w:color w:val="000000"/>
                      <w:sz w:val="21"/>
                      <w:szCs w:val="21"/>
                    </w:rPr>
                  </w:pPr>
                  <w:r>
                    <w:rPr>
                      <w:b w:val="0"/>
                      <w:bCs w:val="0"/>
                      <w:color w:val="000000"/>
                      <w:sz w:val="21"/>
                      <w:szCs w:val="21"/>
                    </w:rPr>
                    <w:t>二级</w:t>
                  </w:r>
                </w:p>
              </w:tc>
              <w:tc>
                <w:tcPr>
                  <w:tcW w:w="659" w:type="pct"/>
                  <w:noWrap w:val="0"/>
                  <w:vAlign w:val="center"/>
                </w:tcPr>
                <w:p w14:paraId="7CDECC26">
                  <w:pPr>
                    <w:snapToGrid w:val="0"/>
                    <w:jc w:val="center"/>
                    <w:rPr>
                      <w:b w:val="0"/>
                      <w:bCs w:val="0"/>
                      <w:color w:val="000000"/>
                      <w:sz w:val="21"/>
                      <w:szCs w:val="21"/>
                    </w:rPr>
                  </w:pPr>
                  <w:r>
                    <w:rPr>
                      <w:b w:val="0"/>
                      <w:bCs w:val="0"/>
                      <w:color w:val="000000"/>
                      <w:sz w:val="21"/>
                      <w:szCs w:val="21"/>
                    </w:rPr>
                    <w:t>监控点</w:t>
                  </w:r>
                </w:p>
              </w:tc>
              <w:tc>
                <w:tcPr>
                  <w:tcW w:w="534" w:type="pct"/>
                  <w:noWrap w:val="0"/>
                  <w:vAlign w:val="center"/>
                </w:tcPr>
                <w:p w14:paraId="6587995D">
                  <w:pPr>
                    <w:snapToGrid w:val="0"/>
                    <w:jc w:val="center"/>
                    <w:rPr>
                      <w:b w:val="0"/>
                      <w:bCs w:val="0"/>
                      <w:color w:val="000000"/>
                      <w:sz w:val="21"/>
                      <w:szCs w:val="21"/>
                    </w:rPr>
                  </w:pPr>
                  <w:r>
                    <w:rPr>
                      <w:b w:val="0"/>
                      <w:bCs w:val="0"/>
                      <w:color w:val="000000"/>
                      <w:sz w:val="21"/>
                      <w:szCs w:val="21"/>
                    </w:rPr>
                    <w:t>浓度mg/m</w:t>
                  </w:r>
                  <w:r>
                    <w:rPr>
                      <w:b w:val="0"/>
                      <w:bCs w:val="0"/>
                      <w:color w:val="000000"/>
                      <w:sz w:val="21"/>
                      <w:szCs w:val="21"/>
                      <w:vertAlign w:val="superscript"/>
                    </w:rPr>
                    <w:t>3</w:t>
                  </w:r>
                </w:p>
              </w:tc>
              <w:tc>
                <w:tcPr>
                  <w:tcW w:w="1173" w:type="pct"/>
                  <w:vMerge w:val="continue"/>
                  <w:tcBorders>
                    <w:right w:val="single" w:color="auto" w:sz="4" w:space="0"/>
                  </w:tcBorders>
                  <w:noWrap w:val="0"/>
                  <w:vAlign w:val="center"/>
                </w:tcPr>
                <w:p w14:paraId="78D83A90">
                  <w:pPr>
                    <w:snapToGrid w:val="0"/>
                    <w:jc w:val="center"/>
                    <w:rPr>
                      <w:b w:val="0"/>
                      <w:bCs w:val="0"/>
                      <w:color w:val="000000"/>
                      <w:sz w:val="21"/>
                      <w:szCs w:val="21"/>
                    </w:rPr>
                  </w:pPr>
                </w:p>
              </w:tc>
            </w:tr>
            <w:tr w14:paraId="17C43E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53" w:hRule="atLeast"/>
                <w:jc w:val="center"/>
              </w:trPr>
              <w:tc>
                <w:tcPr>
                  <w:tcW w:w="400" w:type="pct"/>
                  <w:tcBorders>
                    <w:left w:val="single" w:color="auto" w:sz="4" w:space="0"/>
                    <w:bottom w:val="single" w:color="auto" w:sz="4" w:space="0"/>
                  </w:tcBorders>
                  <w:noWrap w:val="0"/>
                  <w:vAlign w:val="center"/>
                </w:tcPr>
                <w:p w14:paraId="61F72D18">
                  <w:pPr>
                    <w:spacing w:line="0" w:lineRule="atLeast"/>
                    <w:jc w:val="center"/>
                    <w:rPr>
                      <w:b w:val="0"/>
                      <w:bCs w:val="0"/>
                      <w:color w:val="000000"/>
                      <w:sz w:val="21"/>
                      <w:szCs w:val="21"/>
                    </w:rPr>
                  </w:pPr>
                  <w:r>
                    <w:rPr>
                      <w:b w:val="0"/>
                      <w:bCs w:val="0"/>
                      <w:color w:val="000000"/>
                      <w:sz w:val="21"/>
                      <w:szCs w:val="21"/>
                    </w:rPr>
                    <w:t>施工期</w:t>
                  </w:r>
                </w:p>
              </w:tc>
              <w:tc>
                <w:tcPr>
                  <w:tcW w:w="544" w:type="pct"/>
                  <w:tcBorders>
                    <w:bottom w:val="single" w:color="auto" w:sz="4" w:space="0"/>
                  </w:tcBorders>
                  <w:noWrap w:val="0"/>
                  <w:vAlign w:val="center"/>
                </w:tcPr>
                <w:p w14:paraId="5CFC3477">
                  <w:pPr>
                    <w:spacing w:line="0" w:lineRule="atLeast"/>
                    <w:jc w:val="center"/>
                    <w:rPr>
                      <w:b w:val="0"/>
                      <w:bCs w:val="0"/>
                      <w:color w:val="000000"/>
                      <w:sz w:val="21"/>
                      <w:szCs w:val="21"/>
                    </w:rPr>
                  </w:pPr>
                  <w:r>
                    <w:rPr>
                      <w:b w:val="0"/>
                      <w:bCs w:val="0"/>
                      <w:color w:val="000000"/>
                      <w:sz w:val="21"/>
                      <w:szCs w:val="21"/>
                    </w:rPr>
                    <w:t>颗粒物</w:t>
                  </w:r>
                </w:p>
              </w:tc>
              <w:tc>
                <w:tcPr>
                  <w:tcW w:w="768" w:type="pct"/>
                  <w:tcBorders>
                    <w:bottom w:val="single" w:color="auto" w:sz="4" w:space="0"/>
                  </w:tcBorders>
                  <w:noWrap w:val="0"/>
                  <w:vAlign w:val="center"/>
                </w:tcPr>
                <w:p w14:paraId="07709FF5">
                  <w:pPr>
                    <w:jc w:val="center"/>
                    <w:rPr>
                      <w:b w:val="0"/>
                      <w:bCs w:val="0"/>
                      <w:color w:val="000000"/>
                      <w:sz w:val="21"/>
                      <w:szCs w:val="21"/>
                    </w:rPr>
                  </w:pPr>
                  <w:r>
                    <w:rPr>
                      <w:rFonts w:hint="eastAsia"/>
                      <w:b w:val="0"/>
                      <w:bCs w:val="0"/>
                      <w:color w:val="000000"/>
                      <w:sz w:val="21"/>
                      <w:szCs w:val="21"/>
                    </w:rPr>
                    <w:t>\</w:t>
                  </w:r>
                </w:p>
              </w:tc>
              <w:tc>
                <w:tcPr>
                  <w:tcW w:w="504" w:type="pct"/>
                  <w:tcBorders>
                    <w:bottom w:val="single" w:color="auto" w:sz="4" w:space="0"/>
                  </w:tcBorders>
                  <w:noWrap w:val="0"/>
                  <w:vAlign w:val="center"/>
                </w:tcPr>
                <w:p w14:paraId="5EB85AAF">
                  <w:pPr>
                    <w:jc w:val="center"/>
                    <w:rPr>
                      <w:b w:val="0"/>
                      <w:bCs w:val="0"/>
                      <w:color w:val="000000"/>
                      <w:sz w:val="21"/>
                      <w:szCs w:val="21"/>
                    </w:rPr>
                  </w:pPr>
                  <w:r>
                    <w:rPr>
                      <w:rFonts w:hint="eastAsia"/>
                      <w:b w:val="0"/>
                      <w:bCs w:val="0"/>
                      <w:color w:val="000000"/>
                      <w:sz w:val="21"/>
                      <w:szCs w:val="21"/>
                    </w:rPr>
                    <w:t>\</w:t>
                  </w:r>
                </w:p>
              </w:tc>
              <w:tc>
                <w:tcPr>
                  <w:tcW w:w="419" w:type="pct"/>
                  <w:tcBorders>
                    <w:bottom w:val="single" w:color="auto" w:sz="4" w:space="0"/>
                  </w:tcBorders>
                  <w:noWrap w:val="0"/>
                  <w:vAlign w:val="center"/>
                </w:tcPr>
                <w:p w14:paraId="2BA75D67">
                  <w:pPr>
                    <w:jc w:val="center"/>
                    <w:rPr>
                      <w:b w:val="0"/>
                      <w:bCs w:val="0"/>
                      <w:color w:val="000000"/>
                      <w:sz w:val="21"/>
                      <w:szCs w:val="21"/>
                    </w:rPr>
                  </w:pPr>
                  <w:r>
                    <w:rPr>
                      <w:rFonts w:hint="eastAsia"/>
                      <w:b w:val="0"/>
                      <w:bCs w:val="0"/>
                      <w:color w:val="000000"/>
                      <w:sz w:val="21"/>
                      <w:szCs w:val="21"/>
                    </w:rPr>
                    <w:t>\</w:t>
                  </w:r>
                </w:p>
              </w:tc>
              <w:tc>
                <w:tcPr>
                  <w:tcW w:w="659" w:type="pct"/>
                  <w:tcBorders>
                    <w:bottom w:val="single" w:color="auto" w:sz="4" w:space="0"/>
                  </w:tcBorders>
                  <w:noWrap w:val="0"/>
                  <w:vAlign w:val="center"/>
                </w:tcPr>
                <w:p w14:paraId="3216EC62">
                  <w:pPr>
                    <w:jc w:val="center"/>
                    <w:rPr>
                      <w:b w:val="0"/>
                      <w:bCs w:val="0"/>
                      <w:color w:val="000000"/>
                      <w:sz w:val="21"/>
                      <w:szCs w:val="21"/>
                    </w:rPr>
                  </w:pPr>
                  <w:r>
                    <w:rPr>
                      <w:rFonts w:hint="eastAsia"/>
                      <w:b w:val="0"/>
                      <w:bCs w:val="0"/>
                      <w:color w:val="000000"/>
                      <w:sz w:val="21"/>
                      <w:szCs w:val="21"/>
                    </w:rPr>
                    <w:t>\</w:t>
                  </w:r>
                </w:p>
              </w:tc>
              <w:tc>
                <w:tcPr>
                  <w:tcW w:w="534" w:type="pct"/>
                  <w:tcBorders>
                    <w:bottom w:val="single" w:color="auto" w:sz="4" w:space="0"/>
                  </w:tcBorders>
                  <w:noWrap w:val="0"/>
                  <w:vAlign w:val="center"/>
                </w:tcPr>
                <w:p w14:paraId="15B34F5C">
                  <w:pPr>
                    <w:snapToGrid w:val="0"/>
                    <w:jc w:val="center"/>
                    <w:rPr>
                      <w:b w:val="0"/>
                      <w:bCs w:val="0"/>
                      <w:color w:val="000000"/>
                      <w:sz w:val="21"/>
                      <w:szCs w:val="21"/>
                    </w:rPr>
                  </w:pPr>
                  <w:r>
                    <w:rPr>
                      <w:b w:val="0"/>
                      <w:bCs w:val="0"/>
                      <w:color w:val="000000"/>
                      <w:sz w:val="21"/>
                      <w:szCs w:val="21"/>
                    </w:rPr>
                    <w:t>1.0</w:t>
                  </w:r>
                </w:p>
              </w:tc>
              <w:tc>
                <w:tcPr>
                  <w:tcW w:w="1173" w:type="pct"/>
                  <w:tcBorders>
                    <w:bottom w:val="single" w:color="auto" w:sz="4" w:space="0"/>
                    <w:right w:val="single" w:color="auto" w:sz="4" w:space="0"/>
                  </w:tcBorders>
                  <w:noWrap w:val="0"/>
                  <w:vAlign w:val="center"/>
                </w:tcPr>
                <w:p w14:paraId="3D3670C7">
                  <w:pPr>
                    <w:snapToGrid w:val="0"/>
                    <w:jc w:val="center"/>
                    <w:rPr>
                      <w:rFonts w:hint="eastAsia" w:eastAsia="宋体"/>
                      <w:b w:val="0"/>
                      <w:bCs w:val="0"/>
                      <w:color w:val="000000"/>
                      <w:sz w:val="21"/>
                      <w:szCs w:val="21"/>
                      <w:lang w:eastAsia="zh-CN"/>
                    </w:rPr>
                  </w:pPr>
                  <w:r>
                    <w:rPr>
                      <w:b w:val="0"/>
                      <w:bCs w:val="0"/>
                      <w:color w:val="000000"/>
                      <w:sz w:val="21"/>
                      <w:szCs w:val="21"/>
                    </w:rPr>
                    <w:t>《大气污染物综合排放标准》（GB16297-1996）</w:t>
                  </w:r>
                  <w:r>
                    <w:rPr>
                      <w:rFonts w:hint="eastAsia"/>
                      <w:b w:val="0"/>
                      <w:bCs w:val="0"/>
                      <w:color w:val="000000"/>
                      <w:sz w:val="21"/>
                      <w:szCs w:val="21"/>
                      <w:lang w:eastAsia="zh-CN"/>
                    </w:rPr>
                    <w:t>。</w:t>
                  </w:r>
                </w:p>
              </w:tc>
            </w:tr>
          </w:tbl>
          <w:p w14:paraId="7647D4B9">
            <w:pPr>
              <w:autoSpaceDE w:val="0"/>
              <w:autoSpaceDN w:val="0"/>
              <w:adjustRightInd w:val="0"/>
              <w:snapToGrid w:val="0"/>
              <w:spacing w:line="360" w:lineRule="auto"/>
              <w:ind w:firstLine="480" w:firstLineChars="200"/>
              <w:rPr>
                <w:color w:val="000000"/>
                <w:kern w:val="0"/>
                <w:sz w:val="24"/>
                <w:highlight w:val="none"/>
              </w:rPr>
            </w:pPr>
            <w:r>
              <w:rPr>
                <w:rFonts w:hint="eastAsia"/>
                <w:color w:val="000000"/>
                <w:kern w:val="0"/>
                <w:sz w:val="24"/>
                <w:highlight w:val="none"/>
              </w:rPr>
              <w:t>本项目运营期厂界非甲烷总烃无组织排放执行</w:t>
            </w:r>
            <w:r>
              <w:rPr>
                <w:rFonts w:hint="eastAsia"/>
                <w:color w:val="000000"/>
                <w:kern w:val="0"/>
                <w:sz w:val="24"/>
                <w:highlight w:val="none"/>
                <w:lang w:val="en-US" w:eastAsia="zh-CN"/>
              </w:rPr>
              <w:t>《挥发性有机物无组织排放控制标准》（GB37822-2019），</w:t>
            </w:r>
            <w:r>
              <w:rPr>
                <w:rFonts w:hint="eastAsia"/>
                <w:color w:val="000000"/>
                <w:kern w:val="0"/>
                <w:sz w:val="24"/>
                <w:highlight w:val="none"/>
              </w:rPr>
              <w:t>无组织排放监控限值见表</w:t>
            </w:r>
            <w:r>
              <w:rPr>
                <w:rFonts w:hint="eastAsia"/>
                <w:color w:val="000000"/>
                <w:kern w:val="0"/>
                <w:sz w:val="24"/>
                <w:highlight w:val="none"/>
                <w:lang w:val="en-US" w:eastAsia="zh-CN"/>
              </w:rPr>
              <w:t>3-6</w:t>
            </w:r>
            <w:r>
              <w:rPr>
                <w:rFonts w:hint="eastAsia"/>
                <w:color w:val="000000"/>
                <w:kern w:val="0"/>
                <w:sz w:val="24"/>
                <w:highlight w:val="none"/>
              </w:rPr>
              <w:t>。</w:t>
            </w:r>
          </w:p>
          <w:p w14:paraId="7625DAF4">
            <w:pPr>
              <w:adjustRightInd w:val="0"/>
              <w:snapToGrid w:val="0"/>
              <w:jc w:val="center"/>
              <w:rPr>
                <w:b/>
                <w:color w:val="000000"/>
                <w:sz w:val="24"/>
                <w:highlight w:val="none"/>
              </w:rPr>
            </w:pPr>
            <w:r>
              <w:rPr>
                <w:b/>
                <w:color w:val="000000"/>
                <w:sz w:val="24"/>
                <w:highlight w:val="none"/>
              </w:rPr>
              <w:t>表</w:t>
            </w:r>
            <w:r>
              <w:rPr>
                <w:rFonts w:hint="eastAsia"/>
                <w:b/>
                <w:color w:val="000000"/>
                <w:sz w:val="24"/>
                <w:highlight w:val="none"/>
                <w:lang w:val="en-US" w:eastAsia="zh-CN"/>
              </w:rPr>
              <w:t>3-6：</w:t>
            </w:r>
            <w:r>
              <w:rPr>
                <w:rFonts w:hint="eastAsia"/>
                <w:b/>
                <w:color w:val="000000"/>
                <w:sz w:val="24"/>
                <w:highlight w:val="none"/>
              </w:rPr>
              <w:t>厂界</w:t>
            </w:r>
            <w:r>
              <w:rPr>
                <w:b/>
                <w:color w:val="000000"/>
                <w:sz w:val="24"/>
                <w:highlight w:val="none"/>
              </w:rPr>
              <w:t>无组织排放限值</w:t>
            </w:r>
          </w:p>
          <w:tbl>
            <w:tblPr>
              <w:tblStyle w:val="4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560"/>
              <w:gridCol w:w="5815"/>
            </w:tblGrid>
            <w:tr w14:paraId="76E7C5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330" w:type="dxa"/>
                  <w:tcBorders>
                    <w:top w:val="single" w:color="auto" w:sz="4" w:space="0"/>
                    <w:left w:val="single" w:color="auto" w:sz="0" w:space="0"/>
                  </w:tcBorders>
                  <w:noWrap w:val="0"/>
                  <w:vAlign w:val="center"/>
                </w:tcPr>
                <w:p w14:paraId="140F5A19">
                  <w:pPr>
                    <w:snapToGrid w:val="0"/>
                    <w:jc w:val="center"/>
                    <w:rPr>
                      <w:rFonts w:ascii="Times New Roman" w:hAnsi="Times New Roman" w:eastAsia="宋体" w:cs="Times New Roman"/>
                      <w:b w:val="0"/>
                      <w:bCs w:val="0"/>
                      <w:color w:val="000000"/>
                      <w:sz w:val="21"/>
                      <w:szCs w:val="21"/>
                      <w:highlight w:val="none"/>
                    </w:rPr>
                  </w:pPr>
                  <w:r>
                    <w:rPr>
                      <w:rFonts w:ascii="Times New Roman" w:hAnsi="Times New Roman" w:eastAsia="宋体" w:cs="Times New Roman"/>
                      <w:b w:val="0"/>
                      <w:bCs w:val="0"/>
                      <w:color w:val="000000"/>
                      <w:sz w:val="21"/>
                      <w:szCs w:val="21"/>
                      <w:highlight w:val="none"/>
                    </w:rPr>
                    <w:t>污染物</w:t>
                  </w:r>
                </w:p>
              </w:tc>
              <w:tc>
                <w:tcPr>
                  <w:tcW w:w="1560" w:type="dxa"/>
                  <w:tcBorders>
                    <w:top w:val="single" w:color="auto" w:sz="4" w:space="0"/>
                  </w:tcBorders>
                  <w:noWrap w:val="0"/>
                  <w:vAlign w:val="center"/>
                </w:tcPr>
                <w:p w14:paraId="3A2D7DE5">
                  <w:pPr>
                    <w:snapToGrid w:val="0"/>
                    <w:jc w:val="center"/>
                    <w:rPr>
                      <w:rFonts w:ascii="Times New Roman" w:hAnsi="Times New Roman" w:eastAsia="宋体" w:cs="Times New Roman"/>
                      <w:b w:val="0"/>
                      <w:bCs w:val="0"/>
                      <w:color w:val="000000"/>
                      <w:sz w:val="21"/>
                      <w:szCs w:val="21"/>
                      <w:highlight w:val="none"/>
                    </w:rPr>
                  </w:pPr>
                  <w:r>
                    <w:rPr>
                      <w:rFonts w:ascii="Times New Roman" w:hAnsi="Times New Roman" w:eastAsia="宋体" w:cs="Times New Roman"/>
                      <w:b w:val="0"/>
                      <w:bCs w:val="0"/>
                      <w:color w:val="000000"/>
                      <w:sz w:val="21"/>
                      <w:szCs w:val="21"/>
                      <w:highlight w:val="none"/>
                    </w:rPr>
                    <w:t>标准值</w:t>
                  </w:r>
                </w:p>
              </w:tc>
              <w:tc>
                <w:tcPr>
                  <w:tcW w:w="5815" w:type="dxa"/>
                  <w:tcBorders>
                    <w:top w:val="single" w:color="auto" w:sz="4" w:space="0"/>
                    <w:right w:val="single" w:color="auto" w:sz="4" w:space="0"/>
                  </w:tcBorders>
                  <w:noWrap w:val="0"/>
                  <w:vAlign w:val="center"/>
                </w:tcPr>
                <w:p w14:paraId="759430AF">
                  <w:pPr>
                    <w:snapToGrid w:val="0"/>
                    <w:jc w:val="center"/>
                    <w:rPr>
                      <w:rFonts w:ascii="Times New Roman" w:hAnsi="Times New Roman" w:eastAsia="宋体" w:cs="Times New Roman"/>
                      <w:b w:val="0"/>
                      <w:bCs w:val="0"/>
                      <w:color w:val="000000"/>
                      <w:sz w:val="21"/>
                      <w:szCs w:val="21"/>
                      <w:highlight w:val="none"/>
                    </w:rPr>
                  </w:pPr>
                  <w:r>
                    <w:rPr>
                      <w:rFonts w:ascii="Times New Roman" w:hAnsi="Times New Roman" w:eastAsia="宋体" w:cs="Times New Roman"/>
                      <w:b w:val="0"/>
                      <w:bCs w:val="0"/>
                      <w:color w:val="000000"/>
                      <w:sz w:val="21"/>
                      <w:szCs w:val="21"/>
                      <w:highlight w:val="none"/>
                    </w:rPr>
                    <w:t>标准</w:t>
                  </w:r>
                </w:p>
              </w:tc>
            </w:tr>
            <w:tr w14:paraId="5F26EC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0" w:type="dxa"/>
                  <w:tcBorders>
                    <w:left w:val="single" w:color="auto" w:sz="4" w:space="0"/>
                    <w:bottom w:val="single" w:color="auto" w:sz="4" w:space="0"/>
                  </w:tcBorders>
                  <w:noWrap w:val="0"/>
                  <w:vAlign w:val="center"/>
                </w:tcPr>
                <w:p w14:paraId="22C6F905">
                  <w:pPr>
                    <w:snapToGrid w:val="0"/>
                    <w:jc w:val="center"/>
                    <w:rPr>
                      <w:rFonts w:ascii="Times New Roman" w:hAnsi="Times New Roman" w:eastAsia="宋体" w:cs="Times New Roman"/>
                      <w:b w:val="0"/>
                      <w:bCs w:val="0"/>
                      <w:color w:val="000000"/>
                      <w:sz w:val="21"/>
                      <w:szCs w:val="21"/>
                      <w:highlight w:val="none"/>
                    </w:rPr>
                  </w:pPr>
                  <w:r>
                    <w:rPr>
                      <w:rFonts w:ascii="Times New Roman" w:hAnsi="Times New Roman" w:eastAsia="宋体" w:cs="Times New Roman"/>
                      <w:b w:val="0"/>
                      <w:bCs w:val="0"/>
                      <w:color w:val="000000"/>
                      <w:sz w:val="21"/>
                      <w:szCs w:val="21"/>
                      <w:highlight w:val="none"/>
                    </w:rPr>
                    <w:t>非甲烷总烃</w:t>
                  </w:r>
                </w:p>
              </w:tc>
              <w:tc>
                <w:tcPr>
                  <w:tcW w:w="1560" w:type="dxa"/>
                  <w:tcBorders>
                    <w:bottom w:val="single" w:color="auto" w:sz="4" w:space="0"/>
                  </w:tcBorders>
                  <w:noWrap w:val="0"/>
                  <w:vAlign w:val="center"/>
                </w:tcPr>
                <w:p w14:paraId="4D58A995">
                  <w:pPr>
                    <w:snapToGrid w:val="0"/>
                    <w:jc w:val="center"/>
                    <w:rPr>
                      <w:rFonts w:ascii="Times New Roman" w:hAnsi="Times New Roman" w:eastAsia="宋体" w:cs="Times New Roman"/>
                      <w:b w:val="0"/>
                      <w:bCs w:val="0"/>
                      <w:color w:val="000000"/>
                      <w:sz w:val="21"/>
                      <w:szCs w:val="21"/>
                      <w:highlight w:val="none"/>
                    </w:rPr>
                  </w:pPr>
                  <w:r>
                    <w:rPr>
                      <w:rFonts w:hint="eastAsia" w:ascii="Times New Roman" w:hAnsi="Times New Roman" w:eastAsia="宋体" w:cs="Times New Roman"/>
                      <w:b w:val="0"/>
                      <w:bCs w:val="0"/>
                      <w:color w:val="000000"/>
                      <w:sz w:val="21"/>
                      <w:szCs w:val="21"/>
                      <w:highlight w:val="none"/>
                    </w:rPr>
                    <w:t>4.0</w:t>
                  </w:r>
                  <w:r>
                    <w:rPr>
                      <w:rFonts w:ascii="Times New Roman" w:hAnsi="Times New Roman" w:eastAsia="宋体" w:cs="Times New Roman"/>
                      <w:b w:val="0"/>
                      <w:bCs w:val="0"/>
                      <w:color w:val="000000"/>
                      <w:sz w:val="21"/>
                      <w:szCs w:val="21"/>
                      <w:highlight w:val="none"/>
                    </w:rPr>
                    <w:t>mg/m</w:t>
                  </w:r>
                  <w:r>
                    <w:rPr>
                      <w:rFonts w:ascii="Times New Roman" w:hAnsi="Times New Roman" w:eastAsia="宋体" w:cs="Times New Roman"/>
                      <w:b w:val="0"/>
                      <w:bCs w:val="0"/>
                      <w:color w:val="000000"/>
                      <w:sz w:val="21"/>
                      <w:szCs w:val="21"/>
                      <w:highlight w:val="none"/>
                      <w:vertAlign w:val="superscript"/>
                    </w:rPr>
                    <w:t>3</w:t>
                  </w:r>
                </w:p>
              </w:tc>
              <w:tc>
                <w:tcPr>
                  <w:tcW w:w="5815" w:type="dxa"/>
                  <w:tcBorders>
                    <w:bottom w:val="single" w:color="auto" w:sz="4" w:space="0"/>
                    <w:right w:val="single" w:color="auto" w:sz="4" w:space="0"/>
                  </w:tcBorders>
                  <w:noWrap w:val="0"/>
                  <w:vAlign w:val="center"/>
                </w:tcPr>
                <w:p w14:paraId="11B18EB5">
                  <w:pPr>
                    <w:snapToGrid w:val="0"/>
                    <w:jc w:val="center"/>
                    <w:rPr>
                      <w:rFonts w:ascii="Times New Roman" w:hAnsi="Times New Roman" w:eastAsia="宋体" w:cs="Times New Roman"/>
                      <w:b w:val="0"/>
                      <w:bCs w:val="0"/>
                      <w:color w:val="000000"/>
                      <w:sz w:val="21"/>
                      <w:szCs w:val="21"/>
                      <w:highlight w:val="none"/>
                    </w:rPr>
                  </w:pPr>
                  <w:r>
                    <w:rPr>
                      <w:rFonts w:hint="eastAsia"/>
                      <w:bCs/>
                      <w:sz w:val="21"/>
                      <w:szCs w:val="21"/>
                      <w:highlight w:val="none"/>
                      <w:lang w:val="en-US" w:eastAsia="zh-CN"/>
                    </w:rPr>
                    <w:t>《挥发性有机物无组织排放控制标准》（GB37822-2019）</w:t>
                  </w:r>
                </w:p>
              </w:tc>
            </w:tr>
          </w:tbl>
          <w:p w14:paraId="4F95F8A5">
            <w:pPr>
              <w:autoSpaceDE w:val="0"/>
              <w:autoSpaceDN w:val="0"/>
              <w:adjustRightInd w:val="0"/>
              <w:snapToGrid w:val="0"/>
              <w:spacing w:line="360" w:lineRule="auto"/>
              <w:ind w:firstLine="480" w:firstLineChars="200"/>
              <w:rPr>
                <w:rFonts w:hint="eastAsia"/>
                <w:color w:val="000000"/>
                <w:kern w:val="0"/>
                <w:sz w:val="24"/>
              </w:rPr>
            </w:pPr>
            <w:r>
              <w:rPr>
                <w:rFonts w:hint="eastAsia"/>
                <w:color w:val="000000"/>
                <w:kern w:val="0"/>
                <w:sz w:val="24"/>
              </w:rPr>
              <w:t>厂区内VOCs无组织排放执行《挥发性有机物无组织排放控制标准》（GB37822-2019）</w:t>
            </w:r>
            <w:r>
              <w:rPr>
                <w:rFonts w:hint="eastAsia"/>
                <w:color w:val="000000"/>
                <w:kern w:val="0"/>
                <w:sz w:val="24"/>
                <w:lang w:val="en-US" w:eastAsia="zh-CN"/>
              </w:rPr>
              <w:t>特别</w:t>
            </w:r>
            <w:r>
              <w:rPr>
                <w:rFonts w:hint="eastAsia"/>
                <w:color w:val="000000"/>
                <w:kern w:val="0"/>
                <w:sz w:val="24"/>
              </w:rPr>
              <w:t>排放限值。</w:t>
            </w:r>
          </w:p>
          <w:p w14:paraId="4A657DC0">
            <w:pPr>
              <w:adjustRightInd w:val="0"/>
              <w:snapToGrid w:val="0"/>
              <w:ind w:firstLine="1446" w:firstLineChars="600"/>
              <w:jc w:val="left"/>
              <w:rPr>
                <w:b/>
                <w:color w:val="000000"/>
                <w:sz w:val="24"/>
              </w:rPr>
            </w:pPr>
            <w:r>
              <w:rPr>
                <w:b/>
                <w:color w:val="000000"/>
                <w:sz w:val="24"/>
              </w:rPr>
              <w:t>表3-</w:t>
            </w:r>
            <w:r>
              <w:rPr>
                <w:rFonts w:hint="eastAsia"/>
                <w:b/>
                <w:color w:val="000000"/>
                <w:sz w:val="24"/>
                <w:lang w:val="en-US" w:eastAsia="zh-CN"/>
              </w:rPr>
              <w:t>7：</w:t>
            </w:r>
            <w:r>
              <w:rPr>
                <w:rFonts w:hint="eastAsia"/>
                <w:b/>
                <w:color w:val="000000"/>
                <w:sz w:val="24"/>
              </w:rPr>
              <w:t>《挥发性有机物无组织排放标准》（GB37822-2019）</w:t>
            </w:r>
          </w:p>
          <w:tbl>
            <w:tblPr>
              <w:tblStyle w:val="41"/>
              <w:tblW w:w="844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447"/>
              <w:gridCol w:w="1849"/>
              <w:gridCol w:w="2865"/>
              <w:gridCol w:w="2288"/>
            </w:tblGrid>
            <w:tr w14:paraId="0A1049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856" w:type="pct"/>
                  <w:tcBorders>
                    <w:top w:val="single" w:color="auto" w:sz="4" w:space="0"/>
                    <w:left w:val="single" w:color="auto" w:sz="0" w:space="0"/>
                    <w:tl2br w:val="nil"/>
                    <w:tr2bl w:val="nil"/>
                  </w:tcBorders>
                  <w:noWrap w:val="0"/>
                  <w:vAlign w:val="center"/>
                </w:tcPr>
                <w:p w14:paraId="50D99970">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污染物项目</w:t>
                  </w:r>
                </w:p>
              </w:tc>
              <w:tc>
                <w:tcPr>
                  <w:tcW w:w="1094" w:type="pct"/>
                  <w:tcBorders>
                    <w:top w:val="single" w:color="auto" w:sz="4" w:space="0"/>
                    <w:tl2br w:val="nil"/>
                    <w:tr2bl w:val="nil"/>
                  </w:tcBorders>
                  <w:noWrap w:val="0"/>
                  <w:vAlign w:val="center"/>
                </w:tcPr>
                <w:p w14:paraId="7EB217FA">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特别排放限值（mg/m</w:t>
                  </w:r>
                  <w:r>
                    <w:rPr>
                      <w:rFonts w:ascii="Times New Roman" w:hAnsi="Times New Roman" w:eastAsia="宋体" w:cs="Times New Roman"/>
                      <w:b w:val="0"/>
                      <w:bCs w:val="0"/>
                      <w:color w:val="000000"/>
                      <w:sz w:val="21"/>
                      <w:szCs w:val="21"/>
                      <w:vertAlign w:val="superscript"/>
                    </w:rPr>
                    <w:t>3</w:t>
                  </w:r>
                  <w:r>
                    <w:rPr>
                      <w:rFonts w:ascii="Times New Roman" w:hAnsi="Times New Roman" w:eastAsia="宋体" w:cs="Times New Roman"/>
                      <w:b w:val="0"/>
                      <w:bCs w:val="0"/>
                      <w:color w:val="000000"/>
                      <w:sz w:val="21"/>
                      <w:szCs w:val="21"/>
                    </w:rPr>
                    <w:t>）</w:t>
                  </w:r>
                </w:p>
              </w:tc>
              <w:tc>
                <w:tcPr>
                  <w:tcW w:w="1695" w:type="pct"/>
                  <w:tcBorders>
                    <w:top w:val="single" w:color="auto" w:sz="4" w:space="0"/>
                    <w:tl2br w:val="nil"/>
                    <w:tr2bl w:val="nil"/>
                  </w:tcBorders>
                  <w:noWrap w:val="0"/>
                  <w:vAlign w:val="center"/>
                </w:tcPr>
                <w:p w14:paraId="264C88BD">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限值含义</w:t>
                  </w:r>
                </w:p>
              </w:tc>
              <w:tc>
                <w:tcPr>
                  <w:tcW w:w="1354" w:type="pct"/>
                  <w:tcBorders>
                    <w:top w:val="single" w:color="auto" w:sz="4" w:space="0"/>
                    <w:right w:val="single" w:color="auto" w:sz="4" w:space="0"/>
                    <w:tl2br w:val="nil"/>
                    <w:tr2bl w:val="nil"/>
                  </w:tcBorders>
                  <w:noWrap w:val="0"/>
                  <w:vAlign w:val="center"/>
                </w:tcPr>
                <w:p w14:paraId="0520F495">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无组织排放监控位置</w:t>
                  </w:r>
                </w:p>
              </w:tc>
            </w:tr>
            <w:tr w14:paraId="0F5EBE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856" w:type="pct"/>
                  <w:vMerge w:val="restart"/>
                  <w:tcBorders>
                    <w:left w:val="single" w:color="auto" w:sz="4" w:space="0"/>
                    <w:bottom w:val="single" w:color="auto" w:sz="4" w:space="0"/>
                    <w:tl2br w:val="nil"/>
                    <w:tr2bl w:val="nil"/>
                  </w:tcBorders>
                  <w:noWrap w:val="0"/>
                  <w:vAlign w:val="center"/>
                </w:tcPr>
                <w:p w14:paraId="0CF57615">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NMHC</w:t>
                  </w:r>
                </w:p>
              </w:tc>
              <w:tc>
                <w:tcPr>
                  <w:tcW w:w="1094" w:type="pct"/>
                  <w:tcBorders>
                    <w:bottom w:val="single" w:color="auto" w:sz="4" w:space="0"/>
                    <w:tl2br w:val="nil"/>
                    <w:tr2bl w:val="nil"/>
                  </w:tcBorders>
                  <w:noWrap w:val="0"/>
                  <w:vAlign w:val="center"/>
                </w:tcPr>
                <w:p w14:paraId="5C022857">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6</w:t>
                  </w:r>
                </w:p>
              </w:tc>
              <w:tc>
                <w:tcPr>
                  <w:tcW w:w="1695" w:type="pct"/>
                  <w:tcBorders>
                    <w:bottom w:val="single" w:color="auto" w:sz="4" w:space="0"/>
                    <w:tl2br w:val="nil"/>
                    <w:tr2bl w:val="nil"/>
                  </w:tcBorders>
                  <w:noWrap w:val="0"/>
                  <w:vAlign w:val="center"/>
                </w:tcPr>
                <w:p w14:paraId="3105B469">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监控点处1h平均浓度值</w:t>
                  </w:r>
                  <w:r>
                    <w:rPr>
                      <w:rFonts w:hint="eastAsia" w:ascii="Times New Roman" w:hAnsi="Times New Roman" w:eastAsia="宋体" w:cs="Times New Roman"/>
                      <w:b w:val="0"/>
                      <w:bCs w:val="0"/>
                      <w:color w:val="000000"/>
                      <w:sz w:val="21"/>
                      <w:szCs w:val="21"/>
                    </w:rPr>
                    <w:t>。</w:t>
                  </w:r>
                </w:p>
              </w:tc>
              <w:tc>
                <w:tcPr>
                  <w:tcW w:w="1354" w:type="pct"/>
                  <w:vMerge w:val="restart"/>
                  <w:tcBorders>
                    <w:bottom w:val="single" w:color="auto" w:sz="4" w:space="0"/>
                    <w:right w:val="single" w:color="auto" w:sz="4" w:space="0"/>
                    <w:tl2br w:val="nil"/>
                    <w:tr2bl w:val="nil"/>
                  </w:tcBorders>
                  <w:noWrap w:val="0"/>
                  <w:vAlign w:val="center"/>
                </w:tcPr>
                <w:p w14:paraId="359F24D0">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在厂房外设置监控点</w:t>
                  </w:r>
                  <w:r>
                    <w:rPr>
                      <w:rFonts w:hint="eastAsia" w:ascii="Times New Roman" w:hAnsi="Times New Roman" w:eastAsia="宋体" w:cs="Times New Roman"/>
                      <w:b w:val="0"/>
                      <w:bCs w:val="0"/>
                      <w:color w:val="000000"/>
                      <w:sz w:val="21"/>
                      <w:szCs w:val="21"/>
                    </w:rPr>
                    <w:t>。</w:t>
                  </w:r>
                </w:p>
              </w:tc>
            </w:tr>
            <w:tr w14:paraId="5DC78C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856" w:type="pct"/>
                  <w:vMerge w:val="continue"/>
                  <w:tcBorders>
                    <w:top w:val="single" w:color="auto" w:sz="4" w:space="0"/>
                    <w:left w:val="single" w:color="auto" w:sz="4" w:space="0"/>
                    <w:tl2br w:val="nil"/>
                    <w:tr2bl w:val="nil"/>
                  </w:tcBorders>
                  <w:noWrap w:val="0"/>
                  <w:vAlign w:val="center"/>
                </w:tcPr>
                <w:p w14:paraId="5F81D4A0">
                  <w:pPr>
                    <w:snapToGrid w:val="0"/>
                    <w:jc w:val="center"/>
                    <w:rPr>
                      <w:rFonts w:ascii="Times New Roman" w:hAnsi="Times New Roman" w:eastAsia="宋体" w:cs="Times New Roman"/>
                      <w:b w:val="0"/>
                      <w:bCs w:val="0"/>
                      <w:color w:val="000000"/>
                      <w:sz w:val="21"/>
                      <w:szCs w:val="21"/>
                    </w:rPr>
                  </w:pPr>
                </w:p>
              </w:tc>
              <w:tc>
                <w:tcPr>
                  <w:tcW w:w="1094" w:type="pct"/>
                  <w:tcBorders>
                    <w:top w:val="single" w:color="auto" w:sz="4" w:space="0"/>
                    <w:tl2br w:val="nil"/>
                    <w:tr2bl w:val="nil"/>
                  </w:tcBorders>
                  <w:noWrap w:val="0"/>
                  <w:vAlign w:val="center"/>
                </w:tcPr>
                <w:p w14:paraId="62A3304B">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20</w:t>
                  </w:r>
                </w:p>
              </w:tc>
              <w:tc>
                <w:tcPr>
                  <w:tcW w:w="1695" w:type="pct"/>
                  <w:tcBorders>
                    <w:top w:val="single" w:color="auto" w:sz="4" w:space="0"/>
                    <w:tl2br w:val="nil"/>
                    <w:tr2bl w:val="nil"/>
                  </w:tcBorders>
                  <w:noWrap w:val="0"/>
                  <w:vAlign w:val="center"/>
                </w:tcPr>
                <w:p w14:paraId="14213163">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监控点处任意一次浓度值</w:t>
                  </w:r>
                  <w:r>
                    <w:rPr>
                      <w:rFonts w:hint="eastAsia" w:ascii="Times New Roman" w:hAnsi="Times New Roman" w:eastAsia="宋体" w:cs="Times New Roman"/>
                      <w:b w:val="0"/>
                      <w:bCs w:val="0"/>
                      <w:color w:val="000000"/>
                      <w:sz w:val="21"/>
                      <w:szCs w:val="21"/>
                    </w:rPr>
                    <w:t>。</w:t>
                  </w:r>
                </w:p>
              </w:tc>
              <w:tc>
                <w:tcPr>
                  <w:tcW w:w="1354" w:type="pct"/>
                  <w:vMerge w:val="continue"/>
                  <w:tcBorders>
                    <w:top w:val="single" w:color="auto" w:sz="4" w:space="0"/>
                    <w:right w:val="single" w:color="auto" w:sz="4" w:space="0"/>
                    <w:tl2br w:val="nil"/>
                    <w:tr2bl w:val="nil"/>
                  </w:tcBorders>
                  <w:noWrap w:val="0"/>
                  <w:vAlign w:val="center"/>
                </w:tcPr>
                <w:p w14:paraId="788724CC">
                  <w:pPr>
                    <w:snapToGrid w:val="0"/>
                    <w:jc w:val="center"/>
                    <w:rPr>
                      <w:rFonts w:ascii="Times New Roman" w:hAnsi="Times New Roman" w:eastAsia="宋体" w:cs="Times New Roman"/>
                      <w:b w:val="0"/>
                      <w:bCs w:val="0"/>
                      <w:color w:val="000000"/>
                      <w:sz w:val="21"/>
                      <w:szCs w:val="21"/>
                    </w:rPr>
                  </w:pPr>
                </w:p>
              </w:tc>
            </w:tr>
          </w:tbl>
          <w:p w14:paraId="070F37AF">
            <w:pPr>
              <w:adjustRightInd w:val="0"/>
              <w:snapToGrid w:val="0"/>
              <w:spacing w:line="360" w:lineRule="auto"/>
              <w:textAlignment w:val="center"/>
              <w:rPr>
                <w:rFonts w:hint="default" w:eastAsia="宋体"/>
                <w:b/>
                <w:color w:val="000000"/>
                <w:sz w:val="24"/>
                <w:highlight w:val="none"/>
                <w:lang w:val="en-US" w:eastAsia="zh-CN"/>
              </w:rPr>
            </w:pPr>
            <w:r>
              <w:rPr>
                <w:b/>
                <w:color w:val="000000"/>
                <w:sz w:val="24"/>
              </w:rPr>
              <w:t>2</w:t>
            </w:r>
            <w:r>
              <w:rPr>
                <w:rFonts w:hint="eastAsia"/>
                <w:b/>
                <w:color w:val="000000"/>
                <w:sz w:val="24"/>
              </w:rPr>
              <w:t>.</w:t>
            </w:r>
            <w:r>
              <w:rPr>
                <w:rFonts w:hint="eastAsia"/>
                <w:b/>
                <w:color w:val="000000"/>
                <w:sz w:val="24"/>
                <w:highlight w:val="none"/>
                <w:lang w:val="en-US" w:eastAsia="zh-CN"/>
              </w:rPr>
              <w:t>废水排放标准</w:t>
            </w:r>
          </w:p>
          <w:p w14:paraId="32A79A52">
            <w:pPr>
              <w:adjustRightInd w:val="0"/>
              <w:snapToGrid w:val="0"/>
              <w:spacing w:line="360" w:lineRule="auto"/>
              <w:ind w:firstLine="480" w:firstLineChars="200"/>
              <w:jc w:val="left"/>
              <w:rPr>
                <w:color w:val="000000"/>
                <w:sz w:val="24"/>
                <w:highlight w:val="none"/>
              </w:rPr>
            </w:pPr>
            <w:r>
              <w:rPr>
                <w:rFonts w:hint="eastAsia"/>
                <w:color w:val="000000"/>
                <w:sz w:val="24"/>
                <w:highlight w:val="none"/>
                <w:lang w:val="en-US" w:eastAsia="zh-CN"/>
              </w:rPr>
              <w:t>本项目废水</w:t>
            </w:r>
            <w:r>
              <w:rPr>
                <w:rFonts w:hint="eastAsia"/>
                <w:color w:val="000000"/>
                <w:sz w:val="24"/>
                <w:highlight w:val="none"/>
                <w:lang w:eastAsia="zh-CN"/>
              </w:rPr>
              <w:t>送至伊泰污水处理场处理，</w:t>
            </w:r>
            <w:r>
              <w:rPr>
                <w:rFonts w:hint="eastAsia"/>
                <w:color w:val="000000"/>
                <w:sz w:val="24"/>
                <w:highlight w:val="none"/>
                <w:lang w:val="en-US" w:eastAsia="zh-CN"/>
              </w:rPr>
              <w:t>处理后回用，不外排</w:t>
            </w:r>
            <w:r>
              <w:rPr>
                <w:color w:val="000000"/>
                <w:sz w:val="24"/>
                <w:highlight w:val="none"/>
              </w:rPr>
              <w:t>。</w:t>
            </w:r>
          </w:p>
          <w:p w14:paraId="2FA9C7DB">
            <w:pPr>
              <w:adjustRightInd w:val="0"/>
              <w:snapToGrid w:val="0"/>
              <w:ind w:firstLine="482"/>
              <w:jc w:val="center"/>
              <w:rPr>
                <w:b/>
                <w:sz w:val="24"/>
                <w:highlight w:val="none"/>
              </w:rPr>
            </w:pPr>
            <w:r>
              <w:rPr>
                <w:rFonts w:hint="eastAsia"/>
                <w:b/>
                <w:sz w:val="24"/>
                <w:highlight w:val="none"/>
                <w:lang w:val="en-US" w:eastAsia="zh-CN"/>
              </w:rPr>
              <w:t>表3-8：</w:t>
            </w:r>
            <w:r>
              <w:rPr>
                <w:rFonts w:hint="eastAsia"/>
                <w:b/>
                <w:sz w:val="24"/>
                <w:highlight w:val="none"/>
              </w:rPr>
              <w:t>综合污水处理厂进水水质要求</w:t>
            </w:r>
          </w:p>
          <w:tbl>
            <w:tblPr>
              <w:tblStyle w:val="41"/>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fixed"/>
              <w:tblCellMar>
                <w:top w:w="0" w:type="dxa"/>
                <w:left w:w="108" w:type="dxa"/>
                <w:bottom w:w="0" w:type="dxa"/>
                <w:right w:w="108" w:type="dxa"/>
              </w:tblCellMar>
            </w:tblPr>
            <w:tblGrid>
              <w:gridCol w:w="2821"/>
              <w:gridCol w:w="1994"/>
              <w:gridCol w:w="3634"/>
            </w:tblGrid>
            <w:tr w14:paraId="6DFE1A1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52" w:hRule="atLeast"/>
                <w:jc w:val="center"/>
              </w:trPr>
              <w:tc>
                <w:tcPr>
                  <w:tcW w:w="1669" w:type="pct"/>
                  <w:tcBorders>
                    <w:top w:val="single" w:color="auto" w:sz="4" w:space="0"/>
                    <w:left w:val="single" w:color="auto" w:sz="0" w:space="0"/>
                  </w:tcBorders>
                  <w:noWrap w:val="0"/>
                  <w:vAlign w:val="center"/>
                </w:tcPr>
                <w:p w14:paraId="42A9FB82">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 w:val="0"/>
                      <w:bCs/>
                      <w:sz w:val="21"/>
                      <w:szCs w:val="21"/>
                      <w:highlight w:val="none"/>
                      <w:lang w:val="en-US" w:eastAsia="zh-CN"/>
                    </w:rPr>
                  </w:pPr>
                  <w:r>
                    <w:rPr>
                      <w:rFonts w:hint="eastAsia"/>
                      <w:b w:val="0"/>
                      <w:bCs/>
                      <w:sz w:val="21"/>
                      <w:szCs w:val="21"/>
                      <w:highlight w:val="none"/>
                      <w:lang w:val="en-US" w:eastAsia="zh-CN"/>
                    </w:rPr>
                    <w:t>污染物名称</w:t>
                  </w:r>
                </w:p>
              </w:tc>
              <w:tc>
                <w:tcPr>
                  <w:tcW w:w="1180" w:type="pct"/>
                  <w:tcBorders>
                    <w:top w:val="single" w:color="auto" w:sz="4" w:space="0"/>
                  </w:tcBorders>
                  <w:noWrap w:val="0"/>
                  <w:vAlign w:val="center"/>
                </w:tcPr>
                <w:p w14:paraId="3348A97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 w:val="0"/>
                      <w:bCs/>
                      <w:sz w:val="21"/>
                      <w:szCs w:val="21"/>
                      <w:highlight w:val="none"/>
                      <w:lang w:val="en-US" w:eastAsia="zh-CN"/>
                    </w:rPr>
                  </w:pPr>
                  <w:r>
                    <w:rPr>
                      <w:rFonts w:hint="eastAsia"/>
                      <w:b w:val="0"/>
                      <w:bCs/>
                      <w:sz w:val="21"/>
                      <w:szCs w:val="21"/>
                      <w:highlight w:val="none"/>
                      <w:lang w:val="en-US" w:eastAsia="zh-CN"/>
                    </w:rPr>
                    <w:t>单位</w:t>
                  </w:r>
                </w:p>
              </w:tc>
              <w:tc>
                <w:tcPr>
                  <w:tcW w:w="2150" w:type="pct"/>
                  <w:tcBorders>
                    <w:top w:val="single" w:color="auto" w:sz="4" w:space="0"/>
                    <w:right w:val="single" w:color="auto" w:sz="4" w:space="0"/>
                  </w:tcBorders>
                  <w:noWrap w:val="0"/>
                  <w:vAlign w:val="center"/>
                </w:tcPr>
                <w:p w14:paraId="155BB273">
                  <w:pPr>
                    <w:keepNext w:val="0"/>
                    <w:keepLines w:val="0"/>
                    <w:pageBreakBefore w:val="0"/>
                    <w:widowControl w:val="0"/>
                    <w:kinsoku/>
                    <w:wordWrap/>
                    <w:overflowPunct/>
                    <w:topLinePunct w:val="0"/>
                    <w:autoSpaceDE/>
                    <w:autoSpaceDN/>
                    <w:bidi w:val="0"/>
                    <w:adjustRightInd/>
                    <w:snapToGrid/>
                    <w:jc w:val="center"/>
                    <w:textAlignment w:val="auto"/>
                    <w:rPr>
                      <w:rFonts w:hint="eastAsia"/>
                      <w:b w:val="0"/>
                      <w:bCs/>
                      <w:sz w:val="21"/>
                      <w:szCs w:val="21"/>
                      <w:highlight w:val="none"/>
                      <w:lang w:val="en-US" w:eastAsia="zh-CN"/>
                    </w:rPr>
                  </w:pPr>
                  <w:r>
                    <w:rPr>
                      <w:rFonts w:hint="eastAsia"/>
                      <w:b w:val="0"/>
                      <w:bCs/>
                      <w:sz w:val="21"/>
                      <w:szCs w:val="21"/>
                      <w:highlight w:val="none"/>
                      <w:lang w:val="en-US" w:eastAsia="zh-CN"/>
                    </w:rPr>
                    <w:t>综合污水进水水质</w:t>
                  </w:r>
                </w:p>
              </w:tc>
            </w:tr>
            <w:tr w14:paraId="7A0A4A5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16" w:hRule="atLeast"/>
                <w:jc w:val="center"/>
              </w:trPr>
              <w:tc>
                <w:tcPr>
                  <w:tcW w:w="1669" w:type="pct"/>
                  <w:tcBorders>
                    <w:left w:val="single" w:color="auto" w:sz="4" w:space="0"/>
                  </w:tcBorders>
                  <w:noWrap w:val="0"/>
                  <w:vAlign w:val="center"/>
                </w:tcPr>
                <w:p w14:paraId="3E34336C">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COD</w:t>
                  </w:r>
                </w:p>
              </w:tc>
              <w:tc>
                <w:tcPr>
                  <w:tcW w:w="1180" w:type="pct"/>
                  <w:noWrap w:val="0"/>
                  <w:vAlign w:val="center"/>
                </w:tcPr>
                <w:p w14:paraId="32605B15">
                  <w:pPr>
                    <w:keepNext w:val="0"/>
                    <w:keepLines w:val="0"/>
                    <w:pageBreakBefore w:val="0"/>
                    <w:widowControl w:val="0"/>
                    <w:kinsoku/>
                    <w:wordWrap/>
                    <w:overflowPunct/>
                    <w:topLinePunct w:val="0"/>
                    <w:autoSpaceDE/>
                    <w:autoSpaceDN/>
                    <w:bidi w:val="0"/>
                    <w:adjustRightInd/>
                    <w:snapToGrid/>
                    <w:jc w:val="center"/>
                    <w:textAlignment w:val="auto"/>
                    <w:rPr>
                      <w:kern w:val="2"/>
                      <w:sz w:val="21"/>
                      <w:szCs w:val="21"/>
                      <w:highlight w:val="none"/>
                      <w:lang w:val="en-US" w:eastAsia="zh-CN" w:bidi="ar-SA"/>
                    </w:rPr>
                  </w:pPr>
                  <w:r>
                    <w:rPr>
                      <w:sz w:val="21"/>
                      <w:szCs w:val="21"/>
                      <w:highlight w:val="none"/>
                    </w:rPr>
                    <w:t>mg/L</w:t>
                  </w:r>
                </w:p>
              </w:tc>
              <w:tc>
                <w:tcPr>
                  <w:tcW w:w="2150" w:type="pct"/>
                  <w:tcBorders>
                    <w:right w:val="single" w:color="auto" w:sz="4" w:space="0"/>
                  </w:tcBorders>
                  <w:noWrap w:val="0"/>
                  <w:vAlign w:val="center"/>
                </w:tcPr>
                <w:p w14:paraId="607F7B4E">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1300</w:t>
                  </w:r>
                </w:p>
              </w:tc>
            </w:tr>
            <w:tr w14:paraId="094BFCD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16" w:hRule="atLeast"/>
                <w:jc w:val="center"/>
              </w:trPr>
              <w:tc>
                <w:tcPr>
                  <w:tcW w:w="1669" w:type="pct"/>
                  <w:tcBorders>
                    <w:left w:val="single" w:color="auto" w:sz="4" w:space="0"/>
                  </w:tcBorders>
                  <w:noWrap w:val="0"/>
                  <w:vAlign w:val="center"/>
                </w:tcPr>
                <w:p w14:paraId="465316DE">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SS</w:t>
                  </w:r>
                </w:p>
              </w:tc>
              <w:tc>
                <w:tcPr>
                  <w:tcW w:w="1180" w:type="pct"/>
                  <w:noWrap w:val="0"/>
                  <w:vAlign w:val="center"/>
                </w:tcPr>
                <w:p w14:paraId="5714CBEC">
                  <w:pPr>
                    <w:keepNext w:val="0"/>
                    <w:keepLines w:val="0"/>
                    <w:pageBreakBefore w:val="0"/>
                    <w:widowControl w:val="0"/>
                    <w:kinsoku/>
                    <w:wordWrap/>
                    <w:overflowPunct/>
                    <w:topLinePunct w:val="0"/>
                    <w:autoSpaceDE/>
                    <w:autoSpaceDN/>
                    <w:bidi w:val="0"/>
                    <w:adjustRightInd/>
                    <w:snapToGrid/>
                    <w:jc w:val="center"/>
                    <w:textAlignment w:val="auto"/>
                    <w:rPr>
                      <w:kern w:val="2"/>
                      <w:sz w:val="21"/>
                      <w:szCs w:val="21"/>
                      <w:highlight w:val="none"/>
                      <w:lang w:val="en-US" w:eastAsia="zh-CN" w:bidi="ar-SA"/>
                    </w:rPr>
                  </w:pPr>
                  <w:r>
                    <w:rPr>
                      <w:sz w:val="21"/>
                      <w:szCs w:val="21"/>
                      <w:highlight w:val="none"/>
                    </w:rPr>
                    <w:t>mg/L</w:t>
                  </w:r>
                </w:p>
              </w:tc>
              <w:tc>
                <w:tcPr>
                  <w:tcW w:w="2150" w:type="pct"/>
                  <w:tcBorders>
                    <w:right w:val="single" w:color="auto" w:sz="4" w:space="0"/>
                  </w:tcBorders>
                  <w:noWrap w:val="0"/>
                  <w:vAlign w:val="center"/>
                </w:tcPr>
                <w:p w14:paraId="056E268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50</w:t>
                  </w:r>
                </w:p>
              </w:tc>
            </w:tr>
            <w:tr w14:paraId="7D6A1F3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2" w:hRule="atLeast"/>
                <w:jc w:val="center"/>
              </w:trPr>
              <w:tc>
                <w:tcPr>
                  <w:tcW w:w="1669" w:type="pct"/>
                  <w:tcBorders>
                    <w:left w:val="single" w:color="auto" w:sz="4" w:space="0"/>
                    <w:bottom w:val="single" w:color="auto" w:sz="4" w:space="0"/>
                  </w:tcBorders>
                  <w:noWrap w:val="0"/>
                  <w:vAlign w:val="center"/>
                </w:tcPr>
                <w:p w14:paraId="1D241E8E">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石油类</w:t>
                  </w:r>
                </w:p>
              </w:tc>
              <w:tc>
                <w:tcPr>
                  <w:tcW w:w="1180" w:type="pct"/>
                  <w:tcBorders>
                    <w:bottom w:val="single" w:color="auto" w:sz="4" w:space="0"/>
                  </w:tcBorders>
                  <w:noWrap w:val="0"/>
                  <w:vAlign w:val="center"/>
                </w:tcPr>
                <w:p w14:paraId="63A12774">
                  <w:pPr>
                    <w:keepNext w:val="0"/>
                    <w:keepLines w:val="0"/>
                    <w:pageBreakBefore w:val="0"/>
                    <w:widowControl w:val="0"/>
                    <w:kinsoku/>
                    <w:wordWrap/>
                    <w:overflowPunct/>
                    <w:topLinePunct w:val="0"/>
                    <w:autoSpaceDE/>
                    <w:autoSpaceDN/>
                    <w:bidi w:val="0"/>
                    <w:adjustRightInd/>
                    <w:snapToGrid/>
                    <w:jc w:val="center"/>
                    <w:textAlignment w:val="auto"/>
                    <w:rPr>
                      <w:kern w:val="2"/>
                      <w:sz w:val="21"/>
                      <w:szCs w:val="21"/>
                      <w:highlight w:val="none"/>
                      <w:lang w:val="en-US" w:eastAsia="zh-CN" w:bidi="ar-SA"/>
                    </w:rPr>
                  </w:pPr>
                  <w:r>
                    <w:rPr>
                      <w:sz w:val="21"/>
                      <w:szCs w:val="21"/>
                      <w:highlight w:val="none"/>
                    </w:rPr>
                    <w:t>mg/L</w:t>
                  </w:r>
                </w:p>
              </w:tc>
              <w:tc>
                <w:tcPr>
                  <w:tcW w:w="2150" w:type="pct"/>
                  <w:tcBorders>
                    <w:bottom w:val="single" w:color="auto" w:sz="4" w:space="0"/>
                    <w:right w:val="single" w:color="auto" w:sz="4" w:space="0"/>
                  </w:tcBorders>
                  <w:noWrap w:val="0"/>
                  <w:vAlign w:val="center"/>
                </w:tcPr>
                <w:p w14:paraId="5D6D4845">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eastAsia="宋体"/>
                      <w:sz w:val="21"/>
                      <w:szCs w:val="21"/>
                      <w:highlight w:val="none"/>
                      <w:lang w:val="en-US" w:eastAsia="zh-CN"/>
                    </w:rPr>
                    <w:t>50</w:t>
                  </w:r>
                </w:p>
              </w:tc>
            </w:tr>
          </w:tbl>
          <w:p w14:paraId="2361DFDC">
            <w:pPr>
              <w:adjustRightInd w:val="0"/>
              <w:snapToGrid w:val="0"/>
              <w:spacing w:line="360" w:lineRule="auto"/>
              <w:textAlignment w:val="center"/>
              <w:rPr>
                <w:b/>
                <w:color w:val="000000"/>
                <w:sz w:val="24"/>
              </w:rPr>
            </w:pPr>
            <w:r>
              <w:rPr>
                <w:rFonts w:hint="eastAsia"/>
                <w:b/>
                <w:color w:val="000000"/>
                <w:sz w:val="24"/>
                <w:lang w:val="en-US" w:eastAsia="zh-CN"/>
              </w:rPr>
              <w:t>3</w:t>
            </w:r>
            <w:r>
              <w:rPr>
                <w:rFonts w:hint="eastAsia"/>
                <w:b/>
                <w:color w:val="000000"/>
                <w:sz w:val="24"/>
              </w:rPr>
              <w:t>.</w:t>
            </w:r>
            <w:r>
              <w:rPr>
                <w:b/>
                <w:color w:val="000000"/>
                <w:sz w:val="24"/>
              </w:rPr>
              <w:t>噪声排放标准</w:t>
            </w:r>
          </w:p>
          <w:p w14:paraId="5A038866">
            <w:pPr>
              <w:adjustRightInd w:val="0"/>
              <w:snapToGrid w:val="0"/>
              <w:spacing w:line="360" w:lineRule="auto"/>
              <w:ind w:firstLine="470" w:firstLineChars="196"/>
              <w:jc w:val="left"/>
              <w:rPr>
                <w:color w:val="000000"/>
                <w:sz w:val="24"/>
              </w:rPr>
            </w:pPr>
            <w:r>
              <w:rPr>
                <w:color w:val="000000"/>
                <w:sz w:val="24"/>
              </w:rPr>
              <w:t>施工期执行《建筑施工场界环境噪声排放标准》（GB12523-2011）。</w:t>
            </w:r>
          </w:p>
          <w:p w14:paraId="07E25A03">
            <w:pPr>
              <w:adjustRightInd w:val="0"/>
              <w:snapToGrid w:val="0"/>
              <w:ind w:firstLine="1195" w:firstLineChars="496"/>
              <w:jc w:val="left"/>
              <w:rPr>
                <w:rFonts w:hint="eastAsia"/>
                <w:b/>
                <w:color w:val="000000"/>
                <w:sz w:val="24"/>
              </w:rPr>
            </w:pPr>
            <w:r>
              <w:rPr>
                <w:b/>
                <w:color w:val="000000"/>
                <w:sz w:val="24"/>
              </w:rPr>
              <w:t>表3-</w:t>
            </w:r>
            <w:r>
              <w:rPr>
                <w:rFonts w:hint="eastAsia"/>
                <w:b/>
                <w:color w:val="000000"/>
                <w:sz w:val="24"/>
                <w:lang w:val="en-US" w:eastAsia="zh-CN"/>
              </w:rPr>
              <w:t>9：</w:t>
            </w:r>
            <w:r>
              <w:rPr>
                <w:b/>
                <w:color w:val="000000"/>
                <w:sz w:val="24"/>
              </w:rPr>
              <w:t>《建筑施工场界环境噪声排放标准》单位：dB</w:t>
            </w:r>
            <w:r>
              <w:rPr>
                <w:rFonts w:hint="eastAsia"/>
                <w:b/>
                <w:color w:val="000000"/>
                <w:sz w:val="24"/>
              </w:rPr>
              <w:t>（</w:t>
            </w:r>
            <w:r>
              <w:rPr>
                <w:b/>
                <w:color w:val="000000"/>
                <w:sz w:val="24"/>
              </w:rPr>
              <w:t>A</w:t>
            </w:r>
            <w:r>
              <w:rPr>
                <w:rFonts w:hint="eastAsia"/>
                <w:b/>
                <w:color w:val="000000"/>
                <w:sz w:val="24"/>
              </w:rPr>
              <w:t>）</w:t>
            </w:r>
          </w:p>
          <w:tbl>
            <w:tblPr>
              <w:tblStyle w:val="4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1476"/>
              <w:gridCol w:w="5261"/>
            </w:tblGrid>
            <w:tr w14:paraId="1213B0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4" w:type="pct"/>
                  <w:tcBorders>
                    <w:top w:val="single" w:color="auto" w:sz="4" w:space="0"/>
                    <w:left w:val="single" w:color="auto" w:sz="0" w:space="0"/>
                    <w:tl2br w:val="nil"/>
                    <w:tr2bl w:val="nil"/>
                  </w:tcBorders>
                  <w:noWrap w:val="0"/>
                  <w:vAlign w:val="center"/>
                </w:tcPr>
                <w:p w14:paraId="34B458AB">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昼间限值</w:t>
                  </w:r>
                </w:p>
              </w:tc>
              <w:tc>
                <w:tcPr>
                  <w:tcW w:w="873" w:type="pct"/>
                  <w:tcBorders>
                    <w:top w:val="single" w:color="auto" w:sz="4" w:space="0"/>
                    <w:tl2br w:val="nil"/>
                    <w:tr2bl w:val="nil"/>
                  </w:tcBorders>
                  <w:noWrap w:val="0"/>
                  <w:vAlign w:val="center"/>
                </w:tcPr>
                <w:p w14:paraId="3CA5A56D">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夜间限值</w:t>
                  </w:r>
                </w:p>
              </w:tc>
              <w:tc>
                <w:tcPr>
                  <w:tcW w:w="3112" w:type="pct"/>
                  <w:tcBorders>
                    <w:top w:val="single" w:color="auto" w:sz="4" w:space="0"/>
                    <w:right w:val="single" w:color="auto" w:sz="4" w:space="0"/>
                    <w:tl2br w:val="nil"/>
                    <w:tr2bl w:val="nil"/>
                  </w:tcBorders>
                  <w:noWrap w:val="0"/>
                  <w:vAlign w:val="center"/>
                </w:tcPr>
                <w:p w14:paraId="646776E2">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标准来源</w:t>
                  </w:r>
                </w:p>
              </w:tc>
            </w:tr>
            <w:tr w14:paraId="715E60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14" w:type="pct"/>
                  <w:tcBorders>
                    <w:left w:val="single" w:color="auto" w:sz="4" w:space="0"/>
                    <w:bottom w:val="single" w:color="auto" w:sz="4" w:space="0"/>
                    <w:tl2br w:val="nil"/>
                    <w:tr2bl w:val="nil"/>
                  </w:tcBorders>
                  <w:noWrap w:val="0"/>
                  <w:vAlign w:val="center"/>
                </w:tcPr>
                <w:p w14:paraId="52DF774C">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70</w:t>
                  </w:r>
                </w:p>
              </w:tc>
              <w:tc>
                <w:tcPr>
                  <w:tcW w:w="873" w:type="pct"/>
                  <w:tcBorders>
                    <w:bottom w:val="single" w:color="auto" w:sz="4" w:space="0"/>
                    <w:tl2br w:val="nil"/>
                    <w:tr2bl w:val="nil"/>
                  </w:tcBorders>
                  <w:noWrap w:val="0"/>
                  <w:vAlign w:val="center"/>
                </w:tcPr>
                <w:p w14:paraId="36920DA0">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55</w:t>
                  </w:r>
                </w:p>
              </w:tc>
              <w:tc>
                <w:tcPr>
                  <w:tcW w:w="3112" w:type="pct"/>
                  <w:tcBorders>
                    <w:bottom w:val="single" w:color="auto" w:sz="4" w:space="0"/>
                    <w:right w:val="single" w:color="auto" w:sz="4" w:space="0"/>
                    <w:tl2br w:val="nil"/>
                    <w:tr2bl w:val="nil"/>
                  </w:tcBorders>
                  <w:noWrap w:val="0"/>
                  <w:vAlign w:val="center"/>
                </w:tcPr>
                <w:p w14:paraId="4E27D107">
                  <w:pPr>
                    <w:snapToGrid w:val="0"/>
                    <w:jc w:val="center"/>
                    <w:rPr>
                      <w:rFonts w:hint="eastAsia"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《建筑</w:t>
                  </w:r>
                  <w:r>
                    <w:rPr>
                      <w:rFonts w:ascii="Times New Roman" w:hAnsi="Times New Roman" w:eastAsia="宋体" w:cs="Times New Roman"/>
                      <w:b w:val="0"/>
                      <w:bCs w:val="0"/>
                      <w:color w:val="000000"/>
                      <w:sz w:val="21"/>
                      <w:szCs w:val="21"/>
                    </w:rPr>
                    <w:cr/>
                  </w:r>
                  <w:r>
                    <w:rPr>
                      <w:rFonts w:ascii="Times New Roman" w:hAnsi="Times New Roman" w:eastAsia="宋体" w:cs="Times New Roman"/>
                      <w:b w:val="0"/>
                      <w:bCs w:val="0"/>
                      <w:color w:val="000000"/>
                      <w:sz w:val="21"/>
                      <w:szCs w:val="21"/>
                    </w:rPr>
                    <w:t>工场界环境噪声排放标准》（GB12523-2011）</w:t>
                  </w:r>
                </w:p>
              </w:tc>
            </w:tr>
          </w:tbl>
          <w:p w14:paraId="24409548">
            <w:pPr>
              <w:adjustRightInd w:val="0"/>
              <w:snapToGrid w:val="0"/>
              <w:spacing w:line="360" w:lineRule="auto"/>
              <w:ind w:firstLine="480" w:firstLineChars="200"/>
              <w:jc w:val="left"/>
              <w:rPr>
                <w:color w:val="000000"/>
                <w:sz w:val="24"/>
              </w:rPr>
            </w:pPr>
            <w:r>
              <w:rPr>
                <w:color w:val="000000"/>
                <w:sz w:val="24"/>
              </w:rPr>
              <w:t>运营期项目噪声排放执行《工业企业厂界环境噪声排放标准》（GB12348-2008）中3类标准。</w:t>
            </w:r>
          </w:p>
          <w:p w14:paraId="5FE61960">
            <w:pPr>
              <w:adjustRightInd w:val="0"/>
              <w:snapToGrid w:val="0"/>
              <w:ind w:firstLine="1195" w:firstLineChars="496"/>
              <w:jc w:val="left"/>
              <w:rPr>
                <w:b/>
                <w:color w:val="000000"/>
                <w:sz w:val="24"/>
              </w:rPr>
            </w:pPr>
            <w:r>
              <w:rPr>
                <w:b/>
                <w:color w:val="000000"/>
                <w:sz w:val="24"/>
              </w:rPr>
              <w:t>表3-</w:t>
            </w:r>
            <w:r>
              <w:rPr>
                <w:rFonts w:hint="eastAsia"/>
                <w:b/>
                <w:color w:val="000000"/>
                <w:sz w:val="24"/>
                <w:lang w:val="en-US" w:eastAsia="zh-CN"/>
              </w:rPr>
              <w:t>10：</w:t>
            </w:r>
            <w:r>
              <w:rPr>
                <w:b/>
                <w:color w:val="000000"/>
                <w:sz w:val="24"/>
              </w:rPr>
              <w:t>《工业企业厂界环境噪声排放标准》（GB12348-2008）</w:t>
            </w:r>
          </w:p>
          <w:tbl>
            <w:tblPr>
              <w:tblStyle w:val="41"/>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77"/>
              <w:gridCol w:w="2860"/>
              <w:gridCol w:w="2113"/>
            </w:tblGrid>
            <w:tr w14:paraId="1DD52A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057" w:type="pct"/>
                  <w:vMerge w:val="restart"/>
                  <w:tcBorders>
                    <w:top w:val="single" w:color="auto" w:sz="4" w:space="0"/>
                    <w:left w:val="single" w:color="auto" w:sz="0" w:space="0"/>
                    <w:tl2br w:val="nil"/>
                    <w:tr2bl w:val="nil"/>
                  </w:tcBorders>
                  <w:noWrap w:val="0"/>
                  <w:vAlign w:val="center"/>
                </w:tcPr>
                <w:p w14:paraId="755484CC">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厂界外声环境功能区类别</w:t>
                  </w:r>
                </w:p>
              </w:tc>
              <w:tc>
                <w:tcPr>
                  <w:tcW w:w="2942" w:type="pct"/>
                  <w:gridSpan w:val="2"/>
                  <w:tcBorders>
                    <w:top w:val="single" w:color="auto" w:sz="4" w:space="0"/>
                    <w:right w:val="single" w:color="auto" w:sz="4" w:space="0"/>
                    <w:tl2br w:val="nil"/>
                    <w:tr2bl w:val="nil"/>
                  </w:tcBorders>
                  <w:noWrap w:val="0"/>
                  <w:vAlign w:val="center"/>
                </w:tcPr>
                <w:p w14:paraId="415DB224">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时段</w:t>
                  </w:r>
                </w:p>
              </w:tc>
            </w:tr>
            <w:tr w14:paraId="7B5803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57" w:type="pct"/>
                  <w:vMerge w:val="continue"/>
                  <w:tcBorders>
                    <w:left w:val="single" w:color="auto" w:sz="4" w:space="0"/>
                    <w:tl2br w:val="nil"/>
                    <w:tr2bl w:val="nil"/>
                  </w:tcBorders>
                  <w:noWrap w:val="0"/>
                  <w:vAlign w:val="center"/>
                </w:tcPr>
                <w:p w14:paraId="5B834159">
                  <w:pPr>
                    <w:snapToGrid w:val="0"/>
                    <w:jc w:val="center"/>
                    <w:rPr>
                      <w:rFonts w:ascii="Times New Roman" w:hAnsi="Times New Roman" w:eastAsia="宋体" w:cs="Times New Roman"/>
                      <w:b w:val="0"/>
                      <w:bCs w:val="0"/>
                      <w:color w:val="000000"/>
                      <w:sz w:val="21"/>
                      <w:szCs w:val="21"/>
                    </w:rPr>
                  </w:pPr>
                </w:p>
              </w:tc>
              <w:tc>
                <w:tcPr>
                  <w:tcW w:w="1692" w:type="pct"/>
                  <w:tcBorders>
                    <w:tl2br w:val="nil"/>
                    <w:tr2bl w:val="nil"/>
                  </w:tcBorders>
                  <w:noWrap w:val="0"/>
                  <w:vAlign w:val="center"/>
                </w:tcPr>
                <w:p w14:paraId="729CB806">
                  <w:pPr>
                    <w:snapToGrid w:val="0"/>
                    <w:jc w:val="center"/>
                    <w:rPr>
                      <w:rFonts w:hint="eastAsia"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昼间dB</w:t>
                  </w:r>
                  <w:r>
                    <w:rPr>
                      <w:rFonts w:hint="eastAsia" w:ascii="Times New Roman" w:hAnsi="Times New Roman" w:eastAsia="宋体" w:cs="Times New Roman"/>
                      <w:b w:val="0"/>
                      <w:bCs w:val="0"/>
                      <w:color w:val="000000"/>
                      <w:sz w:val="21"/>
                      <w:szCs w:val="21"/>
                    </w:rPr>
                    <w:t>（</w:t>
                  </w:r>
                  <w:r>
                    <w:rPr>
                      <w:rFonts w:ascii="Times New Roman" w:hAnsi="Times New Roman" w:eastAsia="宋体" w:cs="Times New Roman"/>
                      <w:b w:val="0"/>
                      <w:bCs w:val="0"/>
                      <w:color w:val="000000"/>
                      <w:sz w:val="21"/>
                      <w:szCs w:val="21"/>
                    </w:rPr>
                    <w:t>A</w:t>
                  </w:r>
                  <w:r>
                    <w:rPr>
                      <w:rFonts w:hint="eastAsia" w:ascii="Times New Roman" w:hAnsi="Times New Roman" w:eastAsia="宋体" w:cs="Times New Roman"/>
                      <w:b w:val="0"/>
                      <w:bCs w:val="0"/>
                      <w:color w:val="000000"/>
                      <w:sz w:val="21"/>
                      <w:szCs w:val="21"/>
                    </w:rPr>
                    <w:t>）</w:t>
                  </w:r>
                </w:p>
              </w:tc>
              <w:tc>
                <w:tcPr>
                  <w:tcW w:w="1250" w:type="pct"/>
                  <w:tcBorders>
                    <w:right w:val="single" w:color="auto" w:sz="4" w:space="0"/>
                    <w:tl2br w:val="nil"/>
                    <w:tr2bl w:val="nil"/>
                  </w:tcBorders>
                  <w:noWrap w:val="0"/>
                  <w:vAlign w:val="center"/>
                </w:tcPr>
                <w:p w14:paraId="682A954C">
                  <w:pPr>
                    <w:snapToGrid w:val="0"/>
                    <w:jc w:val="center"/>
                    <w:rPr>
                      <w:rFonts w:hint="eastAsia"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夜间dB</w:t>
                  </w:r>
                  <w:r>
                    <w:rPr>
                      <w:rFonts w:hint="eastAsia" w:ascii="Times New Roman" w:hAnsi="Times New Roman" w:eastAsia="宋体" w:cs="Times New Roman"/>
                      <w:b w:val="0"/>
                      <w:bCs w:val="0"/>
                      <w:color w:val="000000"/>
                      <w:sz w:val="21"/>
                      <w:szCs w:val="21"/>
                    </w:rPr>
                    <w:t>（</w:t>
                  </w:r>
                  <w:r>
                    <w:rPr>
                      <w:rFonts w:ascii="Times New Roman" w:hAnsi="Times New Roman" w:eastAsia="宋体" w:cs="Times New Roman"/>
                      <w:b w:val="0"/>
                      <w:bCs w:val="0"/>
                      <w:color w:val="000000"/>
                      <w:sz w:val="21"/>
                      <w:szCs w:val="21"/>
                    </w:rPr>
                    <w:t>A</w:t>
                  </w:r>
                  <w:r>
                    <w:rPr>
                      <w:rFonts w:hint="eastAsia" w:ascii="Times New Roman" w:hAnsi="Times New Roman" w:eastAsia="宋体" w:cs="Times New Roman"/>
                      <w:b w:val="0"/>
                      <w:bCs w:val="0"/>
                      <w:color w:val="000000"/>
                      <w:sz w:val="21"/>
                      <w:szCs w:val="21"/>
                    </w:rPr>
                    <w:t>）</w:t>
                  </w:r>
                </w:p>
              </w:tc>
            </w:tr>
            <w:tr w14:paraId="676262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2057" w:type="pct"/>
                  <w:tcBorders>
                    <w:left w:val="single" w:color="auto" w:sz="4" w:space="0"/>
                    <w:bottom w:val="single" w:color="auto" w:sz="4" w:space="0"/>
                    <w:tl2br w:val="nil"/>
                    <w:tr2bl w:val="nil"/>
                  </w:tcBorders>
                  <w:noWrap w:val="0"/>
                  <w:vAlign w:val="center"/>
                </w:tcPr>
                <w:p w14:paraId="5EA00697">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3</w:t>
                  </w:r>
                </w:p>
              </w:tc>
              <w:tc>
                <w:tcPr>
                  <w:tcW w:w="1692" w:type="pct"/>
                  <w:tcBorders>
                    <w:bottom w:val="single" w:color="auto" w:sz="4" w:space="0"/>
                    <w:tl2br w:val="nil"/>
                    <w:tr2bl w:val="nil"/>
                  </w:tcBorders>
                  <w:noWrap w:val="0"/>
                  <w:vAlign w:val="center"/>
                </w:tcPr>
                <w:p w14:paraId="5ED50DF2">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65</w:t>
                  </w:r>
                </w:p>
              </w:tc>
              <w:tc>
                <w:tcPr>
                  <w:tcW w:w="1250" w:type="pct"/>
                  <w:tcBorders>
                    <w:bottom w:val="single" w:color="auto" w:sz="4" w:space="0"/>
                    <w:right w:val="single" w:color="auto" w:sz="4" w:space="0"/>
                    <w:tl2br w:val="nil"/>
                    <w:tr2bl w:val="nil"/>
                  </w:tcBorders>
                  <w:noWrap w:val="0"/>
                  <w:vAlign w:val="center"/>
                </w:tcPr>
                <w:p w14:paraId="734A4945">
                  <w:pPr>
                    <w:snapToGrid w:val="0"/>
                    <w:jc w:val="center"/>
                    <w:rPr>
                      <w:rFonts w:ascii="Times New Roman" w:hAnsi="Times New Roman" w:eastAsia="宋体" w:cs="Times New Roman"/>
                      <w:b w:val="0"/>
                      <w:bCs w:val="0"/>
                      <w:color w:val="000000"/>
                      <w:sz w:val="21"/>
                      <w:szCs w:val="21"/>
                    </w:rPr>
                  </w:pPr>
                  <w:r>
                    <w:rPr>
                      <w:rFonts w:ascii="Times New Roman" w:hAnsi="Times New Roman" w:eastAsia="宋体" w:cs="Times New Roman"/>
                      <w:b w:val="0"/>
                      <w:bCs w:val="0"/>
                      <w:color w:val="000000"/>
                      <w:sz w:val="21"/>
                      <w:szCs w:val="21"/>
                    </w:rPr>
                    <w:t>55</w:t>
                  </w:r>
                </w:p>
              </w:tc>
            </w:tr>
          </w:tbl>
          <w:p w14:paraId="112141FD">
            <w:pPr>
              <w:adjustRightInd w:val="0"/>
              <w:snapToGrid w:val="0"/>
              <w:spacing w:line="360" w:lineRule="auto"/>
              <w:rPr>
                <w:b/>
                <w:color w:val="000000"/>
                <w:sz w:val="24"/>
              </w:rPr>
            </w:pPr>
            <w:r>
              <w:rPr>
                <w:rFonts w:hint="eastAsia"/>
                <w:b/>
                <w:color w:val="000000"/>
                <w:sz w:val="24"/>
                <w:lang w:val="en-US" w:eastAsia="zh-CN"/>
              </w:rPr>
              <w:t>4</w:t>
            </w:r>
            <w:r>
              <w:rPr>
                <w:rFonts w:hint="eastAsia"/>
                <w:b/>
                <w:color w:val="000000"/>
                <w:sz w:val="24"/>
              </w:rPr>
              <w:t>.</w:t>
            </w:r>
            <w:r>
              <w:rPr>
                <w:b/>
                <w:color w:val="000000"/>
                <w:sz w:val="24"/>
              </w:rPr>
              <w:t>固体废物</w:t>
            </w:r>
          </w:p>
          <w:p w14:paraId="1815821B">
            <w:pPr>
              <w:adjustRightInd w:val="0"/>
              <w:snapToGrid w:val="0"/>
              <w:spacing w:line="360" w:lineRule="auto"/>
              <w:ind w:firstLine="480" w:firstLineChars="200"/>
              <w:rPr>
                <w:color w:val="000000"/>
                <w:sz w:val="24"/>
              </w:rPr>
            </w:pPr>
            <w:r>
              <w:rPr>
                <w:color w:val="000000"/>
                <w:sz w:val="24"/>
              </w:rPr>
              <w:t>危险废物执行《危险废物贮存污染控制标准》</w:t>
            </w:r>
            <w:r>
              <w:rPr>
                <w:rFonts w:hint="eastAsia"/>
                <w:color w:val="000000"/>
                <w:sz w:val="24"/>
              </w:rPr>
              <w:t>（</w:t>
            </w:r>
            <w:r>
              <w:rPr>
                <w:color w:val="000000"/>
                <w:sz w:val="24"/>
              </w:rPr>
              <w:t>GB18597-2023</w:t>
            </w:r>
            <w:r>
              <w:rPr>
                <w:rFonts w:hint="eastAsia"/>
                <w:color w:val="000000"/>
                <w:sz w:val="24"/>
              </w:rPr>
              <w:t>）</w:t>
            </w:r>
            <w:r>
              <w:rPr>
                <w:color w:val="000000"/>
                <w:sz w:val="24"/>
              </w:rPr>
              <w:t>的要求进行管理、贮存和处置。</w:t>
            </w:r>
          </w:p>
        </w:tc>
      </w:tr>
      <w:tr w14:paraId="1E60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1" w:hRule="atLeast"/>
          <w:jc w:val="center"/>
        </w:trPr>
        <w:tc>
          <w:tcPr>
            <w:tcW w:w="216" w:type="pct"/>
            <w:tcBorders>
              <w:tl2br w:val="nil"/>
              <w:tr2bl w:val="nil"/>
            </w:tcBorders>
            <w:noWrap w:val="0"/>
            <w:vAlign w:val="center"/>
          </w:tcPr>
          <w:p w14:paraId="5D673348">
            <w:pPr>
              <w:adjustRightInd w:val="0"/>
              <w:snapToGrid w:val="0"/>
              <w:jc w:val="center"/>
              <w:rPr>
                <w:b/>
                <w:color w:val="000000"/>
                <w:kern w:val="0"/>
                <w:sz w:val="24"/>
              </w:rPr>
            </w:pPr>
            <w:r>
              <w:rPr>
                <w:b/>
                <w:color w:val="000000"/>
                <w:kern w:val="0"/>
                <w:sz w:val="24"/>
              </w:rPr>
              <w:t>总量</w:t>
            </w:r>
          </w:p>
          <w:p w14:paraId="23B4D6DB">
            <w:pPr>
              <w:adjustRightInd w:val="0"/>
              <w:snapToGrid w:val="0"/>
              <w:jc w:val="center"/>
              <w:rPr>
                <w:b/>
                <w:color w:val="000000"/>
                <w:kern w:val="0"/>
                <w:sz w:val="24"/>
              </w:rPr>
            </w:pPr>
            <w:r>
              <w:rPr>
                <w:b/>
                <w:color w:val="000000"/>
                <w:kern w:val="0"/>
                <w:sz w:val="24"/>
              </w:rPr>
              <w:t>控制</w:t>
            </w:r>
          </w:p>
          <w:p w14:paraId="287E473C">
            <w:pPr>
              <w:adjustRightInd w:val="0"/>
              <w:snapToGrid w:val="0"/>
              <w:jc w:val="center"/>
              <w:rPr>
                <w:color w:val="000000"/>
                <w:kern w:val="0"/>
                <w:szCs w:val="21"/>
              </w:rPr>
            </w:pPr>
            <w:r>
              <w:rPr>
                <w:b/>
                <w:color w:val="000000"/>
                <w:kern w:val="0"/>
                <w:sz w:val="24"/>
              </w:rPr>
              <w:t>指标</w:t>
            </w:r>
          </w:p>
        </w:tc>
        <w:tc>
          <w:tcPr>
            <w:tcW w:w="4783" w:type="pct"/>
            <w:tcBorders>
              <w:tl2br w:val="nil"/>
              <w:tr2bl w:val="nil"/>
            </w:tcBorders>
            <w:noWrap w:val="0"/>
            <w:vAlign w:val="center"/>
          </w:tcPr>
          <w:p w14:paraId="64D1C95B">
            <w:pPr>
              <w:spacing w:line="360" w:lineRule="auto"/>
              <w:ind w:firstLine="480" w:firstLineChars="200"/>
              <w:rPr>
                <w:rFonts w:hint="eastAsia"/>
                <w:color w:val="000000"/>
                <w:sz w:val="24"/>
                <w:szCs w:val="21"/>
                <w:lang w:val="en-US" w:eastAsia="zh-CN"/>
              </w:rPr>
            </w:pPr>
            <w:r>
              <w:rPr>
                <w:rFonts w:hint="eastAsia"/>
                <w:color w:val="000000"/>
                <w:sz w:val="24"/>
                <w:szCs w:val="21"/>
                <w:lang w:val="en-US" w:eastAsia="zh-CN"/>
              </w:rPr>
              <w:t>根据《“十四五”生态环境保护规划》，全国实施氮氧化物（NOX）、挥发性有机物（VOCs）、化学需氧量（COD）、氨氮（NH3-N）排放总量控制。</w:t>
            </w:r>
          </w:p>
          <w:p w14:paraId="60192EC0">
            <w:pPr>
              <w:spacing w:line="360" w:lineRule="auto"/>
              <w:ind w:firstLine="480" w:firstLineChars="200"/>
              <w:rPr>
                <w:rFonts w:hint="eastAsia"/>
                <w:color w:val="000000"/>
                <w:sz w:val="24"/>
                <w:szCs w:val="21"/>
                <w:lang w:val="en-US" w:eastAsia="zh-CN"/>
              </w:rPr>
            </w:pPr>
            <w:r>
              <w:rPr>
                <w:rFonts w:hint="eastAsia"/>
                <w:color w:val="000000"/>
                <w:sz w:val="24"/>
                <w:szCs w:val="21"/>
                <w:lang w:val="en-US" w:eastAsia="zh-CN"/>
              </w:rPr>
              <w:t>（1）废气</w:t>
            </w:r>
          </w:p>
          <w:p w14:paraId="18B51C1F">
            <w:pPr>
              <w:spacing w:line="360" w:lineRule="auto"/>
              <w:ind w:firstLine="480" w:firstLineChars="200"/>
              <w:rPr>
                <w:rFonts w:hint="eastAsia"/>
                <w:color w:val="000000"/>
                <w:sz w:val="24"/>
                <w:szCs w:val="21"/>
                <w:lang w:val="en-US" w:eastAsia="zh-CN"/>
              </w:rPr>
            </w:pPr>
            <w:r>
              <w:rPr>
                <w:rFonts w:hint="eastAsia"/>
                <w:color w:val="000000"/>
                <w:sz w:val="24"/>
                <w:szCs w:val="21"/>
                <w:lang w:val="en-US" w:eastAsia="zh-CN"/>
              </w:rPr>
              <w:t>本项目新增挥发性有机物（VOCs）排放量为0.012t/a。</w:t>
            </w:r>
          </w:p>
          <w:p w14:paraId="212820A6">
            <w:pPr>
              <w:spacing w:line="360" w:lineRule="auto"/>
              <w:ind w:firstLine="480" w:firstLineChars="200"/>
              <w:rPr>
                <w:rFonts w:hint="eastAsia"/>
                <w:color w:val="000000"/>
                <w:sz w:val="24"/>
                <w:szCs w:val="21"/>
                <w:lang w:val="en-US" w:eastAsia="zh-CN"/>
              </w:rPr>
            </w:pPr>
            <w:r>
              <w:rPr>
                <w:rFonts w:hint="eastAsia"/>
                <w:color w:val="000000"/>
                <w:sz w:val="24"/>
                <w:szCs w:val="21"/>
                <w:lang w:val="en-US" w:eastAsia="zh-CN"/>
              </w:rPr>
              <w:t>根据《生态环境部门关于进一步促进民营经济发展的若干措施》，8.优化总量指标管理。健全总量指标配置机制，优化新改扩建建设项目总量指标监督管理。在严格实施各项污染防治措施基础上，对氮氧化物、化学需氧量、挥发性有机污染物的单项新增年排放量小于0.1吨，氨氮小于0.01吨的建设项目，免予提交总量指标来源说明，由地方生态环境部门统筹总量指标替代来源，并纳入台账管理。</w:t>
            </w:r>
          </w:p>
          <w:p w14:paraId="3F6658CD">
            <w:pPr>
              <w:spacing w:line="360" w:lineRule="auto"/>
              <w:ind w:firstLine="480" w:firstLineChars="200"/>
              <w:rPr>
                <w:rFonts w:hint="eastAsia"/>
                <w:color w:val="000000"/>
                <w:sz w:val="24"/>
                <w:szCs w:val="21"/>
                <w:lang w:val="en-US" w:eastAsia="zh-CN"/>
              </w:rPr>
            </w:pPr>
            <w:r>
              <w:rPr>
                <w:rFonts w:hint="eastAsia"/>
                <w:color w:val="000000"/>
                <w:sz w:val="24"/>
                <w:szCs w:val="21"/>
                <w:lang w:val="en-US" w:eastAsia="zh-CN"/>
              </w:rPr>
              <w:t>本项目新增挥发性有机物（VOCs）排放量为0.012t/a，小于0.1吨，无需对挥发性有机物（VOCs）总量进行申请。</w:t>
            </w:r>
          </w:p>
          <w:p w14:paraId="6CE62B27">
            <w:pPr>
              <w:spacing w:line="360" w:lineRule="auto"/>
              <w:ind w:firstLine="480" w:firstLineChars="200"/>
              <w:rPr>
                <w:rFonts w:hint="eastAsia"/>
                <w:color w:val="000000"/>
                <w:sz w:val="24"/>
                <w:szCs w:val="21"/>
                <w:lang w:val="en-US" w:eastAsia="zh-CN"/>
              </w:rPr>
            </w:pPr>
            <w:r>
              <w:rPr>
                <w:rFonts w:hint="eastAsia"/>
                <w:color w:val="000000"/>
                <w:sz w:val="24"/>
                <w:szCs w:val="21"/>
                <w:lang w:val="en-US" w:eastAsia="zh-CN"/>
              </w:rPr>
              <w:t>（2）废水</w:t>
            </w:r>
          </w:p>
          <w:p w14:paraId="2E14AADC">
            <w:pPr>
              <w:spacing w:line="360" w:lineRule="auto"/>
              <w:ind w:firstLine="480" w:firstLineChars="200"/>
              <w:rPr>
                <w:sz w:val="24"/>
              </w:rPr>
            </w:pPr>
            <w:r>
              <w:rPr>
                <w:rFonts w:hint="eastAsia"/>
                <w:color w:val="000000"/>
                <w:sz w:val="24"/>
                <w:szCs w:val="21"/>
                <w:lang w:val="en-US" w:eastAsia="zh-CN"/>
              </w:rPr>
              <w:t>本项目污水主要为水洗废水和凝结水，依托厂区现有污水处理厂，COD和氨氮总量计入污水处理厂总量当中，因此不涉及化学需氧量（COD）和氨氮（NH3-N）排放总量。</w:t>
            </w:r>
          </w:p>
        </w:tc>
      </w:tr>
    </w:tbl>
    <w:p w14:paraId="3F387FB0">
      <w:pPr>
        <w:pStyle w:val="37"/>
        <w:snapToGrid w:val="0"/>
        <w:spacing w:before="0" w:beforeAutospacing="0" w:after="0" w:afterAutospacing="0" w:line="288" w:lineRule="auto"/>
        <w:outlineLvl w:val="0"/>
        <w:rPr>
          <w:rFonts w:ascii="Times New Roman" w:hAnsi="Times New Roman" w:eastAsia="黑体"/>
          <w:snapToGrid w:val="0"/>
          <w:color w:val="000000"/>
          <w:sz w:val="30"/>
          <w:szCs w:val="30"/>
        </w:rPr>
      </w:pPr>
      <w:r>
        <w:rPr>
          <w:rFonts w:ascii="Times New Roman" w:hAnsi="Times New Roman" w:eastAsia="黑体"/>
          <w:snapToGrid w:val="0"/>
          <w:color w:val="000000"/>
          <w:sz w:val="36"/>
          <w:szCs w:val="36"/>
        </w:rPr>
        <w:br w:type="page"/>
      </w:r>
      <w:r>
        <w:rPr>
          <w:rFonts w:ascii="Times New Roman" w:hAnsi="Times New Roman"/>
          <w:b/>
          <w:snapToGrid w:val="0"/>
          <w:color w:val="000000"/>
          <w:sz w:val="32"/>
          <w:szCs w:val="32"/>
        </w:rPr>
        <w:t>四、主要环境影响和保护措施</w:t>
      </w:r>
    </w:p>
    <w:tbl>
      <w:tblPr>
        <w:tblStyle w:val="4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
        <w:gridCol w:w="8713"/>
      </w:tblGrid>
      <w:tr w14:paraId="1446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35" w:type="pct"/>
            <w:tcBorders>
              <w:tl2br w:val="nil"/>
              <w:tr2bl w:val="nil"/>
            </w:tcBorders>
            <w:noWrap w:val="0"/>
            <w:tcMar>
              <w:left w:w="28" w:type="dxa"/>
              <w:right w:w="28" w:type="dxa"/>
            </w:tcMar>
            <w:vAlign w:val="center"/>
          </w:tcPr>
          <w:p w14:paraId="5514E6D8">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施</w:t>
            </w:r>
          </w:p>
          <w:p w14:paraId="7BBD348D">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工</w:t>
            </w:r>
          </w:p>
          <w:p w14:paraId="4DA4B215">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期</w:t>
            </w:r>
          </w:p>
          <w:p w14:paraId="5DB84205">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环</w:t>
            </w:r>
          </w:p>
          <w:p w14:paraId="1B3D13D5">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境</w:t>
            </w:r>
          </w:p>
          <w:p w14:paraId="0B2FECF2">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保</w:t>
            </w:r>
          </w:p>
          <w:p w14:paraId="2C72D528">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护</w:t>
            </w:r>
          </w:p>
          <w:p w14:paraId="26679F60">
            <w:pPr>
              <w:pStyle w:val="37"/>
              <w:adjustRightInd w:val="0"/>
              <w:snapToGrid w:val="0"/>
              <w:spacing w:before="0" w:beforeAutospacing="0" w:after="0" w:afterAutospacing="0"/>
              <w:jc w:val="center"/>
              <w:rPr>
                <w:rFonts w:ascii="Times New Roman" w:hAnsi="Times New Roman"/>
                <w:b/>
                <w:kern w:val="2"/>
                <w:szCs w:val="24"/>
              </w:rPr>
            </w:pPr>
            <w:r>
              <w:rPr>
                <w:rFonts w:ascii="Times New Roman" w:hAnsi="Times New Roman"/>
                <w:b/>
                <w:kern w:val="2"/>
                <w:szCs w:val="24"/>
              </w:rPr>
              <w:t>措</w:t>
            </w:r>
          </w:p>
          <w:p w14:paraId="1A3B1F70">
            <w:pPr>
              <w:pStyle w:val="37"/>
              <w:adjustRightInd w:val="0"/>
              <w:snapToGrid w:val="0"/>
              <w:spacing w:before="0" w:beforeAutospacing="0" w:after="0" w:afterAutospacing="0"/>
              <w:jc w:val="center"/>
              <w:rPr>
                <w:rFonts w:ascii="Times New Roman" w:hAnsi="Times New Roman"/>
                <w:bCs/>
                <w:kern w:val="2"/>
                <w:sz w:val="21"/>
                <w:szCs w:val="21"/>
              </w:rPr>
            </w:pPr>
            <w:r>
              <w:rPr>
                <w:rFonts w:ascii="Times New Roman" w:hAnsi="Times New Roman"/>
                <w:b/>
                <w:kern w:val="2"/>
                <w:szCs w:val="24"/>
              </w:rPr>
              <w:t>施</w:t>
            </w:r>
          </w:p>
        </w:tc>
        <w:tc>
          <w:tcPr>
            <w:tcW w:w="4864" w:type="pct"/>
            <w:tcBorders>
              <w:tl2br w:val="nil"/>
              <w:tr2bl w:val="nil"/>
            </w:tcBorders>
            <w:noWrap w:val="0"/>
            <w:vAlign w:val="center"/>
          </w:tcPr>
          <w:p w14:paraId="0A7E5515">
            <w:pPr>
              <w:adjustRightInd w:val="0"/>
              <w:snapToGrid w:val="0"/>
              <w:spacing w:line="360" w:lineRule="auto"/>
              <w:rPr>
                <w:b/>
                <w:sz w:val="24"/>
              </w:rPr>
            </w:pPr>
            <w:r>
              <w:rPr>
                <w:b/>
                <w:sz w:val="24"/>
              </w:rPr>
              <w:t>1</w:t>
            </w:r>
            <w:r>
              <w:rPr>
                <w:rFonts w:hint="eastAsia"/>
                <w:b/>
                <w:sz w:val="24"/>
              </w:rPr>
              <w:t>.</w:t>
            </w:r>
            <w:r>
              <w:rPr>
                <w:b/>
                <w:sz w:val="24"/>
              </w:rPr>
              <w:t>大气环境影响分析</w:t>
            </w:r>
          </w:p>
          <w:p w14:paraId="5E965A4C">
            <w:pPr>
              <w:adjustRightInd w:val="0"/>
              <w:snapToGrid w:val="0"/>
              <w:spacing w:line="360" w:lineRule="auto"/>
              <w:ind w:firstLine="480" w:firstLineChars="200"/>
              <w:rPr>
                <w:kern w:val="0"/>
                <w:sz w:val="24"/>
              </w:rPr>
            </w:pPr>
            <w:r>
              <w:rPr>
                <w:kern w:val="0"/>
                <w:sz w:val="24"/>
              </w:rPr>
              <w:t>大气污染源及特征</w:t>
            </w:r>
          </w:p>
          <w:p w14:paraId="4E7B80F9">
            <w:pPr>
              <w:autoSpaceDE w:val="0"/>
              <w:autoSpaceDN w:val="0"/>
              <w:adjustRightInd w:val="0"/>
              <w:snapToGrid w:val="0"/>
              <w:spacing w:line="360" w:lineRule="auto"/>
              <w:ind w:firstLine="480" w:firstLineChars="200"/>
              <w:rPr>
                <w:kern w:val="0"/>
                <w:sz w:val="24"/>
              </w:rPr>
            </w:pPr>
            <w:r>
              <w:rPr>
                <w:kern w:val="0"/>
                <w:sz w:val="24"/>
              </w:rPr>
              <w:t>施工过程中产生的废气主要来自建筑材料运输及装卸过程产生的扬尘。这些扬尘会给周围空气环境带来一定的影响，使空气中的降尘和总悬浮颗粒物浓度上升。为了防止无组织排放的粉尘和二次扬尘，施工期间需采取以下措施：</w:t>
            </w:r>
          </w:p>
          <w:p w14:paraId="7113F453">
            <w:pPr>
              <w:autoSpaceDE w:val="0"/>
              <w:autoSpaceDN w:val="0"/>
              <w:adjustRightInd w:val="0"/>
              <w:snapToGrid w:val="0"/>
              <w:spacing w:line="360" w:lineRule="auto"/>
              <w:ind w:firstLine="480" w:firstLineChars="200"/>
              <w:rPr>
                <w:kern w:val="0"/>
                <w:sz w:val="24"/>
              </w:rPr>
            </w:pPr>
            <w:r>
              <w:rPr>
                <w:rFonts w:hint="eastAsia"/>
                <w:kern w:val="0"/>
                <w:sz w:val="24"/>
                <w:lang w:eastAsia="zh-CN"/>
              </w:rPr>
              <w:t>①</w:t>
            </w:r>
            <w:r>
              <w:rPr>
                <w:kern w:val="0"/>
                <w:sz w:val="24"/>
              </w:rPr>
              <w:t>对施工现场进行科学管理，统一堆放；</w:t>
            </w:r>
          </w:p>
          <w:p w14:paraId="6739C411">
            <w:pPr>
              <w:autoSpaceDE w:val="0"/>
              <w:autoSpaceDN w:val="0"/>
              <w:adjustRightInd w:val="0"/>
              <w:snapToGrid w:val="0"/>
              <w:spacing w:line="360" w:lineRule="auto"/>
              <w:ind w:firstLine="480" w:firstLineChars="200"/>
              <w:rPr>
                <w:kern w:val="0"/>
                <w:sz w:val="24"/>
              </w:rPr>
            </w:pPr>
            <w:r>
              <w:rPr>
                <w:rFonts w:hint="eastAsia"/>
                <w:kern w:val="0"/>
                <w:sz w:val="24"/>
                <w:lang w:eastAsia="zh-CN"/>
              </w:rPr>
              <w:t>②</w:t>
            </w:r>
            <w:r>
              <w:rPr>
                <w:kern w:val="0"/>
                <w:sz w:val="24"/>
              </w:rPr>
              <w:t>起尘原材料覆盖存放，大风季节严禁施工；</w:t>
            </w:r>
          </w:p>
          <w:p w14:paraId="577F080C">
            <w:pPr>
              <w:autoSpaceDE w:val="0"/>
              <w:autoSpaceDN w:val="0"/>
              <w:adjustRightInd w:val="0"/>
              <w:snapToGrid w:val="0"/>
              <w:spacing w:line="360" w:lineRule="auto"/>
              <w:ind w:firstLine="480" w:firstLineChars="200"/>
              <w:rPr>
                <w:kern w:val="0"/>
                <w:sz w:val="24"/>
              </w:rPr>
            </w:pPr>
            <w:r>
              <w:rPr>
                <w:rFonts w:hint="eastAsia"/>
                <w:kern w:val="0"/>
                <w:sz w:val="24"/>
                <w:lang w:eastAsia="zh-CN"/>
              </w:rPr>
              <w:t>③</w:t>
            </w:r>
            <w:r>
              <w:rPr>
                <w:kern w:val="0"/>
                <w:sz w:val="24"/>
              </w:rPr>
              <w:t>谨防运输车辆装载过满，并采取遮盖、密闭措施，减少其沿途遗洒；</w:t>
            </w:r>
          </w:p>
          <w:p w14:paraId="775B149D">
            <w:pPr>
              <w:autoSpaceDE w:val="0"/>
              <w:autoSpaceDN w:val="0"/>
              <w:adjustRightInd w:val="0"/>
              <w:snapToGrid w:val="0"/>
              <w:spacing w:line="360" w:lineRule="auto"/>
              <w:ind w:firstLine="480" w:firstLineChars="200"/>
              <w:rPr>
                <w:kern w:val="0"/>
                <w:sz w:val="24"/>
              </w:rPr>
            </w:pPr>
            <w:r>
              <w:rPr>
                <w:rFonts w:hint="eastAsia"/>
                <w:kern w:val="0"/>
                <w:sz w:val="24"/>
                <w:lang w:eastAsia="zh-CN"/>
              </w:rPr>
              <w:t>④</w:t>
            </w:r>
            <w:r>
              <w:rPr>
                <w:kern w:val="0"/>
                <w:sz w:val="24"/>
              </w:rPr>
              <w:t>使用商用混凝土，严禁现场搅拌作业。</w:t>
            </w:r>
          </w:p>
          <w:p w14:paraId="5DC1893D">
            <w:pPr>
              <w:autoSpaceDE w:val="0"/>
              <w:autoSpaceDN w:val="0"/>
              <w:adjustRightInd w:val="0"/>
              <w:snapToGrid w:val="0"/>
              <w:spacing w:line="360" w:lineRule="auto"/>
              <w:ind w:firstLine="480" w:firstLineChars="200"/>
              <w:rPr>
                <w:kern w:val="0"/>
                <w:sz w:val="24"/>
              </w:rPr>
            </w:pPr>
            <w:r>
              <w:rPr>
                <w:kern w:val="0"/>
                <w:sz w:val="24"/>
              </w:rPr>
              <w:t>通过采取上述措施，可有效减轻无组织排放粉尘和二次扬尘的产生，降低施工期扬尘对大气环境的影响</w:t>
            </w:r>
            <w:r>
              <w:rPr>
                <w:rFonts w:hint="eastAsia"/>
                <w:kern w:val="0"/>
                <w:sz w:val="24"/>
                <w:lang w:eastAsia="zh-CN"/>
              </w:rPr>
              <w:t>。</w:t>
            </w:r>
            <w:r>
              <w:rPr>
                <w:kern w:val="0"/>
                <w:sz w:val="24"/>
              </w:rPr>
              <w:t>且</w:t>
            </w:r>
            <w:r>
              <w:rPr>
                <w:bCs/>
                <w:kern w:val="0"/>
                <w:sz w:val="24"/>
              </w:rPr>
              <w:t>施工期扬尘对大气环境的影响是短暂的，随着实施期的结束而消失，只要采取以上施工扬尘的控制措施，施工期对大气环境的影响是有限的。</w:t>
            </w:r>
          </w:p>
          <w:p w14:paraId="70143158">
            <w:pPr>
              <w:adjustRightInd w:val="0"/>
              <w:snapToGrid w:val="0"/>
              <w:spacing w:line="360" w:lineRule="auto"/>
              <w:rPr>
                <w:b/>
                <w:sz w:val="24"/>
              </w:rPr>
            </w:pPr>
            <w:r>
              <w:rPr>
                <w:b/>
                <w:sz w:val="24"/>
              </w:rPr>
              <w:t>2</w:t>
            </w:r>
            <w:r>
              <w:rPr>
                <w:rFonts w:hint="eastAsia"/>
                <w:b/>
                <w:sz w:val="24"/>
              </w:rPr>
              <w:t>.</w:t>
            </w:r>
            <w:r>
              <w:rPr>
                <w:b/>
                <w:sz w:val="24"/>
              </w:rPr>
              <w:t>水环境影响分析</w:t>
            </w:r>
          </w:p>
          <w:p w14:paraId="6B853E7C">
            <w:pPr>
              <w:adjustRightInd w:val="0"/>
              <w:snapToGrid w:val="0"/>
              <w:spacing w:line="360" w:lineRule="auto"/>
              <w:ind w:firstLine="480" w:firstLineChars="200"/>
              <w:rPr>
                <w:bCs/>
                <w:sz w:val="24"/>
              </w:rPr>
            </w:pPr>
            <w:r>
              <w:rPr>
                <w:bCs/>
                <w:sz w:val="24"/>
              </w:rPr>
              <w:t>施工期废水主要为建筑施工废水及施工人员生活污水。</w:t>
            </w:r>
          </w:p>
          <w:p w14:paraId="341E34DB">
            <w:pPr>
              <w:adjustRightInd w:val="0"/>
              <w:snapToGrid w:val="0"/>
              <w:spacing w:line="360" w:lineRule="auto"/>
              <w:ind w:firstLine="480" w:firstLineChars="200"/>
              <w:rPr>
                <w:bCs/>
                <w:sz w:val="24"/>
              </w:rPr>
            </w:pPr>
            <w:r>
              <w:rPr>
                <w:bCs/>
                <w:sz w:val="24"/>
              </w:rPr>
              <w:t>施工场地施工人员约为20人，建设时间约180天，生活用水按30L/人·d计算，则施工场地生活用水量约为0.6m</w:t>
            </w:r>
            <w:r>
              <w:rPr>
                <w:bCs/>
                <w:sz w:val="24"/>
                <w:vertAlign w:val="superscript"/>
              </w:rPr>
              <w:t>3</w:t>
            </w:r>
            <w:r>
              <w:rPr>
                <w:bCs/>
                <w:sz w:val="24"/>
              </w:rPr>
              <w:t>/d，总用水量约为108m</w:t>
            </w:r>
            <w:r>
              <w:rPr>
                <w:bCs/>
                <w:sz w:val="24"/>
                <w:vertAlign w:val="superscript"/>
              </w:rPr>
              <w:t>3</w:t>
            </w:r>
            <w:r>
              <w:rPr>
                <w:bCs/>
                <w:sz w:val="24"/>
              </w:rPr>
              <w:t>，生活污水产量按用水量的80%计算，则施工场地施工期生活污水产量约为86.4m</w:t>
            </w:r>
            <w:r>
              <w:rPr>
                <w:bCs/>
                <w:sz w:val="24"/>
                <w:vertAlign w:val="superscript"/>
              </w:rPr>
              <w:t>3</w:t>
            </w:r>
            <w:r>
              <w:rPr>
                <w:bCs/>
                <w:sz w:val="24"/>
              </w:rPr>
              <w:t>。</w:t>
            </w:r>
          </w:p>
          <w:p w14:paraId="0CF6FF86">
            <w:pPr>
              <w:adjustRightInd w:val="0"/>
              <w:snapToGrid w:val="0"/>
              <w:spacing w:line="360" w:lineRule="auto"/>
              <w:ind w:firstLine="480" w:firstLineChars="200"/>
              <w:rPr>
                <w:bCs/>
                <w:sz w:val="24"/>
              </w:rPr>
            </w:pPr>
            <w:r>
              <w:rPr>
                <w:bCs/>
                <w:sz w:val="24"/>
              </w:rPr>
              <w:t>施工废水</w:t>
            </w:r>
            <w:r>
              <w:rPr>
                <w:rFonts w:hint="eastAsia"/>
                <w:bCs/>
                <w:sz w:val="24"/>
                <w:lang w:eastAsia="zh-CN"/>
              </w:rPr>
              <w:t>的</w:t>
            </w:r>
            <w:r>
              <w:rPr>
                <w:bCs/>
                <w:sz w:val="24"/>
              </w:rPr>
              <w:t>主要污染因子为SS等，生活污水中的主要污染因子为COD、BOD</w:t>
            </w:r>
            <w:r>
              <w:rPr>
                <w:bCs/>
                <w:sz w:val="24"/>
                <w:vertAlign w:val="subscript"/>
              </w:rPr>
              <w:t>5</w:t>
            </w:r>
            <w:r>
              <w:rPr>
                <w:bCs/>
                <w:sz w:val="24"/>
              </w:rPr>
              <w:t>、SS等。</w:t>
            </w:r>
          </w:p>
          <w:p w14:paraId="31A31A84">
            <w:pPr>
              <w:adjustRightInd w:val="0"/>
              <w:snapToGrid w:val="0"/>
              <w:spacing w:line="360" w:lineRule="auto"/>
              <w:ind w:firstLine="480"/>
              <w:rPr>
                <w:bCs/>
                <w:sz w:val="24"/>
              </w:rPr>
            </w:pPr>
            <w:r>
              <w:rPr>
                <w:bCs/>
                <w:sz w:val="24"/>
              </w:rPr>
              <w:t>本项目</w:t>
            </w:r>
            <w:r>
              <w:rPr>
                <w:sz w:val="24"/>
              </w:rPr>
              <w:t>施工废水通过沉淀池处理后回用，不外排</w:t>
            </w:r>
            <w:r>
              <w:rPr>
                <w:rFonts w:hint="eastAsia"/>
                <w:bCs/>
                <w:sz w:val="24"/>
              </w:rPr>
              <w:t>。</w:t>
            </w:r>
            <w:r>
              <w:rPr>
                <w:sz w:val="24"/>
              </w:rPr>
              <w:t>生活污水</w:t>
            </w:r>
            <w:r>
              <w:rPr>
                <w:rFonts w:hint="eastAsia"/>
                <w:sz w:val="24"/>
                <w:lang w:val="en-US" w:eastAsia="zh-CN"/>
              </w:rPr>
              <w:t>依托</w:t>
            </w:r>
            <w:r>
              <w:rPr>
                <w:rFonts w:hint="eastAsia"/>
                <w:sz w:val="24"/>
              </w:rPr>
              <w:t>伊泰120万吨精细化学品项目污水处理厂处理</w:t>
            </w:r>
            <w:r>
              <w:rPr>
                <w:sz w:val="24"/>
              </w:rPr>
              <w:t>。</w:t>
            </w:r>
            <w:r>
              <w:rPr>
                <w:bCs/>
                <w:sz w:val="24"/>
              </w:rPr>
              <w:t>只要施工单位加强环境管理，做好施工废水处理及排放措施，施工期对周围地表水环境影响可控制在一定范围之内。</w:t>
            </w:r>
          </w:p>
          <w:p w14:paraId="44508C63">
            <w:pPr>
              <w:adjustRightInd w:val="0"/>
              <w:snapToGrid w:val="0"/>
              <w:spacing w:line="360" w:lineRule="auto"/>
              <w:rPr>
                <w:b/>
                <w:sz w:val="24"/>
              </w:rPr>
            </w:pPr>
            <w:r>
              <w:rPr>
                <w:b/>
                <w:sz w:val="24"/>
              </w:rPr>
              <w:t>3</w:t>
            </w:r>
            <w:r>
              <w:rPr>
                <w:rFonts w:hint="eastAsia"/>
                <w:b/>
                <w:sz w:val="24"/>
              </w:rPr>
              <w:t>.</w:t>
            </w:r>
            <w:r>
              <w:rPr>
                <w:b/>
                <w:sz w:val="24"/>
              </w:rPr>
              <w:t>固体废物影响分析</w:t>
            </w:r>
          </w:p>
          <w:p w14:paraId="44883D05">
            <w:pPr>
              <w:adjustRightInd w:val="0"/>
              <w:snapToGrid w:val="0"/>
              <w:spacing w:line="360" w:lineRule="auto"/>
              <w:ind w:firstLine="480" w:firstLineChars="200"/>
              <w:rPr>
                <w:bCs/>
                <w:sz w:val="24"/>
              </w:rPr>
            </w:pPr>
            <w:r>
              <w:rPr>
                <w:bCs/>
                <w:sz w:val="24"/>
              </w:rPr>
              <w:t>施工期产生的固体废弃物主要为建筑施工垃圾和生活垃圾。</w:t>
            </w:r>
          </w:p>
          <w:p w14:paraId="376DB4E8">
            <w:pPr>
              <w:adjustRightInd w:val="0"/>
              <w:snapToGrid w:val="0"/>
              <w:spacing w:line="360" w:lineRule="auto"/>
              <w:ind w:firstLine="480" w:firstLineChars="200"/>
              <w:rPr>
                <w:bCs/>
                <w:sz w:val="24"/>
              </w:rPr>
            </w:pPr>
            <w:r>
              <w:rPr>
                <w:rFonts w:hint="eastAsia"/>
                <w:bCs/>
                <w:sz w:val="24"/>
                <w:lang w:eastAsia="zh-CN"/>
              </w:rPr>
              <w:t>（</w:t>
            </w:r>
            <w:r>
              <w:rPr>
                <w:rFonts w:hint="eastAsia"/>
                <w:bCs/>
                <w:sz w:val="24"/>
                <w:lang w:val="en-US" w:eastAsia="zh-CN"/>
              </w:rPr>
              <w:t>1</w:t>
            </w:r>
            <w:r>
              <w:rPr>
                <w:rFonts w:hint="eastAsia"/>
                <w:bCs/>
                <w:sz w:val="24"/>
                <w:lang w:eastAsia="zh-CN"/>
              </w:rPr>
              <w:t>）</w:t>
            </w:r>
            <w:r>
              <w:rPr>
                <w:bCs/>
                <w:sz w:val="24"/>
              </w:rPr>
              <w:t>建筑施工垃圾主要包括：在运输各种建筑材料（如砂石、水泥、砖等）过程中以及工程完成后，会产生建筑垃圾，对于建筑垃圾，其中钢筋可以回收利用，其他弃渣均为无机物，</w:t>
            </w:r>
            <w:r>
              <w:rPr>
                <w:rFonts w:hint="eastAsia"/>
                <w:bCs/>
                <w:sz w:val="24"/>
              </w:rPr>
              <w:t>定期送往指定建筑垃圾填埋场处理。</w:t>
            </w:r>
          </w:p>
          <w:p w14:paraId="10830856">
            <w:pPr>
              <w:adjustRightInd w:val="0"/>
              <w:snapToGrid w:val="0"/>
              <w:spacing w:line="360" w:lineRule="auto"/>
              <w:ind w:firstLine="480" w:firstLineChars="200"/>
              <w:rPr>
                <w:bCs/>
                <w:sz w:val="24"/>
              </w:rPr>
            </w:pPr>
            <w:r>
              <w:rPr>
                <w:rFonts w:hint="eastAsia"/>
                <w:bCs/>
                <w:sz w:val="24"/>
                <w:lang w:eastAsia="zh-CN"/>
              </w:rPr>
              <w:t>（</w:t>
            </w:r>
            <w:r>
              <w:rPr>
                <w:rFonts w:hint="eastAsia"/>
                <w:bCs/>
                <w:sz w:val="24"/>
                <w:lang w:val="en-US" w:eastAsia="zh-CN"/>
              </w:rPr>
              <w:t>2</w:t>
            </w:r>
            <w:r>
              <w:rPr>
                <w:rFonts w:hint="eastAsia"/>
                <w:bCs/>
                <w:sz w:val="24"/>
                <w:lang w:eastAsia="zh-CN"/>
              </w:rPr>
              <w:t>）</w:t>
            </w:r>
            <w:r>
              <w:rPr>
                <w:bCs/>
                <w:sz w:val="24"/>
              </w:rPr>
              <w:t>生活垃圾主要由施工人员日常生活产生，以有机物为主，如剩饭菜等</w:t>
            </w:r>
            <w:r>
              <w:rPr>
                <w:rFonts w:hint="eastAsia"/>
                <w:bCs/>
                <w:sz w:val="24"/>
              </w:rPr>
              <w:t>。</w:t>
            </w:r>
            <w:r>
              <w:rPr>
                <w:bCs/>
                <w:sz w:val="24"/>
              </w:rPr>
              <w:t>本项目施工期生活垃圾产量按0.5kg/d（人）计，则施工场地生活垃圾产量为1.8t。本项目施工单位应设临时垃圾箱对生活垃圾进行集中收集，收集后由当地环卫部门集中处理，以免对周围环境造成明显影响。</w:t>
            </w:r>
          </w:p>
          <w:p w14:paraId="6B143A15">
            <w:pPr>
              <w:adjustRightInd w:val="0"/>
              <w:snapToGrid w:val="0"/>
              <w:spacing w:line="360" w:lineRule="auto"/>
              <w:ind w:firstLine="480" w:firstLineChars="200"/>
              <w:rPr>
                <w:bCs/>
                <w:sz w:val="24"/>
              </w:rPr>
            </w:pPr>
            <w:r>
              <w:rPr>
                <w:bCs/>
                <w:sz w:val="24"/>
              </w:rPr>
              <w:t>建筑施工垃圾的堆放在大风天会引起扬尘，雨天</w:t>
            </w:r>
            <w:r>
              <w:rPr>
                <w:rFonts w:hint="eastAsia"/>
                <w:bCs/>
                <w:sz w:val="24"/>
                <w:lang w:eastAsia="zh-CN"/>
              </w:rPr>
              <w:t>会</w:t>
            </w:r>
            <w:r>
              <w:rPr>
                <w:bCs/>
                <w:sz w:val="24"/>
              </w:rPr>
              <w:t>导致道路泥泞，并产生淋溶</w:t>
            </w:r>
            <w:r>
              <w:rPr>
                <w:rFonts w:hint="eastAsia"/>
                <w:bCs/>
                <w:sz w:val="24"/>
                <w:lang w:eastAsia="zh-CN"/>
              </w:rPr>
              <w:t>性</w:t>
            </w:r>
            <w:r>
              <w:rPr>
                <w:bCs/>
                <w:sz w:val="24"/>
              </w:rPr>
              <w:t>废水污染环境，会对周围环境产生不利影响。施工期生活垃圾有机物含量较高，若不对其采取及时有效的处理措施，则可能因为这些废物的腐烂而滋生蚊、蝇、鼠类、虫等，散发臭气，进而影响大气、水环境、景观环境等，并有可能诱发各种传染病。</w:t>
            </w:r>
          </w:p>
          <w:p w14:paraId="3F8CB6FC">
            <w:pPr>
              <w:adjustRightInd w:val="0"/>
              <w:snapToGrid w:val="0"/>
              <w:spacing w:line="360" w:lineRule="auto"/>
              <w:ind w:firstLine="480" w:firstLineChars="200"/>
              <w:rPr>
                <w:bCs/>
                <w:sz w:val="24"/>
              </w:rPr>
            </w:pPr>
            <w:r>
              <w:rPr>
                <w:bCs/>
                <w:sz w:val="24"/>
              </w:rPr>
              <w:t>针对施工期固体废物的来源及影响，建议施工单位做好以下环境保护措施：</w:t>
            </w:r>
          </w:p>
          <w:p w14:paraId="0079FE6B">
            <w:pPr>
              <w:adjustRightInd w:val="0"/>
              <w:snapToGrid w:val="0"/>
              <w:spacing w:line="360" w:lineRule="auto"/>
              <w:ind w:firstLine="480" w:firstLineChars="200"/>
              <w:rPr>
                <w:bCs/>
                <w:sz w:val="24"/>
              </w:rPr>
            </w:pPr>
            <w:r>
              <w:rPr>
                <w:bCs/>
                <w:sz w:val="24"/>
              </w:rPr>
              <w:fldChar w:fldCharType="begin"/>
            </w:r>
            <w:r>
              <w:rPr>
                <w:bCs/>
                <w:sz w:val="24"/>
              </w:rPr>
              <w:instrText xml:space="preserve"> = 1 \* GB3 </w:instrText>
            </w:r>
            <w:r>
              <w:rPr>
                <w:bCs/>
                <w:sz w:val="24"/>
              </w:rPr>
              <w:fldChar w:fldCharType="separate"/>
            </w:r>
            <w:r>
              <w:rPr>
                <w:rFonts w:hint="eastAsia" w:ascii="宋体" w:hAnsi="宋体" w:cs="宋体"/>
                <w:bCs/>
                <w:sz w:val="24"/>
              </w:rPr>
              <w:t>①</w:t>
            </w:r>
            <w:r>
              <w:rPr>
                <w:bCs/>
                <w:sz w:val="24"/>
              </w:rPr>
              <w:fldChar w:fldCharType="end"/>
            </w:r>
            <w:r>
              <w:rPr>
                <w:bCs/>
                <w:sz w:val="24"/>
              </w:rPr>
              <w:t>施工建筑垃圾等固体废物必须妥善处理，及时清运；为保护该区地下水，禁止生活垃圾和废弃物回填；</w:t>
            </w:r>
          </w:p>
          <w:p w14:paraId="614097B9">
            <w:pPr>
              <w:adjustRightInd w:val="0"/>
              <w:snapToGrid w:val="0"/>
              <w:spacing w:line="360" w:lineRule="auto"/>
              <w:ind w:firstLine="480" w:firstLineChars="200"/>
              <w:rPr>
                <w:bCs/>
                <w:sz w:val="24"/>
              </w:rPr>
            </w:pPr>
            <w:r>
              <w:rPr>
                <w:bCs/>
                <w:sz w:val="24"/>
              </w:rPr>
              <w:fldChar w:fldCharType="begin"/>
            </w:r>
            <w:r>
              <w:rPr>
                <w:bCs/>
                <w:sz w:val="24"/>
              </w:rPr>
              <w:instrText xml:space="preserve"> = 2 \* GB3 </w:instrText>
            </w:r>
            <w:r>
              <w:rPr>
                <w:bCs/>
                <w:sz w:val="24"/>
              </w:rPr>
              <w:fldChar w:fldCharType="separate"/>
            </w:r>
            <w:r>
              <w:rPr>
                <w:rFonts w:hint="eastAsia" w:ascii="宋体" w:hAnsi="宋体" w:cs="宋体"/>
                <w:bCs/>
                <w:sz w:val="24"/>
              </w:rPr>
              <w:t>②</w:t>
            </w:r>
            <w:r>
              <w:rPr>
                <w:bCs/>
                <w:sz w:val="24"/>
              </w:rPr>
              <w:fldChar w:fldCharType="end"/>
            </w:r>
            <w:r>
              <w:rPr>
                <w:bCs/>
                <w:sz w:val="24"/>
              </w:rPr>
              <w:t>合理规划施工方案，科学布局临时堆放弃土，尽量做到地基挖填平衡，减少占地面积，可减少施工粉尘的排放；</w:t>
            </w:r>
          </w:p>
          <w:p w14:paraId="2090E43E">
            <w:pPr>
              <w:adjustRightInd w:val="0"/>
              <w:snapToGrid w:val="0"/>
              <w:spacing w:line="360" w:lineRule="auto"/>
              <w:ind w:firstLine="480" w:firstLineChars="200"/>
              <w:rPr>
                <w:rFonts w:hint="eastAsia"/>
                <w:bCs/>
                <w:sz w:val="24"/>
              </w:rPr>
            </w:pPr>
            <w:r>
              <w:rPr>
                <w:bCs/>
                <w:sz w:val="24"/>
              </w:rPr>
              <w:fldChar w:fldCharType="begin"/>
            </w:r>
            <w:r>
              <w:rPr>
                <w:bCs/>
                <w:sz w:val="24"/>
              </w:rPr>
              <w:instrText xml:space="preserve"> = 3 \* GB3 </w:instrText>
            </w:r>
            <w:r>
              <w:rPr>
                <w:bCs/>
                <w:sz w:val="24"/>
              </w:rPr>
              <w:fldChar w:fldCharType="separate"/>
            </w:r>
            <w:r>
              <w:rPr>
                <w:rFonts w:hint="eastAsia" w:ascii="宋体" w:hAnsi="宋体" w:cs="宋体"/>
                <w:bCs/>
                <w:sz w:val="24"/>
              </w:rPr>
              <w:t>③</w:t>
            </w:r>
            <w:r>
              <w:rPr>
                <w:bCs/>
                <w:sz w:val="24"/>
              </w:rPr>
              <w:fldChar w:fldCharType="end"/>
            </w:r>
            <w:r>
              <w:rPr>
                <w:bCs/>
                <w:sz w:val="24"/>
              </w:rPr>
              <w:t>当车辆运输散体废料和废弃物时，必须密闭、包扎、覆盖，不得沿途漏撒，要按照指定的路线行驶；</w:t>
            </w:r>
          </w:p>
          <w:p w14:paraId="6FADA0AA">
            <w:pPr>
              <w:adjustRightInd w:val="0"/>
              <w:snapToGrid w:val="0"/>
              <w:spacing w:line="360" w:lineRule="auto"/>
              <w:ind w:firstLine="480" w:firstLineChars="200"/>
              <w:rPr>
                <w:bCs/>
                <w:sz w:val="24"/>
              </w:rPr>
            </w:pPr>
            <w:r>
              <w:rPr>
                <w:bCs/>
                <w:sz w:val="24"/>
              </w:rPr>
              <w:fldChar w:fldCharType="begin"/>
            </w:r>
            <w:r>
              <w:rPr>
                <w:bCs/>
                <w:sz w:val="24"/>
              </w:rPr>
              <w:instrText xml:space="preserve"> = 4 \* GB3 </w:instrText>
            </w:r>
            <w:r>
              <w:rPr>
                <w:bCs/>
                <w:sz w:val="24"/>
              </w:rPr>
              <w:fldChar w:fldCharType="separate"/>
            </w:r>
            <w:r>
              <w:rPr>
                <w:rFonts w:hint="eastAsia" w:ascii="宋体" w:hAnsi="宋体" w:cs="宋体"/>
                <w:bCs/>
                <w:sz w:val="24"/>
              </w:rPr>
              <w:t>④</w:t>
            </w:r>
            <w:r>
              <w:rPr>
                <w:bCs/>
                <w:sz w:val="24"/>
              </w:rPr>
              <w:fldChar w:fldCharType="end"/>
            </w:r>
            <w:r>
              <w:rPr>
                <w:bCs/>
                <w:sz w:val="24"/>
              </w:rPr>
              <w:t>施工结束后，要对砖头等固体废物及时收集，尽量回用，不能回用的交由当地环卫部门统一处理，以防造成二次污染；</w:t>
            </w:r>
          </w:p>
          <w:p w14:paraId="6A5171CA">
            <w:pPr>
              <w:adjustRightInd w:val="0"/>
              <w:snapToGrid w:val="0"/>
              <w:spacing w:line="360" w:lineRule="auto"/>
              <w:ind w:firstLine="480" w:firstLineChars="200"/>
              <w:rPr>
                <w:bCs/>
                <w:sz w:val="24"/>
              </w:rPr>
            </w:pPr>
            <w:r>
              <w:rPr>
                <w:bCs/>
                <w:sz w:val="24"/>
              </w:rPr>
              <w:fldChar w:fldCharType="begin"/>
            </w:r>
            <w:r>
              <w:rPr>
                <w:bCs/>
                <w:sz w:val="24"/>
              </w:rPr>
              <w:instrText xml:space="preserve"> = 5 \* GB3 </w:instrText>
            </w:r>
            <w:r>
              <w:rPr>
                <w:bCs/>
                <w:sz w:val="24"/>
              </w:rPr>
              <w:fldChar w:fldCharType="separate"/>
            </w:r>
            <w:r>
              <w:rPr>
                <w:rFonts w:hint="eastAsia" w:ascii="宋体" w:hAnsi="宋体" w:cs="宋体"/>
                <w:bCs/>
                <w:sz w:val="24"/>
              </w:rPr>
              <w:t>⑤</w:t>
            </w:r>
            <w:r>
              <w:rPr>
                <w:bCs/>
                <w:sz w:val="24"/>
              </w:rPr>
              <w:fldChar w:fldCharType="end"/>
            </w:r>
            <w:r>
              <w:rPr>
                <w:bCs/>
                <w:sz w:val="24"/>
              </w:rPr>
              <w:t>建议项目施工单位设临时垃圾箱对生活垃圾妥善安排收集，由当地环卫部门集中处理，以免对周围环境造成明显影响。设立建筑垃圾集中收集地点。</w:t>
            </w:r>
          </w:p>
          <w:p w14:paraId="4ABE79BC">
            <w:pPr>
              <w:adjustRightInd w:val="0"/>
              <w:snapToGrid w:val="0"/>
              <w:spacing w:line="360" w:lineRule="auto"/>
              <w:ind w:firstLine="480" w:firstLineChars="200"/>
              <w:rPr>
                <w:bCs/>
                <w:sz w:val="24"/>
              </w:rPr>
            </w:pPr>
            <w:r>
              <w:rPr>
                <w:bCs/>
                <w:sz w:val="24"/>
              </w:rPr>
              <w:t>项目应设置建筑垃圾临时储存场</w:t>
            </w:r>
            <w:r>
              <w:rPr>
                <w:rFonts w:hint="eastAsia"/>
                <w:bCs/>
                <w:sz w:val="24"/>
                <w:lang w:eastAsia="zh-CN"/>
              </w:rPr>
              <w:t>，</w:t>
            </w:r>
            <w:r>
              <w:rPr>
                <w:bCs/>
                <w:sz w:val="24"/>
              </w:rPr>
              <w:t>定期将建筑垃圾</w:t>
            </w:r>
            <w:r>
              <w:rPr>
                <w:rFonts w:hint="eastAsia"/>
                <w:bCs/>
                <w:sz w:val="24"/>
              </w:rPr>
              <w:t>送往指定建筑垃圾填埋场处理</w:t>
            </w:r>
            <w:r>
              <w:rPr>
                <w:bCs/>
                <w:sz w:val="24"/>
              </w:rPr>
              <w:t>；生活垃圾集中收集后最终交由当地环卫部门统一处置。综上所述，只要加强施工管理，严格遵守《中华人民共和国固体废物污染环境防治法》的相关规定，</w:t>
            </w:r>
            <w:r>
              <w:rPr>
                <w:rFonts w:hint="eastAsia"/>
                <w:bCs/>
                <w:sz w:val="24"/>
                <w:lang w:eastAsia="zh-CN"/>
              </w:rPr>
              <w:t>项目</w:t>
            </w:r>
            <w:r>
              <w:rPr>
                <w:bCs/>
                <w:sz w:val="24"/>
              </w:rPr>
              <w:t>实施期</w:t>
            </w:r>
            <w:r>
              <w:rPr>
                <w:rFonts w:hint="eastAsia"/>
                <w:bCs/>
                <w:sz w:val="24"/>
                <w:lang w:eastAsia="zh-CN"/>
              </w:rPr>
              <w:t>间</w:t>
            </w:r>
            <w:r>
              <w:rPr>
                <w:bCs/>
                <w:sz w:val="24"/>
              </w:rPr>
              <w:t>固体废弃物对周围环境影响是可控的。</w:t>
            </w:r>
          </w:p>
          <w:p w14:paraId="3757F33F">
            <w:pPr>
              <w:adjustRightInd w:val="0"/>
              <w:snapToGrid w:val="0"/>
              <w:spacing w:line="360" w:lineRule="auto"/>
              <w:rPr>
                <w:b/>
                <w:sz w:val="24"/>
              </w:rPr>
            </w:pPr>
            <w:r>
              <w:rPr>
                <w:b/>
                <w:sz w:val="24"/>
              </w:rPr>
              <w:t>4</w:t>
            </w:r>
            <w:r>
              <w:rPr>
                <w:rFonts w:hint="eastAsia"/>
                <w:b/>
                <w:sz w:val="24"/>
              </w:rPr>
              <w:t>.</w:t>
            </w:r>
            <w:r>
              <w:rPr>
                <w:b/>
                <w:sz w:val="24"/>
              </w:rPr>
              <w:t>声环境影响分析</w:t>
            </w:r>
          </w:p>
          <w:p w14:paraId="5ABB297C">
            <w:pPr>
              <w:autoSpaceDE w:val="0"/>
              <w:autoSpaceDN w:val="0"/>
              <w:adjustRightInd w:val="0"/>
              <w:snapToGrid w:val="0"/>
              <w:spacing w:line="360" w:lineRule="auto"/>
              <w:ind w:firstLine="480" w:firstLineChars="200"/>
              <w:rPr>
                <w:bCs/>
                <w:kern w:val="0"/>
                <w:sz w:val="24"/>
              </w:rPr>
            </w:pPr>
            <w:bookmarkStart w:id="10" w:name="_Toc25637714"/>
            <w:r>
              <w:rPr>
                <w:kern w:val="0"/>
                <w:sz w:val="24"/>
              </w:rPr>
              <w:t>施工活动对建设项目周围环境产生一定</w:t>
            </w:r>
            <w:r>
              <w:rPr>
                <w:rFonts w:hint="eastAsia"/>
                <w:kern w:val="0"/>
                <w:sz w:val="24"/>
              </w:rPr>
              <w:t>的</w:t>
            </w:r>
            <w:r>
              <w:rPr>
                <w:kern w:val="0"/>
                <w:sz w:val="24"/>
              </w:rPr>
              <w:t>噪声影响，施工期噪声主要为机械噪声、施工作业噪声和车辆噪声。在多台机械设备同时作业时，各台机械设备噪声产生叠加，</w:t>
            </w:r>
            <w:r>
              <w:rPr>
                <w:rFonts w:hint="eastAsia"/>
                <w:kern w:val="0"/>
                <w:sz w:val="24"/>
              </w:rPr>
              <w:t>根据</w:t>
            </w:r>
            <w:r>
              <w:rPr>
                <w:kern w:val="0"/>
                <w:sz w:val="24"/>
              </w:rPr>
              <w:t>类比调查，叠加后噪声比单台设备噪声增加约3dB（A）至8dB（A），一般不会超过10dB（A）。据</w:t>
            </w:r>
            <w:r>
              <w:rPr>
                <w:rFonts w:hint="eastAsia"/>
                <w:kern w:val="0"/>
                <w:sz w:val="24"/>
              </w:rPr>
              <w:t>其他</w:t>
            </w:r>
            <w:r>
              <w:rPr>
                <w:kern w:val="0"/>
                <w:sz w:val="24"/>
              </w:rPr>
              <w:t>建设工程的施工经验，上述噪声仅对施工现场区域范围和周围250m内的地区有影响。施工过程中基础开挖等活动均选择在白天进行，噪声影响主要在白天，</w:t>
            </w:r>
            <w:r>
              <w:rPr>
                <w:bCs/>
                <w:kern w:val="0"/>
                <w:sz w:val="24"/>
              </w:rPr>
              <w:t>机械设备的运作都是间歇性的，施工过程中产生的噪声具有间歇性和短暂性的特点，随着实施期的结束而消失。</w:t>
            </w:r>
          </w:p>
          <w:p w14:paraId="0A3A04D2">
            <w:pPr>
              <w:autoSpaceDE w:val="0"/>
              <w:autoSpaceDN w:val="0"/>
              <w:adjustRightInd w:val="0"/>
              <w:snapToGrid w:val="0"/>
              <w:spacing w:line="360" w:lineRule="auto"/>
              <w:ind w:firstLine="480" w:firstLineChars="200"/>
              <w:rPr>
                <w:rFonts w:hint="eastAsia"/>
                <w:bCs/>
                <w:sz w:val="24"/>
              </w:rPr>
            </w:pPr>
            <w:r>
              <w:rPr>
                <w:bCs/>
                <w:sz w:val="24"/>
              </w:rPr>
              <w:t>施工场地噪声主要来自各类高噪声施工机械，为减少施工噪声影响，</w:t>
            </w:r>
            <w:r>
              <w:rPr>
                <w:rFonts w:hint="eastAsia"/>
                <w:bCs/>
                <w:sz w:val="24"/>
              </w:rPr>
              <w:t>施工期间</w:t>
            </w:r>
            <w:r>
              <w:rPr>
                <w:bCs/>
                <w:sz w:val="24"/>
              </w:rPr>
              <w:t>要遵守《建筑施工场界环境噪声排放标准》</w:t>
            </w:r>
            <w:r>
              <w:rPr>
                <w:sz w:val="24"/>
              </w:rPr>
              <w:t>（GB12523-2011）</w:t>
            </w:r>
            <w:r>
              <w:rPr>
                <w:bCs/>
                <w:sz w:val="24"/>
              </w:rPr>
              <w:t>的要求，进行施工时间限值及相应的噪声防控，建议采取以下防护措施：</w:t>
            </w:r>
          </w:p>
          <w:p w14:paraId="6EC599CF">
            <w:pPr>
              <w:autoSpaceDE w:val="0"/>
              <w:autoSpaceDN w:val="0"/>
              <w:adjustRightInd w:val="0"/>
              <w:snapToGrid w:val="0"/>
              <w:spacing w:line="360" w:lineRule="auto"/>
              <w:ind w:firstLine="480" w:firstLineChars="200"/>
              <w:rPr>
                <w:kern w:val="0"/>
                <w:sz w:val="24"/>
              </w:rPr>
            </w:pPr>
            <w:r>
              <w:rPr>
                <w:rFonts w:hint="eastAsia"/>
                <w:kern w:val="0"/>
                <w:sz w:val="24"/>
                <w:lang w:eastAsia="zh-CN"/>
              </w:rPr>
              <w:t>①</w:t>
            </w:r>
            <w:r>
              <w:rPr>
                <w:kern w:val="0"/>
                <w:sz w:val="24"/>
              </w:rPr>
              <w:t>工程建设时，利用厂区围墙的隔声作用，以减缓施工噪声对周围环境的影响程度。</w:t>
            </w:r>
          </w:p>
          <w:p w14:paraId="6B6DAFA6">
            <w:pPr>
              <w:autoSpaceDE w:val="0"/>
              <w:autoSpaceDN w:val="0"/>
              <w:adjustRightInd w:val="0"/>
              <w:snapToGrid w:val="0"/>
              <w:spacing w:line="360" w:lineRule="auto"/>
              <w:ind w:firstLine="480" w:firstLineChars="200"/>
              <w:rPr>
                <w:kern w:val="0"/>
                <w:sz w:val="24"/>
              </w:rPr>
            </w:pPr>
            <w:r>
              <w:rPr>
                <w:rFonts w:hint="eastAsia" w:ascii="宋体" w:hAnsi="宋体" w:cs="宋体"/>
                <w:kern w:val="0"/>
                <w:sz w:val="24"/>
              </w:rPr>
              <w:t>②</w:t>
            </w:r>
            <w:r>
              <w:rPr>
                <w:kern w:val="0"/>
                <w:sz w:val="24"/>
              </w:rPr>
              <w:t>施工时选用噪声符合国家相关标准的施工设备。加强设备维护和保养，保持机械润滑，减少运行噪声。同时加强管理，以减少因施工设备维护和保养不当产生的噪声。</w:t>
            </w:r>
          </w:p>
          <w:p w14:paraId="536AAF0B">
            <w:pPr>
              <w:autoSpaceDE w:val="0"/>
              <w:autoSpaceDN w:val="0"/>
              <w:adjustRightInd w:val="0"/>
              <w:snapToGrid w:val="0"/>
              <w:spacing w:line="360" w:lineRule="auto"/>
              <w:ind w:firstLine="480" w:firstLineChars="200"/>
              <w:rPr>
                <w:kern w:val="0"/>
                <w:sz w:val="24"/>
              </w:rPr>
            </w:pPr>
            <w:r>
              <w:rPr>
                <w:rFonts w:hint="eastAsia" w:ascii="宋体" w:hAnsi="宋体" w:cs="宋体"/>
                <w:kern w:val="0"/>
                <w:sz w:val="24"/>
              </w:rPr>
              <w:t>③</w:t>
            </w:r>
            <w:r>
              <w:rPr>
                <w:kern w:val="0"/>
                <w:sz w:val="24"/>
              </w:rPr>
              <w:t>施工活动尽量控制在建设施工场地内，以减小工程施工噪声的环境影响范围。</w:t>
            </w:r>
          </w:p>
          <w:p w14:paraId="55015BA9">
            <w:pPr>
              <w:autoSpaceDE w:val="0"/>
              <w:autoSpaceDN w:val="0"/>
              <w:adjustRightInd w:val="0"/>
              <w:snapToGrid w:val="0"/>
              <w:spacing w:line="360" w:lineRule="auto"/>
              <w:ind w:firstLine="480" w:firstLineChars="200"/>
              <w:rPr>
                <w:kern w:val="0"/>
                <w:sz w:val="24"/>
              </w:rPr>
            </w:pPr>
            <w:r>
              <w:rPr>
                <w:rFonts w:hint="eastAsia" w:ascii="宋体" w:hAnsi="宋体" w:cs="宋体"/>
                <w:kern w:val="0"/>
                <w:sz w:val="24"/>
              </w:rPr>
              <w:t>④</w:t>
            </w:r>
            <w:r>
              <w:rPr>
                <w:kern w:val="0"/>
                <w:sz w:val="24"/>
              </w:rPr>
              <w:t>加强施工管理，优化施工场地布置，尽可能将高噪声设备远离敏感点。</w:t>
            </w:r>
          </w:p>
          <w:p w14:paraId="27A194CD">
            <w:pPr>
              <w:autoSpaceDE w:val="0"/>
              <w:autoSpaceDN w:val="0"/>
              <w:adjustRightInd w:val="0"/>
              <w:snapToGrid w:val="0"/>
              <w:spacing w:line="360" w:lineRule="auto"/>
              <w:ind w:firstLine="480" w:firstLineChars="200"/>
              <w:rPr>
                <w:rFonts w:hint="eastAsia" w:eastAsia="宋体"/>
                <w:bCs/>
                <w:sz w:val="24"/>
                <w:lang w:eastAsia="zh-CN"/>
              </w:rPr>
            </w:pPr>
            <w:r>
              <w:rPr>
                <w:rFonts w:hint="eastAsia" w:ascii="宋体" w:hAnsi="宋体" w:cs="宋体"/>
                <w:kern w:val="0"/>
                <w:sz w:val="24"/>
              </w:rPr>
              <w:t>⑤</w:t>
            </w:r>
            <w:r>
              <w:rPr>
                <w:kern w:val="0"/>
                <w:sz w:val="24"/>
              </w:rPr>
              <w:t>合理安排了施工时间，尽可能</w:t>
            </w:r>
            <w:r>
              <w:rPr>
                <w:rFonts w:hint="eastAsia"/>
                <w:kern w:val="0"/>
                <w:sz w:val="24"/>
              </w:rPr>
              <w:t>地</w:t>
            </w:r>
            <w:r>
              <w:rPr>
                <w:kern w:val="0"/>
                <w:sz w:val="24"/>
              </w:rPr>
              <w:t>避免了大量高噪声设备同时施工；合理布局了施工现场，以避免在同一地点安排大量高噪声设备，造成局部声级过高；</w:t>
            </w:r>
            <w:r>
              <w:rPr>
                <w:bCs/>
                <w:sz w:val="24"/>
              </w:rPr>
              <w:t>高噪声施工设备尽量安排在日间作业，减少夜间施工量</w:t>
            </w:r>
            <w:r>
              <w:rPr>
                <w:rFonts w:hint="eastAsia"/>
                <w:bCs/>
                <w:sz w:val="24"/>
                <w:lang w:eastAsia="zh-CN"/>
              </w:rPr>
              <w:t>。</w:t>
            </w:r>
          </w:p>
          <w:p w14:paraId="5507C181">
            <w:pPr>
              <w:adjustRightInd w:val="0"/>
              <w:snapToGrid w:val="0"/>
              <w:spacing w:line="360" w:lineRule="auto"/>
              <w:ind w:firstLine="480" w:firstLineChars="200"/>
              <w:rPr>
                <w:bCs/>
                <w:sz w:val="24"/>
              </w:rPr>
            </w:pPr>
            <w:r>
              <w:rPr>
                <w:bCs/>
                <w:sz w:val="24"/>
              </w:rPr>
              <w:t>总体而言，施工期噪声的影响具有短暂性、流动性的特点，随着施工期的结束而消失。在采取合理布局的情况下，施工期对评价范围内的声学环境产生的影响是有限和短暂的。</w:t>
            </w:r>
            <w:bookmarkEnd w:id="10"/>
          </w:p>
        </w:tc>
      </w:tr>
      <w:tr w14:paraId="598F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35" w:type="pct"/>
            <w:tcBorders>
              <w:tl2br w:val="nil"/>
              <w:tr2bl w:val="nil"/>
            </w:tcBorders>
            <w:noWrap w:val="0"/>
            <w:tcMar>
              <w:left w:w="28" w:type="dxa"/>
              <w:right w:w="28" w:type="dxa"/>
            </w:tcMar>
            <w:vAlign w:val="center"/>
          </w:tcPr>
          <w:p w14:paraId="1EB21CE3">
            <w:pPr>
              <w:adjustRightInd w:val="0"/>
              <w:snapToGrid w:val="0"/>
              <w:jc w:val="center"/>
              <w:rPr>
                <w:b/>
                <w:bCs/>
                <w:sz w:val="24"/>
              </w:rPr>
            </w:pPr>
            <w:r>
              <w:rPr>
                <w:b/>
                <w:bCs/>
                <w:sz w:val="24"/>
              </w:rPr>
              <w:t>运营</w:t>
            </w:r>
          </w:p>
          <w:p w14:paraId="39A4CECA">
            <w:pPr>
              <w:adjustRightInd w:val="0"/>
              <w:snapToGrid w:val="0"/>
              <w:jc w:val="center"/>
              <w:rPr>
                <w:b/>
                <w:bCs/>
                <w:sz w:val="24"/>
              </w:rPr>
            </w:pPr>
            <w:r>
              <w:rPr>
                <w:b/>
                <w:bCs/>
                <w:sz w:val="24"/>
              </w:rPr>
              <w:t>期环</w:t>
            </w:r>
          </w:p>
          <w:p w14:paraId="65CCDDCE">
            <w:pPr>
              <w:adjustRightInd w:val="0"/>
              <w:snapToGrid w:val="0"/>
              <w:jc w:val="center"/>
              <w:rPr>
                <w:b/>
                <w:bCs/>
                <w:sz w:val="24"/>
              </w:rPr>
            </w:pPr>
            <w:r>
              <w:rPr>
                <w:b/>
                <w:bCs/>
                <w:sz w:val="24"/>
              </w:rPr>
              <w:t>境影</w:t>
            </w:r>
          </w:p>
          <w:p w14:paraId="5B31C59D">
            <w:pPr>
              <w:adjustRightInd w:val="0"/>
              <w:snapToGrid w:val="0"/>
              <w:jc w:val="center"/>
              <w:rPr>
                <w:b/>
                <w:bCs/>
                <w:sz w:val="24"/>
              </w:rPr>
            </w:pPr>
            <w:r>
              <w:rPr>
                <w:b/>
                <w:bCs/>
                <w:sz w:val="24"/>
              </w:rPr>
              <w:t>响和</w:t>
            </w:r>
          </w:p>
          <w:p w14:paraId="600ED0A1">
            <w:pPr>
              <w:adjustRightInd w:val="0"/>
              <w:snapToGrid w:val="0"/>
              <w:jc w:val="center"/>
              <w:rPr>
                <w:b/>
                <w:bCs/>
                <w:sz w:val="24"/>
              </w:rPr>
            </w:pPr>
            <w:r>
              <w:rPr>
                <w:b/>
                <w:bCs/>
                <w:sz w:val="24"/>
              </w:rPr>
              <w:t>保护</w:t>
            </w:r>
          </w:p>
          <w:p w14:paraId="4CF14CA3">
            <w:pPr>
              <w:adjustRightInd w:val="0"/>
              <w:snapToGrid w:val="0"/>
              <w:jc w:val="center"/>
              <w:rPr>
                <w:bCs/>
                <w:szCs w:val="21"/>
              </w:rPr>
            </w:pPr>
            <w:r>
              <w:rPr>
                <w:b/>
                <w:bCs/>
                <w:sz w:val="24"/>
              </w:rPr>
              <w:t>措施</w:t>
            </w:r>
          </w:p>
        </w:tc>
        <w:tc>
          <w:tcPr>
            <w:tcW w:w="4864" w:type="pct"/>
            <w:tcBorders>
              <w:tl2br w:val="nil"/>
              <w:tr2bl w:val="nil"/>
            </w:tcBorders>
            <w:noWrap w:val="0"/>
            <w:vAlign w:val="center"/>
          </w:tcPr>
          <w:p w14:paraId="1FB345A0">
            <w:pPr>
              <w:snapToGrid w:val="0"/>
              <w:spacing w:line="360" w:lineRule="auto"/>
              <w:rPr>
                <w:rFonts w:hint="eastAsia"/>
                <w:bCs/>
                <w:sz w:val="24"/>
              </w:rPr>
            </w:pPr>
            <w:r>
              <w:rPr>
                <w:b/>
                <w:bCs/>
                <w:sz w:val="24"/>
              </w:rPr>
              <w:t>1</w:t>
            </w:r>
            <w:r>
              <w:rPr>
                <w:rFonts w:hint="eastAsia"/>
                <w:b/>
                <w:bCs/>
                <w:sz w:val="24"/>
              </w:rPr>
              <w:t>.</w:t>
            </w:r>
            <w:r>
              <w:rPr>
                <w:b/>
                <w:bCs/>
                <w:sz w:val="24"/>
              </w:rPr>
              <w:t>大气环境影响分析</w:t>
            </w:r>
          </w:p>
          <w:p w14:paraId="1E3598A7">
            <w:pPr>
              <w:snapToGrid w:val="0"/>
              <w:spacing w:line="360" w:lineRule="auto"/>
              <w:ind w:firstLine="480"/>
              <w:rPr>
                <w:b w:val="0"/>
                <w:bCs w:val="0"/>
                <w:sz w:val="24"/>
              </w:rPr>
            </w:pPr>
            <w:r>
              <w:rPr>
                <w:b/>
                <w:bCs/>
                <w:sz w:val="24"/>
              </w:rPr>
              <w:t>1.1</w:t>
            </w:r>
            <w:r>
              <w:rPr>
                <w:rFonts w:hint="eastAsia"/>
                <w:b/>
                <w:bCs/>
                <w:sz w:val="24"/>
              </w:rPr>
              <w:t>废气污染源源强核算及污染物产排情况</w:t>
            </w:r>
          </w:p>
          <w:p w14:paraId="3D2885FF">
            <w:pPr>
              <w:adjustRightInd w:val="0"/>
              <w:snapToGrid w:val="0"/>
              <w:spacing w:line="360" w:lineRule="auto"/>
              <w:ind w:firstLine="480"/>
              <w:rPr>
                <w:rFonts w:hint="default" w:ascii="Times New Roman" w:hAnsi="Times New Roman" w:eastAsia="宋体" w:cs="Times New Roman"/>
                <w:sz w:val="24"/>
                <w:lang w:val="en-US" w:eastAsia="zh-CN"/>
              </w:rPr>
            </w:pPr>
            <w:r>
              <w:rPr>
                <w:rFonts w:hint="eastAsia" w:cs="Times New Roman"/>
                <w:sz w:val="24"/>
                <w:lang w:val="en-US" w:eastAsia="zh-CN"/>
              </w:rPr>
              <w:t>（</w:t>
            </w:r>
            <w:r>
              <w:rPr>
                <w:rFonts w:hint="eastAsia" w:ascii="Times New Roman" w:hAnsi="Times New Roman" w:eastAsia="宋体" w:cs="Times New Roman"/>
                <w:sz w:val="24"/>
                <w:lang w:val="en-US" w:eastAsia="zh-CN"/>
              </w:rPr>
              <w:t>1</w:t>
            </w:r>
            <w:r>
              <w:rPr>
                <w:rFonts w:hint="eastAsia" w:cs="Times New Roman"/>
                <w:sz w:val="24"/>
                <w:lang w:val="en-US" w:eastAsia="zh-CN"/>
              </w:rPr>
              <w:t>）</w:t>
            </w:r>
            <w:r>
              <w:rPr>
                <w:rFonts w:hint="eastAsia" w:ascii="Times New Roman" w:hAnsi="Times New Roman" w:eastAsia="宋体" w:cs="Times New Roman"/>
                <w:sz w:val="24"/>
                <w:lang w:val="en-US" w:eastAsia="zh-CN"/>
              </w:rPr>
              <w:t>塔顶不凝气</w:t>
            </w:r>
          </w:p>
          <w:p w14:paraId="4FB876F4">
            <w:pPr>
              <w:adjustRightInd w:val="0"/>
              <w:snapToGrid w:val="0"/>
              <w:spacing w:line="360" w:lineRule="auto"/>
              <w:ind w:firstLine="480"/>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根据建设单位和设计单位物料平衡，本项目工艺不凝气的产生量为0.2</w:t>
            </w:r>
            <w:r>
              <w:rPr>
                <w:rFonts w:hint="eastAsia" w:cs="Times New Roman"/>
                <w:sz w:val="24"/>
                <w:lang w:val="en-US" w:eastAsia="zh-CN"/>
              </w:rPr>
              <w:t>万</w:t>
            </w:r>
            <w:r>
              <w:rPr>
                <w:rFonts w:hint="eastAsia" w:ascii="Times New Roman" w:hAnsi="Times New Roman" w:eastAsia="宋体" w:cs="Times New Roman"/>
                <w:sz w:val="24"/>
                <w:lang w:val="en-US" w:eastAsia="zh-CN"/>
              </w:rPr>
              <w:t>t/a，具体组分见下表。</w:t>
            </w:r>
          </w:p>
          <w:p w14:paraId="335FDC9A">
            <w:pPr>
              <w:adjustRightInd w:val="0"/>
              <w:snapToGrid w:val="0"/>
              <w:jc w:val="center"/>
              <w:rPr>
                <w:rFonts w:hint="default"/>
                <w:b/>
                <w:sz w:val="24"/>
                <w:highlight w:val="none"/>
                <w:lang w:val="en-US" w:eastAsia="zh-CN"/>
              </w:rPr>
            </w:pPr>
            <w:r>
              <w:rPr>
                <w:rFonts w:hint="eastAsia"/>
                <w:b/>
                <w:sz w:val="24"/>
                <w:highlight w:val="none"/>
                <w:lang w:val="en-US" w:eastAsia="zh-CN"/>
              </w:rPr>
              <w:t>表4-1：不凝气组分</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1"/>
              <w:gridCol w:w="2823"/>
              <w:gridCol w:w="2843"/>
            </w:tblGrid>
            <w:tr w14:paraId="6A38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7FA9CA58">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序号</w:t>
                  </w:r>
                </w:p>
              </w:tc>
              <w:tc>
                <w:tcPr>
                  <w:tcW w:w="2929" w:type="dxa"/>
                  <w:noWrap w:val="0"/>
                  <w:vAlign w:val="center"/>
                </w:tcPr>
                <w:p w14:paraId="629A46D4">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物料</w:t>
                  </w:r>
                </w:p>
              </w:tc>
              <w:tc>
                <w:tcPr>
                  <w:tcW w:w="2929" w:type="dxa"/>
                  <w:noWrap w:val="0"/>
                  <w:vAlign w:val="center"/>
                </w:tcPr>
                <w:p w14:paraId="492D4D48">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摩尔</w:t>
                  </w:r>
                  <w:r>
                    <w:rPr>
                      <w:rFonts w:hint="default" w:ascii="Times New Roman" w:hAnsi="Times New Roman" w:eastAsia="宋体" w:cs="Times New Roman"/>
                      <w:sz w:val="21"/>
                      <w:szCs w:val="21"/>
                      <w:vertAlign w:val="baseline"/>
                      <w:lang w:val="en-US" w:eastAsia="zh-CN"/>
                    </w:rPr>
                    <w:t>百分比%</w:t>
                  </w:r>
                </w:p>
              </w:tc>
            </w:tr>
            <w:tr w14:paraId="6467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31180E6D">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c>
                <w:tcPr>
                  <w:tcW w:w="2929" w:type="dxa"/>
                  <w:noWrap w:val="0"/>
                  <w:vAlign w:val="center"/>
                </w:tcPr>
                <w:p w14:paraId="026D6CE4">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一氧化碳</w:t>
                  </w:r>
                </w:p>
              </w:tc>
              <w:tc>
                <w:tcPr>
                  <w:tcW w:w="2929" w:type="dxa"/>
                  <w:noWrap w:val="0"/>
                  <w:vAlign w:val="center"/>
                </w:tcPr>
                <w:p w14:paraId="0483F213">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3.4877</w:t>
                  </w:r>
                </w:p>
              </w:tc>
            </w:tr>
            <w:tr w14:paraId="7016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36E7238E">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w:t>
                  </w:r>
                </w:p>
              </w:tc>
              <w:tc>
                <w:tcPr>
                  <w:tcW w:w="2929" w:type="dxa"/>
                  <w:noWrap w:val="0"/>
                  <w:vAlign w:val="center"/>
                </w:tcPr>
                <w:p w14:paraId="57D864DA">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甲烷</w:t>
                  </w:r>
                </w:p>
              </w:tc>
              <w:tc>
                <w:tcPr>
                  <w:tcW w:w="2929" w:type="dxa"/>
                  <w:noWrap w:val="0"/>
                  <w:vAlign w:val="center"/>
                </w:tcPr>
                <w:p w14:paraId="2080E9A8">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2.8068</w:t>
                  </w:r>
                </w:p>
              </w:tc>
            </w:tr>
            <w:tr w14:paraId="6821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3EAE8756">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w:t>
                  </w:r>
                </w:p>
              </w:tc>
              <w:tc>
                <w:tcPr>
                  <w:tcW w:w="2929" w:type="dxa"/>
                  <w:noWrap w:val="0"/>
                  <w:vAlign w:val="center"/>
                </w:tcPr>
                <w:p w14:paraId="4C8626EB">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乙烷</w:t>
                  </w:r>
                </w:p>
              </w:tc>
              <w:tc>
                <w:tcPr>
                  <w:tcW w:w="2929" w:type="dxa"/>
                  <w:noWrap w:val="0"/>
                  <w:vAlign w:val="center"/>
                </w:tcPr>
                <w:p w14:paraId="0554B4FF">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6.1945</w:t>
                  </w:r>
                </w:p>
              </w:tc>
            </w:tr>
            <w:tr w14:paraId="4DF2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4C935996">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w:t>
                  </w:r>
                </w:p>
              </w:tc>
              <w:tc>
                <w:tcPr>
                  <w:tcW w:w="2929" w:type="dxa"/>
                  <w:noWrap w:val="0"/>
                  <w:vAlign w:val="center"/>
                </w:tcPr>
                <w:p w14:paraId="216441E0">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正丁烯</w:t>
                  </w:r>
                </w:p>
              </w:tc>
              <w:tc>
                <w:tcPr>
                  <w:tcW w:w="2929" w:type="dxa"/>
                  <w:noWrap w:val="0"/>
                  <w:vAlign w:val="center"/>
                </w:tcPr>
                <w:p w14:paraId="38C2DBD6">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29.2846</w:t>
                  </w:r>
                </w:p>
              </w:tc>
            </w:tr>
            <w:tr w14:paraId="1BD7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0691456C">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w:t>
                  </w:r>
                </w:p>
              </w:tc>
              <w:tc>
                <w:tcPr>
                  <w:tcW w:w="2929" w:type="dxa"/>
                  <w:noWrap w:val="0"/>
                  <w:vAlign w:val="center"/>
                </w:tcPr>
                <w:p w14:paraId="751E1422">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正丁烷</w:t>
                  </w:r>
                </w:p>
              </w:tc>
              <w:tc>
                <w:tcPr>
                  <w:tcW w:w="2929" w:type="dxa"/>
                  <w:noWrap w:val="0"/>
                  <w:vAlign w:val="center"/>
                </w:tcPr>
                <w:p w14:paraId="362B2AB0">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13.7904</w:t>
                  </w:r>
                </w:p>
              </w:tc>
            </w:tr>
            <w:tr w14:paraId="304E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4AA33D85">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w:t>
                  </w:r>
                </w:p>
              </w:tc>
              <w:tc>
                <w:tcPr>
                  <w:tcW w:w="2929" w:type="dxa"/>
                  <w:noWrap w:val="0"/>
                  <w:vAlign w:val="center"/>
                </w:tcPr>
                <w:p w14:paraId="3788EFD4">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正戊烯</w:t>
                  </w:r>
                </w:p>
              </w:tc>
              <w:tc>
                <w:tcPr>
                  <w:tcW w:w="2929" w:type="dxa"/>
                  <w:noWrap w:val="0"/>
                  <w:vAlign w:val="center"/>
                </w:tcPr>
                <w:p w14:paraId="45C329B4">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33.4542</w:t>
                  </w:r>
                </w:p>
              </w:tc>
            </w:tr>
            <w:tr w14:paraId="16DE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43C74763">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7</w:t>
                  </w:r>
                </w:p>
              </w:tc>
              <w:tc>
                <w:tcPr>
                  <w:tcW w:w="2929" w:type="dxa"/>
                  <w:noWrap w:val="0"/>
                  <w:vAlign w:val="center"/>
                </w:tcPr>
                <w:p w14:paraId="1F70EA10">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正戊烷</w:t>
                  </w:r>
                </w:p>
              </w:tc>
              <w:tc>
                <w:tcPr>
                  <w:tcW w:w="2929" w:type="dxa"/>
                  <w:noWrap w:val="0"/>
                  <w:vAlign w:val="center"/>
                </w:tcPr>
                <w:p w14:paraId="65C4E625">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10.8825</w:t>
                  </w:r>
                </w:p>
              </w:tc>
            </w:tr>
            <w:tr w14:paraId="142F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626D3F31">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8</w:t>
                  </w:r>
                </w:p>
              </w:tc>
              <w:tc>
                <w:tcPr>
                  <w:tcW w:w="2929" w:type="dxa"/>
                  <w:noWrap w:val="0"/>
                  <w:vAlign w:val="center"/>
                </w:tcPr>
                <w:p w14:paraId="36B25D18">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正己烯</w:t>
                  </w:r>
                </w:p>
              </w:tc>
              <w:tc>
                <w:tcPr>
                  <w:tcW w:w="2929" w:type="dxa"/>
                  <w:noWrap w:val="0"/>
                  <w:vAlign w:val="center"/>
                </w:tcPr>
                <w:p w14:paraId="7630658D">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0.0927</w:t>
                  </w:r>
                </w:p>
              </w:tc>
            </w:tr>
            <w:tr w14:paraId="25A7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8" w:type="dxa"/>
                  <w:noWrap w:val="0"/>
                  <w:vAlign w:val="center"/>
                </w:tcPr>
                <w:p w14:paraId="5547C104">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9</w:t>
                  </w:r>
                </w:p>
              </w:tc>
              <w:tc>
                <w:tcPr>
                  <w:tcW w:w="2929" w:type="dxa"/>
                  <w:noWrap w:val="0"/>
                  <w:vAlign w:val="center"/>
                </w:tcPr>
                <w:p w14:paraId="617478DB">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正己烷</w:t>
                  </w:r>
                </w:p>
              </w:tc>
              <w:tc>
                <w:tcPr>
                  <w:tcW w:w="2929" w:type="dxa"/>
                  <w:noWrap w:val="0"/>
                  <w:vAlign w:val="center"/>
                </w:tcPr>
                <w:p w14:paraId="79551F1D">
                  <w:pPr>
                    <w:adjustRightInd w:val="0"/>
                    <w:snapToGrid w:val="0"/>
                    <w:spacing w:line="240"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0.0066</w:t>
                  </w:r>
                </w:p>
              </w:tc>
            </w:tr>
          </w:tbl>
          <w:p w14:paraId="6BFE5A60">
            <w:pPr>
              <w:adjustRightInd w:val="0"/>
              <w:snapToGrid w:val="0"/>
              <w:spacing w:line="360" w:lineRule="auto"/>
              <w:ind w:firstLine="480"/>
              <w:rPr>
                <w:rFonts w:hint="eastAsia" w:ascii="Times New Roman"/>
                <w:sz w:val="24"/>
                <w:lang w:val="en-US" w:eastAsia="zh-CN"/>
              </w:rPr>
            </w:pPr>
            <w:r>
              <w:rPr>
                <w:rFonts w:hint="eastAsia" w:ascii="Times New Roman" w:hAnsi="Times New Roman" w:eastAsia="宋体" w:cs="Times New Roman"/>
                <w:sz w:val="24"/>
                <w:lang w:val="en-US" w:eastAsia="zh-CN"/>
              </w:rPr>
              <w:t>本项目</w:t>
            </w:r>
            <w:r>
              <w:rPr>
                <w:rFonts w:hint="eastAsia" w:ascii="Times New Roman"/>
                <w:sz w:val="24"/>
              </w:rPr>
              <w:t>产生的不凝废气全部</w:t>
            </w:r>
            <w:r>
              <w:rPr>
                <w:rFonts w:hint="eastAsia" w:ascii="Times New Roman"/>
                <w:sz w:val="24"/>
                <w:lang w:val="en-US" w:eastAsia="zh-CN"/>
              </w:rPr>
              <w:t>送至内蒙古伊泰化工有限责任公司120万吨/年精细化学品示范项目（变更）</w:t>
            </w:r>
            <w:r>
              <w:rPr>
                <w:rFonts w:hint="eastAsia" w:cs="Times New Roman"/>
                <w:color w:val="000000"/>
                <w:kern w:val="2"/>
                <w:sz w:val="24"/>
                <w:szCs w:val="24"/>
                <w:lang w:val="en-US" w:eastAsia="zh-CN"/>
              </w:rPr>
              <w:t>的</w:t>
            </w:r>
            <w:r>
              <w:rPr>
                <w:rFonts w:hint="eastAsia" w:ascii="Times New Roman" w:hAnsi="Times New Roman" w:eastAsia="宋体" w:cs="Times New Roman"/>
                <w:color w:val="000000"/>
                <w:kern w:val="2"/>
                <w:sz w:val="24"/>
                <w:szCs w:val="24"/>
                <w:lang w:val="en-US" w:eastAsia="zh-CN"/>
              </w:rPr>
              <w:t>合成装置</w:t>
            </w:r>
            <w:r>
              <w:rPr>
                <w:rFonts w:hint="eastAsia" w:ascii="Times New Roman" w:hAnsi="Times New Roman" w:eastAsia="宋体" w:cs="Times New Roman"/>
                <w:color w:val="000000"/>
                <w:kern w:val="2"/>
                <w:sz w:val="24"/>
                <w:szCs w:val="24"/>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color w:val="000000"/>
                <w:kern w:val="2"/>
                <w:sz w:val="24"/>
                <w:szCs w:val="24"/>
                <w:lang w:val="en-US" w:eastAsia="zh-CN"/>
              </w:rPr>
              <w:t>尾气脱碳单元一部分气体进入合</w:t>
            </w:r>
            <w:r>
              <w:rPr>
                <w:rFonts w:hint="eastAsia" w:cs="Times New Roman"/>
                <w:color w:val="000000"/>
                <w:kern w:val="2"/>
                <w:sz w:val="24"/>
                <w:szCs w:val="24"/>
                <w:lang w:val="en-US" w:eastAsia="zh-CN"/>
              </w:rPr>
              <w:t>成装置产出产品，另一部分气体进入加工油洗单元</w:t>
            </w:r>
            <w:r>
              <w:rPr>
                <w:rFonts w:hint="eastAsia" w:ascii="Times New Roman" w:hAnsi="Times New Roman" w:eastAsia="宋体" w:cs="Times New Roman"/>
                <w:color w:val="000000"/>
                <w:kern w:val="2"/>
                <w:sz w:val="24"/>
                <w:szCs w:val="24"/>
                <w:lang w:val="en-US" w:eastAsia="zh-CN"/>
              </w:rPr>
              <w:t>产出产品。</w:t>
            </w:r>
          </w:p>
          <w:p w14:paraId="537048C0">
            <w:pPr>
              <w:adjustRightInd w:val="0"/>
              <w:snapToGrid w:val="0"/>
              <w:spacing w:line="360" w:lineRule="auto"/>
              <w:ind w:firstLine="480"/>
              <w:rPr>
                <w:rFonts w:hint="eastAsia" w:ascii="Times New Roman"/>
                <w:sz w:val="24"/>
                <w:lang w:val="en-US" w:eastAsia="zh-CN"/>
              </w:rPr>
            </w:pPr>
            <w:r>
              <w:rPr>
                <w:rFonts w:hint="eastAsia"/>
                <w:sz w:val="24"/>
                <w:lang w:val="en-US" w:eastAsia="zh-CN"/>
              </w:rPr>
              <w:t>（</w:t>
            </w:r>
            <w:r>
              <w:rPr>
                <w:rFonts w:hint="eastAsia" w:ascii="Times New Roman"/>
                <w:sz w:val="24"/>
                <w:lang w:val="en-US" w:eastAsia="zh-CN"/>
              </w:rPr>
              <w:t>2</w:t>
            </w:r>
            <w:r>
              <w:rPr>
                <w:rFonts w:hint="eastAsia"/>
                <w:sz w:val="24"/>
                <w:lang w:val="en-US" w:eastAsia="zh-CN"/>
              </w:rPr>
              <w:t>）</w:t>
            </w:r>
            <w:r>
              <w:rPr>
                <w:rFonts w:hint="eastAsia" w:ascii="Times New Roman"/>
                <w:sz w:val="24"/>
                <w:lang w:val="en-US" w:eastAsia="zh-CN"/>
              </w:rPr>
              <w:t>储罐呼吸废气</w:t>
            </w:r>
          </w:p>
          <w:p w14:paraId="0022A581">
            <w:pPr>
              <w:adjustRightInd w:val="0"/>
              <w:snapToGrid w:val="0"/>
              <w:spacing w:line="360" w:lineRule="auto"/>
              <w:ind w:firstLine="480"/>
              <w:rPr>
                <w:rFonts w:hint="default" w:ascii="Times New Roman"/>
                <w:sz w:val="24"/>
                <w:lang w:val="en-US" w:eastAsia="zh-CN"/>
              </w:rPr>
            </w:pPr>
            <w:r>
              <w:rPr>
                <w:rFonts w:hint="eastAsia" w:ascii="Times New Roman"/>
                <w:sz w:val="24"/>
                <w:lang w:val="en-US" w:eastAsia="zh-CN"/>
              </w:rPr>
              <w:t>本期工程C4</w:t>
            </w:r>
            <w:r>
              <w:rPr>
                <w:rFonts w:hint="eastAsia"/>
                <w:sz w:val="24"/>
                <w:lang w:val="en-US" w:eastAsia="zh-CN"/>
              </w:rPr>
              <w:t>及C4</w:t>
            </w:r>
            <w:r>
              <w:rPr>
                <w:rFonts w:hint="eastAsia"/>
                <w:sz w:val="24"/>
                <w:vertAlign w:val="superscript"/>
                <w:lang w:val="en-US" w:eastAsia="zh-CN"/>
              </w:rPr>
              <w:t>-</w:t>
            </w:r>
            <w:r>
              <w:rPr>
                <w:rFonts w:hint="eastAsia" w:ascii="Times New Roman"/>
                <w:sz w:val="24"/>
                <w:lang w:val="en-US" w:eastAsia="zh-CN"/>
              </w:rPr>
              <w:t>产品依托现有储罐，本次不核算其呼吸气；新增一台原料油缓冲罐，规格为Φ2400*7400，容积为33.5m</w:t>
            </w:r>
            <w:r>
              <w:rPr>
                <w:rFonts w:hint="eastAsia" w:ascii="Times New Roman"/>
                <w:sz w:val="24"/>
                <w:vertAlign w:val="superscript"/>
                <w:lang w:val="en-US" w:eastAsia="zh-CN"/>
              </w:rPr>
              <w:t>3</w:t>
            </w:r>
            <w:r>
              <w:rPr>
                <w:rFonts w:hint="eastAsia" w:ascii="Times New Roman"/>
                <w:sz w:val="24"/>
                <w:lang w:val="en-US" w:eastAsia="zh-CN"/>
              </w:rPr>
              <w:t>，原料油缓冲罐</w:t>
            </w:r>
            <w:r>
              <w:rPr>
                <w:rFonts w:hint="eastAsia"/>
                <w:sz w:val="24"/>
                <w:lang w:val="en-US" w:eastAsia="zh-CN"/>
              </w:rPr>
              <w:t>正常情况下不会有废气排放</w:t>
            </w:r>
            <w:r>
              <w:rPr>
                <w:rFonts w:hint="eastAsia" w:ascii="Times New Roman"/>
                <w:sz w:val="24"/>
                <w:lang w:val="en-US" w:eastAsia="zh-CN"/>
              </w:rPr>
              <w:t>。本项目不涉及装卸区。</w:t>
            </w:r>
          </w:p>
          <w:p w14:paraId="29878523">
            <w:pPr>
              <w:adjustRightInd w:val="0"/>
              <w:snapToGrid w:val="0"/>
              <w:spacing w:line="360" w:lineRule="auto"/>
              <w:ind w:firstLine="480"/>
              <w:rPr>
                <w:rFonts w:hint="eastAsia"/>
                <w:sz w:val="24"/>
                <w:highlight w:val="none"/>
                <w:lang w:eastAsia="zh-CN"/>
              </w:rPr>
            </w:pPr>
            <w:r>
              <w:rPr>
                <w:rFonts w:hint="eastAsia"/>
                <w:sz w:val="24"/>
                <w:highlight w:val="none"/>
                <w:lang w:val="en-US" w:eastAsia="zh-CN"/>
              </w:rPr>
              <w:t>本次评价</w:t>
            </w:r>
            <w:r>
              <w:rPr>
                <w:rFonts w:hint="eastAsia"/>
                <w:sz w:val="24"/>
                <w:highlight w:val="none"/>
              </w:rPr>
              <w:t>根据《石化行业VOCs污染源排查指南》公式进行核算</w:t>
            </w:r>
            <w:r>
              <w:rPr>
                <w:rFonts w:hint="eastAsia"/>
                <w:sz w:val="24"/>
                <w:highlight w:val="none"/>
                <w:lang w:eastAsia="zh-CN"/>
              </w:rPr>
              <w:t>。</w:t>
            </w:r>
          </w:p>
          <w:p w14:paraId="38968230">
            <w:pPr>
              <w:adjustRightInd w:val="0"/>
              <w:snapToGrid w:val="0"/>
              <w:jc w:val="center"/>
              <w:rPr>
                <w:b/>
                <w:sz w:val="24"/>
                <w:highlight w:val="none"/>
              </w:rPr>
            </w:pPr>
            <w:r>
              <w:rPr>
                <w:b/>
                <w:sz w:val="24"/>
                <w:highlight w:val="none"/>
              </w:rPr>
              <w:t>表</w:t>
            </w:r>
            <w:r>
              <w:rPr>
                <w:rFonts w:hint="eastAsia"/>
                <w:b/>
                <w:sz w:val="24"/>
                <w:highlight w:val="none"/>
                <w:lang w:val="en-US" w:eastAsia="zh-CN"/>
              </w:rPr>
              <w:t>4-2：</w:t>
            </w:r>
            <w:r>
              <w:rPr>
                <w:rFonts w:hint="eastAsia"/>
                <w:b/>
                <w:sz w:val="24"/>
                <w:highlight w:val="none"/>
              </w:rPr>
              <w:t>储罐相关参数一览表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autofit"/>
              <w:tblCellMar>
                <w:top w:w="0" w:type="dxa"/>
                <w:left w:w="108" w:type="dxa"/>
                <w:bottom w:w="0" w:type="dxa"/>
                <w:right w:w="108" w:type="dxa"/>
              </w:tblCellMar>
            </w:tblPr>
            <w:tblGrid>
              <w:gridCol w:w="1298"/>
              <w:gridCol w:w="938"/>
              <w:gridCol w:w="1182"/>
              <w:gridCol w:w="921"/>
              <w:gridCol w:w="1344"/>
              <w:gridCol w:w="1402"/>
              <w:gridCol w:w="1402"/>
            </w:tblGrid>
            <w:tr w14:paraId="763EA6C7">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0" w:type="auto"/>
                  <w:vMerge w:val="restart"/>
                  <w:noWrap/>
                  <w:vAlign w:val="center"/>
                </w:tcPr>
                <w:p w14:paraId="6421D70B">
                  <w:pPr>
                    <w:widowControl/>
                    <w:jc w:val="center"/>
                    <w:rPr>
                      <w:rFonts w:hint="default" w:eastAsia="宋体"/>
                      <w:sz w:val="21"/>
                      <w:szCs w:val="21"/>
                      <w:highlight w:val="none"/>
                      <w:lang w:val="en-US" w:eastAsia="zh-CN"/>
                    </w:rPr>
                  </w:pPr>
                  <w:r>
                    <w:rPr>
                      <w:rFonts w:hint="eastAsia"/>
                      <w:b w:val="0"/>
                      <w:bCs w:val="0"/>
                      <w:kern w:val="0"/>
                      <w:sz w:val="21"/>
                      <w:szCs w:val="21"/>
                      <w:highlight w:val="none"/>
                    </w:rPr>
                    <w:t>储罐名称</w:t>
                  </w:r>
                </w:p>
              </w:tc>
              <w:tc>
                <w:tcPr>
                  <w:tcW w:w="0" w:type="auto"/>
                  <w:noWrap/>
                  <w:vAlign w:val="center"/>
                </w:tcPr>
                <w:p w14:paraId="5CB2313A">
                  <w:pPr>
                    <w:widowControl/>
                    <w:jc w:val="center"/>
                    <w:rPr>
                      <w:b w:val="0"/>
                      <w:bCs w:val="0"/>
                      <w:kern w:val="0"/>
                      <w:sz w:val="21"/>
                      <w:szCs w:val="21"/>
                      <w:highlight w:val="none"/>
                    </w:rPr>
                  </w:pPr>
                  <w:r>
                    <w:rPr>
                      <w:rFonts w:hint="eastAsia"/>
                      <w:b w:val="0"/>
                      <w:bCs w:val="0"/>
                      <w:kern w:val="0"/>
                      <w:sz w:val="21"/>
                      <w:szCs w:val="21"/>
                      <w:highlight w:val="none"/>
                    </w:rPr>
                    <w:t>个数</w:t>
                  </w:r>
                </w:p>
              </w:tc>
              <w:tc>
                <w:tcPr>
                  <w:tcW w:w="0" w:type="auto"/>
                  <w:noWrap/>
                  <w:vAlign w:val="center"/>
                </w:tcPr>
                <w:p w14:paraId="1206198F">
                  <w:pPr>
                    <w:widowControl/>
                    <w:jc w:val="center"/>
                    <w:rPr>
                      <w:b w:val="0"/>
                      <w:bCs w:val="0"/>
                      <w:kern w:val="0"/>
                      <w:sz w:val="21"/>
                      <w:szCs w:val="21"/>
                      <w:highlight w:val="none"/>
                    </w:rPr>
                  </w:pPr>
                  <w:r>
                    <w:rPr>
                      <w:rFonts w:hint="eastAsia"/>
                      <w:b w:val="0"/>
                      <w:bCs w:val="0"/>
                      <w:kern w:val="0"/>
                      <w:sz w:val="21"/>
                      <w:szCs w:val="21"/>
                      <w:highlight w:val="none"/>
                    </w:rPr>
                    <w:t>单罐容积m</w:t>
                  </w:r>
                  <w:r>
                    <w:rPr>
                      <w:rFonts w:hint="eastAsia"/>
                      <w:b w:val="0"/>
                      <w:bCs w:val="0"/>
                      <w:kern w:val="0"/>
                      <w:sz w:val="21"/>
                      <w:szCs w:val="21"/>
                      <w:highlight w:val="none"/>
                      <w:vertAlign w:val="superscript"/>
                    </w:rPr>
                    <w:t>3</w:t>
                  </w:r>
                </w:p>
              </w:tc>
              <w:tc>
                <w:tcPr>
                  <w:tcW w:w="0" w:type="auto"/>
                  <w:noWrap/>
                  <w:vAlign w:val="center"/>
                </w:tcPr>
                <w:p w14:paraId="6B02B597">
                  <w:pPr>
                    <w:widowControl/>
                    <w:jc w:val="center"/>
                    <w:rPr>
                      <w:b w:val="0"/>
                      <w:bCs w:val="0"/>
                      <w:kern w:val="0"/>
                      <w:sz w:val="21"/>
                      <w:szCs w:val="21"/>
                      <w:highlight w:val="none"/>
                    </w:rPr>
                  </w:pPr>
                  <w:r>
                    <w:rPr>
                      <w:rFonts w:hint="eastAsia"/>
                      <w:b w:val="0"/>
                      <w:bCs w:val="0"/>
                      <w:kern w:val="0"/>
                      <w:sz w:val="21"/>
                      <w:szCs w:val="21"/>
                      <w:highlight w:val="none"/>
                    </w:rPr>
                    <w:t>直径m</w:t>
                  </w:r>
                </w:p>
              </w:tc>
              <w:tc>
                <w:tcPr>
                  <w:tcW w:w="0" w:type="auto"/>
                  <w:noWrap/>
                  <w:vAlign w:val="center"/>
                </w:tcPr>
                <w:p w14:paraId="758BF473">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罐体高度m</w:t>
                  </w:r>
                </w:p>
              </w:tc>
              <w:tc>
                <w:tcPr>
                  <w:tcW w:w="0" w:type="auto"/>
                  <w:noWrap/>
                  <w:vAlign w:val="center"/>
                </w:tcPr>
                <w:p w14:paraId="74F12D3F">
                  <w:pPr>
                    <w:widowControl/>
                    <w:jc w:val="center"/>
                    <w:rPr>
                      <w:rFonts w:hint="default"/>
                      <w:b w:val="0"/>
                      <w:bCs w:val="0"/>
                      <w:kern w:val="0"/>
                      <w:sz w:val="21"/>
                      <w:szCs w:val="21"/>
                      <w:highlight w:val="none"/>
                      <w:lang w:val="en-US" w:eastAsia="zh-CN"/>
                    </w:rPr>
                  </w:pPr>
                  <w:r>
                    <w:rPr>
                      <w:rFonts w:hint="eastAsia"/>
                      <w:b w:val="0"/>
                      <w:bCs w:val="0"/>
                      <w:kern w:val="0"/>
                      <w:sz w:val="21"/>
                      <w:szCs w:val="21"/>
                      <w:highlight w:val="none"/>
                      <w:lang w:val="en-US" w:eastAsia="zh-CN"/>
                    </w:rPr>
                    <w:t>储存温度℃</w:t>
                  </w:r>
                </w:p>
              </w:tc>
              <w:tc>
                <w:tcPr>
                  <w:tcW w:w="0" w:type="auto"/>
                  <w:noWrap/>
                  <w:vAlign w:val="center"/>
                </w:tcPr>
                <w:p w14:paraId="6C838974">
                  <w:pPr>
                    <w:widowControl/>
                    <w:jc w:val="center"/>
                    <w:rPr>
                      <w:rFonts w:hint="default"/>
                      <w:b w:val="0"/>
                      <w:bCs w:val="0"/>
                      <w:kern w:val="0"/>
                      <w:sz w:val="21"/>
                      <w:szCs w:val="21"/>
                      <w:highlight w:val="none"/>
                      <w:lang w:val="en-US" w:eastAsia="zh-CN"/>
                    </w:rPr>
                  </w:pPr>
                  <w:r>
                    <w:rPr>
                      <w:rFonts w:hint="eastAsia"/>
                      <w:b w:val="0"/>
                      <w:bCs w:val="0"/>
                      <w:kern w:val="0"/>
                      <w:sz w:val="21"/>
                      <w:szCs w:val="21"/>
                      <w:highlight w:val="none"/>
                      <w:lang w:val="en-US" w:eastAsia="zh-CN"/>
                    </w:rPr>
                    <w:t>物料类别</w:t>
                  </w:r>
                </w:p>
              </w:tc>
            </w:tr>
            <w:tr w14:paraId="062DD9B8">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0" w:type="auto"/>
                  <w:vMerge w:val="continue"/>
                  <w:noWrap/>
                  <w:vAlign w:val="center"/>
                </w:tcPr>
                <w:p w14:paraId="74502CFC">
                  <w:pPr>
                    <w:widowControl/>
                    <w:autoSpaceDE w:val="0"/>
                    <w:autoSpaceDN w:val="0"/>
                    <w:jc w:val="center"/>
                    <w:rPr>
                      <w:rFonts w:hint="default" w:eastAsia="宋体"/>
                      <w:sz w:val="21"/>
                      <w:szCs w:val="21"/>
                      <w:highlight w:val="none"/>
                      <w:lang w:val="en-US" w:eastAsia="zh-CN"/>
                    </w:rPr>
                  </w:pPr>
                </w:p>
              </w:tc>
              <w:tc>
                <w:tcPr>
                  <w:tcW w:w="0" w:type="auto"/>
                  <w:noWrap/>
                  <w:vAlign w:val="center"/>
                </w:tcPr>
                <w:p w14:paraId="3CB07E4B">
                  <w:pPr>
                    <w:widowControl/>
                    <w:autoSpaceDE w:val="0"/>
                    <w:autoSpaceDN w:val="0"/>
                    <w:jc w:val="center"/>
                    <w:rPr>
                      <w:rFonts w:hint="eastAsia" w:eastAsia="宋体"/>
                      <w:sz w:val="21"/>
                      <w:szCs w:val="21"/>
                      <w:highlight w:val="none"/>
                      <w:lang w:val="en-US" w:eastAsia="zh-CN"/>
                    </w:rPr>
                  </w:pPr>
                  <w:r>
                    <w:rPr>
                      <w:rFonts w:hint="eastAsia"/>
                      <w:sz w:val="21"/>
                      <w:szCs w:val="21"/>
                      <w:highlight w:val="none"/>
                      <w:lang w:val="en-US" w:eastAsia="zh-CN"/>
                    </w:rPr>
                    <w:t>1</w:t>
                  </w:r>
                </w:p>
              </w:tc>
              <w:tc>
                <w:tcPr>
                  <w:tcW w:w="0" w:type="auto"/>
                  <w:noWrap/>
                  <w:vAlign w:val="center"/>
                </w:tcPr>
                <w:p w14:paraId="4A695EDC">
                  <w:pPr>
                    <w:widowControl/>
                    <w:autoSpaceDE w:val="0"/>
                    <w:autoSpaceDN w:val="0"/>
                    <w:jc w:val="center"/>
                    <w:rPr>
                      <w:rFonts w:hint="default" w:eastAsia="宋体"/>
                      <w:sz w:val="21"/>
                      <w:szCs w:val="21"/>
                      <w:highlight w:val="none"/>
                      <w:lang w:val="en-US" w:eastAsia="zh-CN"/>
                    </w:rPr>
                  </w:pPr>
                  <w:r>
                    <w:rPr>
                      <w:rFonts w:hint="eastAsia"/>
                      <w:sz w:val="21"/>
                      <w:szCs w:val="21"/>
                      <w:highlight w:val="none"/>
                      <w:lang w:val="en-US" w:eastAsia="zh-CN"/>
                    </w:rPr>
                    <w:t>33.5</w:t>
                  </w:r>
                </w:p>
              </w:tc>
              <w:tc>
                <w:tcPr>
                  <w:tcW w:w="0" w:type="auto"/>
                  <w:noWrap/>
                  <w:vAlign w:val="center"/>
                </w:tcPr>
                <w:p w14:paraId="2BF876DC">
                  <w:pPr>
                    <w:widowControl/>
                    <w:autoSpaceDE w:val="0"/>
                    <w:autoSpaceDN w:val="0"/>
                    <w:jc w:val="center"/>
                    <w:rPr>
                      <w:rFonts w:hint="default" w:eastAsia="宋体"/>
                      <w:sz w:val="21"/>
                      <w:szCs w:val="21"/>
                      <w:highlight w:val="none"/>
                      <w:lang w:val="en-US" w:eastAsia="zh-CN"/>
                    </w:rPr>
                  </w:pPr>
                  <w:r>
                    <w:rPr>
                      <w:rFonts w:hint="eastAsia" w:eastAsia="宋体"/>
                      <w:sz w:val="21"/>
                      <w:szCs w:val="21"/>
                      <w:highlight w:val="none"/>
                      <w:lang w:val="en-US" w:eastAsia="zh-CN"/>
                    </w:rPr>
                    <w:t>2.4</w:t>
                  </w:r>
                </w:p>
              </w:tc>
              <w:tc>
                <w:tcPr>
                  <w:tcW w:w="0" w:type="auto"/>
                  <w:noWrap/>
                  <w:vAlign w:val="center"/>
                </w:tcPr>
                <w:p w14:paraId="1AD2299D">
                  <w:pPr>
                    <w:widowControl/>
                    <w:autoSpaceDE w:val="0"/>
                    <w:autoSpaceDN w:val="0"/>
                    <w:jc w:val="center"/>
                    <w:rPr>
                      <w:rFonts w:hint="default" w:eastAsia="宋体"/>
                      <w:sz w:val="21"/>
                      <w:szCs w:val="21"/>
                      <w:highlight w:val="none"/>
                      <w:lang w:val="en-US" w:eastAsia="zh-CN"/>
                    </w:rPr>
                  </w:pPr>
                  <w:r>
                    <w:rPr>
                      <w:rFonts w:hint="eastAsia" w:eastAsia="宋体"/>
                      <w:sz w:val="21"/>
                      <w:szCs w:val="21"/>
                      <w:highlight w:val="none"/>
                      <w:lang w:val="en-US" w:eastAsia="zh-CN"/>
                    </w:rPr>
                    <w:t>7.4</w:t>
                  </w:r>
                </w:p>
              </w:tc>
              <w:tc>
                <w:tcPr>
                  <w:tcW w:w="0" w:type="auto"/>
                  <w:noWrap/>
                  <w:vAlign w:val="center"/>
                </w:tcPr>
                <w:p w14:paraId="5C07DF91">
                  <w:pPr>
                    <w:widowControl/>
                    <w:autoSpaceDE w:val="0"/>
                    <w:autoSpaceDN w:val="0"/>
                    <w:jc w:val="center"/>
                    <w:rPr>
                      <w:rFonts w:hint="default" w:eastAsia="宋体"/>
                      <w:sz w:val="21"/>
                      <w:szCs w:val="21"/>
                      <w:highlight w:val="none"/>
                      <w:lang w:val="en-US" w:eastAsia="zh-CN"/>
                    </w:rPr>
                  </w:pPr>
                  <w:r>
                    <w:rPr>
                      <w:rFonts w:hint="eastAsia" w:eastAsia="宋体"/>
                      <w:sz w:val="21"/>
                      <w:szCs w:val="21"/>
                      <w:highlight w:val="none"/>
                      <w:lang w:val="en-US" w:eastAsia="zh-CN"/>
                    </w:rPr>
                    <w:t>150</w:t>
                  </w:r>
                </w:p>
              </w:tc>
              <w:tc>
                <w:tcPr>
                  <w:tcW w:w="0" w:type="auto"/>
                  <w:noWrap/>
                  <w:vAlign w:val="center"/>
                </w:tcPr>
                <w:p w14:paraId="14867873">
                  <w:pPr>
                    <w:widowControl/>
                    <w:autoSpaceDE w:val="0"/>
                    <w:autoSpaceDN w:val="0"/>
                    <w:jc w:val="center"/>
                    <w:rPr>
                      <w:rFonts w:hint="default" w:eastAsia="宋体"/>
                      <w:sz w:val="21"/>
                      <w:szCs w:val="21"/>
                      <w:highlight w:val="none"/>
                      <w:lang w:val="en-US" w:eastAsia="zh-CN"/>
                    </w:rPr>
                  </w:pPr>
                  <w:r>
                    <w:rPr>
                      <w:rFonts w:hint="eastAsia" w:eastAsia="宋体"/>
                      <w:sz w:val="21"/>
                      <w:szCs w:val="21"/>
                      <w:highlight w:val="none"/>
                      <w:lang w:val="en-US" w:eastAsia="zh-CN"/>
                    </w:rPr>
                    <w:t>原油</w:t>
                  </w:r>
                </w:p>
              </w:tc>
            </w:tr>
            <w:tr w14:paraId="0D0DEF2C">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0" w:type="auto"/>
                  <w:vMerge w:val="restart"/>
                  <w:noWrap/>
                  <w:vAlign w:val="center"/>
                </w:tcPr>
                <w:p w14:paraId="3336FCE7">
                  <w:pPr>
                    <w:widowControl/>
                    <w:autoSpaceDE w:val="0"/>
                    <w:autoSpaceDN w:val="0"/>
                    <w:jc w:val="center"/>
                    <w:rPr>
                      <w:rFonts w:hint="eastAsia"/>
                      <w:b w:val="0"/>
                      <w:bCs w:val="0"/>
                      <w:sz w:val="21"/>
                      <w:szCs w:val="21"/>
                      <w:highlight w:val="none"/>
                    </w:rPr>
                  </w:pPr>
                  <w:r>
                    <w:rPr>
                      <w:rFonts w:hint="eastAsia"/>
                      <w:sz w:val="21"/>
                      <w:szCs w:val="21"/>
                      <w:highlight w:val="none"/>
                      <w:lang w:val="en-US" w:eastAsia="zh-CN"/>
                    </w:rPr>
                    <w:t>原料油缓冲罐</w:t>
                  </w:r>
                </w:p>
              </w:tc>
              <w:tc>
                <w:tcPr>
                  <w:tcW w:w="0" w:type="auto"/>
                  <w:noWrap/>
                  <w:vAlign w:val="center"/>
                </w:tcPr>
                <w:p w14:paraId="32AEFEA4">
                  <w:pPr>
                    <w:widowControl/>
                    <w:jc w:val="center"/>
                    <w:rPr>
                      <w:b w:val="0"/>
                      <w:bCs w:val="0"/>
                      <w:sz w:val="21"/>
                      <w:szCs w:val="21"/>
                      <w:highlight w:val="none"/>
                    </w:rPr>
                  </w:pPr>
                  <w:r>
                    <w:rPr>
                      <w:rFonts w:hint="eastAsia"/>
                      <w:b w:val="0"/>
                      <w:bCs w:val="0"/>
                      <w:kern w:val="0"/>
                      <w:sz w:val="21"/>
                      <w:szCs w:val="21"/>
                      <w:highlight w:val="none"/>
                      <w:lang w:val="en-US" w:eastAsia="zh-CN"/>
                    </w:rPr>
                    <w:t>物料名称</w:t>
                  </w:r>
                </w:p>
              </w:tc>
              <w:tc>
                <w:tcPr>
                  <w:tcW w:w="0" w:type="auto"/>
                  <w:noWrap/>
                  <w:vAlign w:val="center"/>
                </w:tcPr>
                <w:p w14:paraId="6E6388E4">
                  <w:pPr>
                    <w:widowControl/>
                    <w:jc w:val="center"/>
                    <w:rPr>
                      <w:b w:val="0"/>
                      <w:bCs w:val="0"/>
                      <w:sz w:val="21"/>
                      <w:szCs w:val="21"/>
                      <w:highlight w:val="none"/>
                    </w:rPr>
                  </w:pPr>
                  <w:r>
                    <w:rPr>
                      <w:rFonts w:hint="eastAsia"/>
                      <w:b w:val="0"/>
                      <w:bCs w:val="0"/>
                      <w:kern w:val="0"/>
                      <w:sz w:val="21"/>
                      <w:szCs w:val="21"/>
                      <w:highlight w:val="none"/>
                      <w:lang w:val="en-US" w:eastAsia="zh-CN"/>
                    </w:rPr>
                    <w:t>储罐类型</w:t>
                  </w:r>
                </w:p>
              </w:tc>
              <w:tc>
                <w:tcPr>
                  <w:tcW w:w="0" w:type="auto"/>
                  <w:noWrap/>
                  <w:vAlign w:val="center"/>
                </w:tcPr>
                <w:p w14:paraId="699084E9">
                  <w:pPr>
                    <w:widowControl/>
                    <w:jc w:val="center"/>
                    <w:rPr>
                      <w:b w:val="0"/>
                      <w:bCs w:val="0"/>
                      <w:sz w:val="21"/>
                      <w:szCs w:val="21"/>
                      <w:highlight w:val="none"/>
                    </w:rPr>
                  </w:pPr>
                  <w:r>
                    <w:rPr>
                      <w:rFonts w:hint="eastAsia"/>
                      <w:b w:val="0"/>
                      <w:bCs w:val="0"/>
                      <w:kern w:val="0"/>
                      <w:sz w:val="21"/>
                      <w:szCs w:val="21"/>
                      <w:highlight w:val="none"/>
                    </w:rPr>
                    <w:t>密度t/m</w:t>
                  </w:r>
                  <w:r>
                    <w:rPr>
                      <w:rFonts w:hint="eastAsia"/>
                      <w:b w:val="0"/>
                      <w:bCs w:val="0"/>
                      <w:kern w:val="0"/>
                      <w:sz w:val="21"/>
                      <w:szCs w:val="21"/>
                      <w:highlight w:val="none"/>
                      <w:vertAlign w:val="superscript"/>
                    </w:rPr>
                    <w:t>3</w:t>
                  </w:r>
                </w:p>
              </w:tc>
              <w:tc>
                <w:tcPr>
                  <w:tcW w:w="0" w:type="auto"/>
                  <w:noWrap/>
                  <w:vAlign w:val="center"/>
                </w:tcPr>
                <w:p w14:paraId="17BC4D3A">
                  <w:pPr>
                    <w:widowControl/>
                    <w:jc w:val="center"/>
                    <w:rPr>
                      <w:rFonts w:hint="eastAsia"/>
                      <w:b w:val="0"/>
                      <w:bCs w:val="0"/>
                      <w:sz w:val="21"/>
                      <w:szCs w:val="21"/>
                      <w:highlight w:val="none"/>
                    </w:rPr>
                  </w:pPr>
                  <w:r>
                    <w:rPr>
                      <w:rFonts w:hint="eastAsia"/>
                      <w:b w:val="0"/>
                      <w:bCs w:val="0"/>
                      <w:kern w:val="0"/>
                      <w:sz w:val="21"/>
                      <w:szCs w:val="21"/>
                      <w:highlight w:val="none"/>
                    </w:rPr>
                    <w:t>年周转量万t/a</w:t>
                  </w:r>
                </w:p>
              </w:tc>
              <w:tc>
                <w:tcPr>
                  <w:tcW w:w="1597" w:type="dxa"/>
                  <w:noWrap/>
                  <w:vAlign w:val="center"/>
                </w:tcPr>
                <w:p w14:paraId="0D5E955D">
                  <w:pPr>
                    <w:widowControl/>
                    <w:autoSpaceDE w:val="0"/>
                    <w:autoSpaceDN w:val="0"/>
                    <w:jc w:val="center"/>
                    <w:rPr>
                      <w:rFonts w:hint="default" w:eastAsia="宋体"/>
                      <w:b w:val="0"/>
                      <w:bCs w:val="0"/>
                      <w:sz w:val="21"/>
                      <w:szCs w:val="21"/>
                      <w:highlight w:val="none"/>
                      <w:lang w:val="en-US" w:eastAsia="zh-CN"/>
                    </w:rPr>
                  </w:pPr>
                  <w:r>
                    <w:rPr>
                      <w:rFonts w:hint="eastAsia"/>
                      <w:b w:val="0"/>
                      <w:bCs w:val="0"/>
                      <w:sz w:val="21"/>
                      <w:szCs w:val="21"/>
                      <w:highlight w:val="none"/>
                      <w:lang w:val="en-US" w:eastAsia="zh-CN"/>
                    </w:rPr>
                    <w:t>安全阀-压力设定Pa</w:t>
                  </w:r>
                </w:p>
              </w:tc>
              <w:tc>
                <w:tcPr>
                  <w:tcW w:w="1597" w:type="dxa"/>
                  <w:noWrap/>
                  <w:vAlign w:val="center"/>
                </w:tcPr>
                <w:p w14:paraId="629D08A2">
                  <w:pPr>
                    <w:widowControl/>
                    <w:autoSpaceDE w:val="0"/>
                    <w:autoSpaceDN w:val="0"/>
                    <w:jc w:val="center"/>
                    <w:rPr>
                      <w:rFonts w:hint="default" w:eastAsia="宋体"/>
                      <w:b w:val="0"/>
                      <w:bCs w:val="0"/>
                      <w:sz w:val="21"/>
                      <w:szCs w:val="21"/>
                      <w:highlight w:val="none"/>
                      <w:lang w:val="en-US" w:eastAsia="zh-CN"/>
                    </w:rPr>
                  </w:pPr>
                  <w:r>
                    <w:rPr>
                      <w:rFonts w:hint="eastAsia"/>
                      <w:b w:val="0"/>
                      <w:bCs w:val="0"/>
                      <w:sz w:val="21"/>
                      <w:szCs w:val="21"/>
                      <w:highlight w:val="none"/>
                      <w:lang w:val="en-US" w:eastAsia="zh-CN"/>
                    </w:rPr>
                    <w:t>安全阀真空设定Pa</w:t>
                  </w:r>
                </w:p>
              </w:tc>
            </w:tr>
            <w:tr w14:paraId="2F8E896D">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0" w:type="auto"/>
                  <w:vMerge w:val="continue"/>
                  <w:noWrap/>
                  <w:vAlign w:val="center"/>
                </w:tcPr>
                <w:p w14:paraId="5D4B3248">
                  <w:pPr>
                    <w:widowControl/>
                    <w:autoSpaceDE w:val="0"/>
                    <w:autoSpaceDN w:val="0"/>
                    <w:jc w:val="center"/>
                    <w:rPr>
                      <w:rFonts w:hint="eastAsia" w:eastAsia="宋体"/>
                      <w:kern w:val="2"/>
                      <w:sz w:val="21"/>
                      <w:szCs w:val="21"/>
                      <w:highlight w:val="none"/>
                      <w:lang w:val="en-US" w:eastAsia="zh-CN" w:bidi="ar-SA"/>
                    </w:rPr>
                  </w:pPr>
                </w:p>
              </w:tc>
              <w:tc>
                <w:tcPr>
                  <w:tcW w:w="0" w:type="auto"/>
                  <w:noWrap/>
                  <w:vAlign w:val="center"/>
                </w:tcPr>
                <w:p w14:paraId="1B42F99B">
                  <w:pPr>
                    <w:widowControl/>
                    <w:autoSpaceDE w:val="0"/>
                    <w:autoSpaceDN w:val="0"/>
                    <w:jc w:val="center"/>
                    <w:rPr>
                      <w:rFonts w:hint="eastAsia" w:eastAsia="宋体"/>
                      <w:sz w:val="21"/>
                      <w:szCs w:val="21"/>
                      <w:highlight w:val="none"/>
                      <w:lang w:eastAsia="zh-CN"/>
                    </w:rPr>
                  </w:pPr>
                  <w:r>
                    <w:rPr>
                      <w:rFonts w:hint="eastAsia"/>
                      <w:sz w:val="21"/>
                      <w:szCs w:val="21"/>
                      <w:highlight w:val="none"/>
                      <w:lang w:val="en-US" w:eastAsia="zh-CN"/>
                    </w:rPr>
                    <w:t>费托轻油</w:t>
                  </w:r>
                </w:p>
              </w:tc>
              <w:tc>
                <w:tcPr>
                  <w:tcW w:w="0" w:type="auto"/>
                  <w:noWrap/>
                  <w:vAlign w:val="center"/>
                </w:tcPr>
                <w:p w14:paraId="313E8116">
                  <w:pPr>
                    <w:widowControl/>
                    <w:autoSpaceDE w:val="0"/>
                    <w:autoSpaceDN w:val="0"/>
                    <w:jc w:val="center"/>
                    <w:rPr>
                      <w:rFonts w:hint="eastAsia"/>
                      <w:sz w:val="21"/>
                      <w:szCs w:val="21"/>
                      <w:highlight w:val="none"/>
                    </w:rPr>
                  </w:pPr>
                  <w:r>
                    <w:rPr>
                      <w:rFonts w:hint="eastAsia"/>
                      <w:sz w:val="21"/>
                      <w:szCs w:val="21"/>
                      <w:highlight w:val="none"/>
                      <w:lang w:val="en-US" w:eastAsia="zh-CN"/>
                    </w:rPr>
                    <w:t>承压储罐</w:t>
                  </w:r>
                </w:p>
              </w:tc>
              <w:tc>
                <w:tcPr>
                  <w:tcW w:w="0" w:type="auto"/>
                  <w:noWrap/>
                  <w:vAlign w:val="center"/>
                </w:tcPr>
                <w:p w14:paraId="6C08DF75">
                  <w:pPr>
                    <w:widowControl/>
                    <w:autoSpaceDE w:val="0"/>
                    <w:autoSpaceDN w:val="0"/>
                    <w:jc w:val="center"/>
                    <w:rPr>
                      <w:rFonts w:hint="default" w:eastAsia="宋体"/>
                      <w:sz w:val="21"/>
                      <w:szCs w:val="21"/>
                      <w:highlight w:val="none"/>
                      <w:lang w:val="en-US" w:eastAsia="zh-CN"/>
                    </w:rPr>
                  </w:pPr>
                  <w:r>
                    <w:rPr>
                      <w:rFonts w:hint="eastAsia"/>
                      <w:sz w:val="21"/>
                      <w:szCs w:val="21"/>
                      <w:highlight w:val="none"/>
                      <w:lang w:val="en-US" w:eastAsia="zh-CN"/>
                    </w:rPr>
                    <w:t>0.8</w:t>
                  </w:r>
                </w:p>
              </w:tc>
              <w:tc>
                <w:tcPr>
                  <w:tcW w:w="0" w:type="auto"/>
                  <w:noWrap/>
                  <w:vAlign w:val="center"/>
                </w:tcPr>
                <w:p w14:paraId="2E8723D1">
                  <w:pPr>
                    <w:widowControl/>
                    <w:jc w:val="center"/>
                    <w:rPr>
                      <w:rFonts w:hint="eastAsia"/>
                      <w:sz w:val="21"/>
                      <w:szCs w:val="21"/>
                      <w:highlight w:val="none"/>
                      <w:lang w:val="en-US" w:eastAsia="zh-CN"/>
                    </w:rPr>
                  </w:pPr>
                  <w:r>
                    <w:rPr>
                      <w:rFonts w:hint="eastAsia" w:eastAsia="宋体"/>
                      <w:kern w:val="0"/>
                      <w:sz w:val="21"/>
                      <w:szCs w:val="21"/>
                      <w:highlight w:val="none"/>
                      <w:lang w:val="en-US" w:eastAsia="zh-CN"/>
                    </w:rPr>
                    <w:t>36</w:t>
                  </w:r>
                </w:p>
              </w:tc>
              <w:tc>
                <w:tcPr>
                  <w:tcW w:w="0" w:type="auto"/>
                  <w:noWrap/>
                  <w:vAlign w:val="center"/>
                </w:tcPr>
                <w:p w14:paraId="71960238">
                  <w:pPr>
                    <w:widowControl/>
                    <w:autoSpaceDE w:val="0"/>
                    <w:autoSpaceDN w:val="0"/>
                    <w:jc w:val="center"/>
                    <w:rPr>
                      <w:rFonts w:hint="default"/>
                      <w:sz w:val="21"/>
                      <w:szCs w:val="21"/>
                      <w:highlight w:val="none"/>
                      <w:lang w:val="en-US" w:eastAsia="zh-CN"/>
                    </w:rPr>
                  </w:pPr>
                  <w:r>
                    <w:rPr>
                      <w:rFonts w:hint="eastAsia"/>
                      <w:sz w:val="21"/>
                      <w:szCs w:val="21"/>
                      <w:highlight w:val="none"/>
                      <w:lang w:val="en-US" w:eastAsia="zh-CN"/>
                    </w:rPr>
                    <w:t>2000</w:t>
                  </w:r>
                </w:p>
              </w:tc>
              <w:tc>
                <w:tcPr>
                  <w:tcW w:w="0" w:type="auto"/>
                  <w:noWrap/>
                  <w:vAlign w:val="center"/>
                </w:tcPr>
                <w:p w14:paraId="23DCA71A">
                  <w:pPr>
                    <w:widowControl/>
                    <w:autoSpaceDE w:val="0"/>
                    <w:autoSpaceDN w:val="0"/>
                    <w:jc w:val="center"/>
                    <w:rPr>
                      <w:rFonts w:hint="default"/>
                      <w:sz w:val="21"/>
                      <w:szCs w:val="21"/>
                      <w:highlight w:val="none"/>
                      <w:lang w:val="en-US" w:eastAsia="zh-CN"/>
                    </w:rPr>
                  </w:pPr>
                  <w:r>
                    <w:rPr>
                      <w:rFonts w:hint="eastAsia"/>
                      <w:sz w:val="21"/>
                      <w:szCs w:val="21"/>
                      <w:highlight w:val="none"/>
                      <w:lang w:val="en-US" w:eastAsia="zh-CN"/>
                    </w:rPr>
                    <w:t>-300</w:t>
                  </w:r>
                </w:p>
              </w:tc>
            </w:tr>
          </w:tbl>
          <w:p w14:paraId="1749277C">
            <w:pPr>
              <w:adjustRightInd w:val="0"/>
              <w:snapToGrid w:val="0"/>
              <w:spacing w:line="360" w:lineRule="auto"/>
              <w:ind w:firstLine="480"/>
              <w:rPr>
                <w:rFonts w:hint="eastAsia" w:ascii="Times New Roman"/>
                <w:sz w:val="24"/>
                <w:lang w:val="en-US" w:eastAsia="zh-CN"/>
              </w:rPr>
            </w:pPr>
            <w:r>
              <w:rPr>
                <w:rFonts w:hint="eastAsia" w:ascii="Times New Roman"/>
                <w:sz w:val="24"/>
                <w:lang w:val="en-US" w:eastAsia="zh-CN"/>
              </w:rPr>
              <w:t>静置损失公式：</w:t>
            </w:r>
            <w:r>
              <w:rPr>
                <w:rFonts w:hint="eastAsia" w:ascii="Times New Roman"/>
                <w:sz w:val="24"/>
                <w:lang w:val="en-US" w:eastAsia="zh-CN"/>
              </w:rPr>
              <w:drawing>
                <wp:inline distT="0" distB="0" distL="114300" distR="114300">
                  <wp:extent cx="2190750" cy="381000"/>
                  <wp:effectExtent l="0" t="0" r="3810" b="0"/>
                  <wp:docPr id="37" name="图片 37" descr="e1b9564df1fd8ca641300acc1652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1b9564df1fd8ca641300acc16521170"/>
                          <pic:cNvPicPr>
                            <a:picLocks noChangeAspect="1"/>
                          </pic:cNvPicPr>
                        </pic:nvPicPr>
                        <pic:blipFill>
                          <a:blip r:embed="rId23"/>
                          <a:stretch>
                            <a:fillRect/>
                          </a:stretch>
                        </pic:blipFill>
                        <pic:spPr>
                          <a:xfrm>
                            <a:off x="0" y="0"/>
                            <a:ext cx="2190750" cy="381000"/>
                          </a:xfrm>
                          <a:prstGeom prst="rect">
                            <a:avLst/>
                          </a:prstGeom>
                        </pic:spPr>
                      </pic:pic>
                    </a:graphicData>
                  </a:graphic>
                </wp:inline>
              </w:drawing>
            </w:r>
            <w:r>
              <w:rPr>
                <w:rFonts w:hint="eastAsia" w:ascii="Times New Roman"/>
                <w:sz w:val="24"/>
                <w:lang w:val="en-US" w:eastAsia="zh-CN"/>
              </w:rPr>
              <w:t>​</w:t>
            </w:r>
          </w:p>
          <w:p w14:paraId="2072E3B4">
            <w:pPr>
              <w:adjustRightInd w:val="0"/>
              <w:snapToGrid w:val="0"/>
              <w:spacing w:line="360" w:lineRule="auto"/>
              <w:ind w:firstLine="480"/>
              <w:rPr>
                <w:rFonts w:hint="eastAsia" w:ascii="Times New Roman"/>
                <w:sz w:val="24"/>
                <w:lang w:val="en-US" w:eastAsia="zh-CN"/>
              </w:rPr>
            </w:pPr>
            <w:r>
              <w:rPr>
                <w:rFonts w:hint="eastAsia" w:ascii="Times New Roman"/>
                <w:sz w:val="24"/>
                <w:lang w:val="en-US" w:eastAsia="zh-CN"/>
              </w:rPr>
              <w:t>其中：</w:t>
            </w:r>
          </w:p>
          <w:p w14:paraId="0EC81FC5">
            <w:pPr>
              <w:adjustRightInd w:val="0"/>
              <w:snapToGrid w:val="0"/>
              <w:spacing w:line="360" w:lineRule="auto"/>
              <w:ind w:firstLine="480"/>
              <w:rPr>
                <w:rFonts w:hint="eastAsia"/>
                <w:sz w:val="24"/>
                <w:lang w:val="en-US" w:eastAsia="zh-CN"/>
              </w:rPr>
            </w:pPr>
            <w:r>
              <w:rPr>
                <w:rFonts w:hint="eastAsia"/>
                <w:sz w:val="24"/>
                <w:lang w:val="en-US" w:eastAsia="zh-CN"/>
              </w:rPr>
              <w:t>气相空间容积Vv：</w:t>
            </w:r>
          </w:p>
          <w:p w14:paraId="5A7390FE">
            <w:pPr>
              <w:adjustRightInd w:val="0"/>
              <w:snapToGrid w:val="0"/>
              <w:spacing w:line="360" w:lineRule="auto"/>
              <w:ind w:firstLine="480"/>
              <w:jc w:val="center"/>
              <w:rPr>
                <w:rFonts w:hint="default" w:ascii="Times New Roman"/>
                <w:sz w:val="24"/>
                <w:lang w:val="en-US" w:eastAsia="zh-CN"/>
              </w:rPr>
            </w:pPr>
            <w:r>
              <w:rPr>
                <w:rFonts w:hint="default" w:ascii="Times New Roman"/>
                <w:sz w:val="24"/>
                <w:lang w:val="en-US" w:eastAsia="zh-CN"/>
              </w:rPr>
              <w:drawing>
                <wp:inline distT="0" distB="0" distL="114300" distR="114300">
                  <wp:extent cx="2581275" cy="666750"/>
                  <wp:effectExtent l="0" t="0" r="9525" b="3810"/>
                  <wp:docPr id="39" name="图片 39" descr="ab9dd2947af56493eabfafec990ff4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b9dd2947af56493eabfafec990ff4c6"/>
                          <pic:cNvPicPr>
                            <a:picLocks noChangeAspect="1"/>
                          </pic:cNvPicPr>
                        </pic:nvPicPr>
                        <pic:blipFill>
                          <a:blip r:embed="rId24"/>
                          <a:stretch>
                            <a:fillRect/>
                          </a:stretch>
                        </pic:blipFill>
                        <pic:spPr>
                          <a:xfrm>
                            <a:off x="0" y="0"/>
                            <a:ext cx="2581275" cy="666750"/>
                          </a:xfrm>
                          <a:prstGeom prst="rect">
                            <a:avLst/>
                          </a:prstGeom>
                        </pic:spPr>
                      </pic:pic>
                    </a:graphicData>
                  </a:graphic>
                </wp:inline>
              </w:drawing>
            </w:r>
          </w:p>
          <w:p w14:paraId="321222A5">
            <w:pPr>
              <w:adjustRightInd w:val="0"/>
              <w:snapToGrid w:val="0"/>
              <w:spacing w:line="360" w:lineRule="auto"/>
              <w:ind w:firstLine="480"/>
              <w:jc w:val="center"/>
              <w:rPr>
                <w:rFonts w:hint="default" w:ascii="Times New Roman"/>
                <w:sz w:val="24"/>
                <w:lang w:val="en-US" w:eastAsia="zh-CN"/>
              </w:rPr>
            </w:pPr>
          </w:p>
          <w:p w14:paraId="2B15EAD6">
            <w:pPr>
              <w:adjustRightInd w:val="0"/>
              <w:snapToGrid w:val="0"/>
              <w:spacing w:line="360" w:lineRule="auto"/>
              <w:ind w:firstLine="480"/>
              <w:rPr>
                <w:rFonts w:hint="eastAsia" w:ascii="Times New Roman"/>
                <w:sz w:val="24"/>
                <w:lang w:val="en-US" w:eastAsia="zh-CN"/>
              </w:rPr>
            </w:pPr>
            <w:r>
              <w:rPr>
                <w:rFonts w:hint="eastAsia" w:ascii="Times New Roman"/>
                <w:sz w:val="24"/>
                <w:lang w:val="en-US" w:eastAsia="zh-CN"/>
              </w:rPr>
              <w:t>气相密度</w:t>
            </w:r>
            <w:r>
              <w:rPr>
                <w:rFonts w:hint="eastAsia"/>
                <w:sz w:val="24"/>
                <w:lang w:val="en-US" w:eastAsia="zh-CN"/>
              </w:rPr>
              <w:t>W</w:t>
            </w:r>
            <w:r>
              <w:rPr>
                <w:rFonts w:hint="eastAsia" w:ascii="Times New Roman"/>
                <w:sz w:val="24"/>
                <w:vertAlign w:val="subscript"/>
                <w:lang w:val="en-US" w:eastAsia="zh-CN"/>
              </w:rPr>
              <w:t>V</w:t>
            </w:r>
            <w:r>
              <w:rPr>
                <w:rFonts w:hint="eastAsia" w:ascii="Times New Roman"/>
                <w:sz w:val="24"/>
                <w:lang w:val="en-US" w:eastAsia="zh-CN"/>
              </w:rPr>
              <w:t>​：</w:t>
            </w:r>
          </w:p>
          <w:p w14:paraId="21DB99AB">
            <w:pPr>
              <w:adjustRightInd w:val="0"/>
              <w:snapToGrid w:val="0"/>
              <w:spacing w:line="360" w:lineRule="auto"/>
              <w:jc w:val="center"/>
              <w:rPr>
                <w:rFonts w:hint="eastAsia" w:ascii="Times New Roman"/>
                <w:sz w:val="24"/>
                <w:lang w:val="en-US" w:eastAsia="zh-CN"/>
              </w:rPr>
            </w:pPr>
            <w:r>
              <w:rPr>
                <w:rFonts w:hint="eastAsia" w:ascii="Times New Roman"/>
                <w:sz w:val="24"/>
                <w:lang w:val="en-US" w:eastAsia="zh-CN"/>
              </w:rPr>
              <w:t>​</w:t>
            </w:r>
            <w:r>
              <w:rPr>
                <w:rFonts w:hint="eastAsia" w:ascii="Times New Roman"/>
                <w:sz w:val="24"/>
                <w:lang w:val="en-US" w:eastAsia="zh-CN"/>
              </w:rPr>
              <w:drawing>
                <wp:inline distT="0" distB="0" distL="114300" distR="114300">
                  <wp:extent cx="1571625" cy="514350"/>
                  <wp:effectExtent l="0" t="0" r="13335" b="3810"/>
                  <wp:docPr id="40" name="图片 40" descr="c4dd7636cce166906d60cd60a9549b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4dd7636cce166906d60cd60a9549b2b"/>
                          <pic:cNvPicPr>
                            <a:picLocks noChangeAspect="1"/>
                          </pic:cNvPicPr>
                        </pic:nvPicPr>
                        <pic:blipFill>
                          <a:blip r:embed="rId25"/>
                          <a:stretch>
                            <a:fillRect/>
                          </a:stretch>
                        </pic:blipFill>
                        <pic:spPr>
                          <a:xfrm>
                            <a:off x="0" y="0"/>
                            <a:ext cx="1571625" cy="514350"/>
                          </a:xfrm>
                          <a:prstGeom prst="rect">
                            <a:avLst/>
                          </a:prstGeom>
                        </pic:spPr>
                      </pic:pic>
                    </a:graphicData>
                  </a:graphic>
                </wp:inline>
              </w:drawing>
            </w:r>
            <w:r>
              <w:rPr>
                <w:rFonts w:hint="eastAsia" w:ascii="Times New Roman"/>
                <w:sz w:val="24"/>
                <w:lang w:val="en-US" w:eastAsia="zh-CN"/>
              </w:rPr>
              <w:t>​</w:t>
            </w:r>
          </w:p>
          <w:p w14:paraId="4B48F352">
            <w:pPr>
              <w:adjustRightInd w:val="0"/>
              <w:snapToGrid w:val="0"/>
              <w:spacing w:line="360" w:lineRule="auto"/>
              <w:ind w:firstLine="480"/>
              <w:rPr>
                <w:rFonts w:hint="eastAsia" w:ascii="Times New Roman"/>
                <w:sz w:val="24"/>
                <w:lang w:val="en-US" w:eastAsia="zh-CN"/>
              </w:rPr>
            </w:pPr>
            <w:r>
              <w:rPr>
                <w:rFonts w:hint="eastAsia" w:ascii="Times New Roman"/>
                <w:sz w:val="24"/>
                <w:lang w:val="en-US" w:eastAsia="zh-CN"/>
              </w:rPr>
              <w:t>气相空间膨胀因子KE​：</w:t>
            </w:r>
          </w:p>
          <w:p w14:paraId="798363C5">
            <w:pPr>
              <w:adjustRightInd w:val="0"/>
              <w:snapToGrid w:val="0"/>
              <w:spacing w:line="360" w:lineRule="auto"/>
              <w:ind w:firstLine="480"/>
              <w:rPr>
                <w:rFonts w:hint="eastAsia" w:ascii="Times New Roman"/>
                <w:sz w:val="24"/>
                <w:lang w:val="en-US" w:eastAsia="zh-CN"/>
              </w:rPr>
            </w:pPr>
            <w:r>
              <w:rPr>
                <w:rFonts w:hint="eastAsia" w:ascii="Times New Roman"/>
                <w:sz w:val="24"/>
                <w:lang w:val="en-US" w:eastAsia="zh-CN"/>
              </w:rPr>
              <w:drawing>
                <wp:inline distT="0" distB="0" distL="114300" distR="114300">
                  <wp:extent cx="5095875" cy="619125"/>
                  <wp:effectExtent l="0" t="0" r="9525" b="5715"/>
                  <wp:docPr id="41" name="图片 41" descr="38e9e755a7d6cc853a91a47b23a9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8e9e755a7d6cc853a91a47b23a92830"/>
                          <pic:cNvPicPr>
                            <a:picLocks noChangeAspect="1"/>
                          </pic:cNvPicPr>
                        </pic:nvPicPr>
                        <pic:blipFill>
                          <a:blip r:embed="rId26"/>
                          <a:stretch>
                            <a:fillRect/>
                          </a:stretch>
                        </pic:blipFill>
                        <pic:spPr>
                          <a:xfrm>
                            <a:off x="0" y="0"/>
                            <a:ext cx="5095875" cy="619125"/>
                          </a:xfrm>
                          <a:prstGeom prst="rect">
                            <a:avLst/>
                          </a:prstGeom>
                        </pic:spPr>
                      </pic:pic>
                    </a:graphicData>
                  </a:graphic>
                </wp:inline>
              </w:drawing>
            </w:r>
          </w:p>
          <w:p w14:paraId="631AA22A">
            <w:pPr>
              <w:adjustRightInd w:val="0"/>
              <w:snapToGrid w:val="0"/>
              <w:spacing w:line="360" w:lineRule="auto"/>
              <w:ind w:firstLine="480"/>
              <w:rPr>
                <w:rFonts w:hint="eastAsia" w:ascii="Times New Roman"/>
                <w:sz w:val="24"/>
                <w:lang w:val="en-US" w:eastAsia="zh-CN"/>
              </w:rPr>
            </w:pPr>
            <w:r>
              <w:rPr>
                <w:rFonts w:hint="eastAsia" w:ascii="Times New Roman"/>
                <w:sz w:val="24"/>
                <w:lang w:val="en-US" w:eastAsia="zh-CN"/>
              </w:rPr>
              <w:t>排放蒸气饱和因子KS​：</w:t>
            </w:r>
          </w:p>
          <w:p w14:paraId="3A8744BF">
            <w:pPr>
              <w:adjustRightInd w:val="0"/>
              <w:snapToGrid w:val="0"/>
              <w:spacing w:line="360" w:lineRule="auto"/>
              <w:ind w:firstLine="480"/>
              <w:jc w:val="center"/>
              <w:rPr>
                <w:rFonts w:hint="eastAsia" w:ascii="Times New Roman"/>
                <w:sz w:val="24"/>
                <w:lang w:val="en-US" w:eastAsia="zh-CN"/>
              </w:rPr>
            </w:pPr>
            <w:r>
              <w:rPr>
                <w:rFonts w:hint="eastAsia" w:ascii="Times New Roman"/>
                <w:sz w:val="24"/>
                <w:lang w:val="en-US" w:eastAsia="zh-CN"/>
              </w:rPr>
              <w:drawing>
                <wp:inline distT="0" distB="0" distL="114300" distR="114300">
                  <wp:extent cx="1609725" cy="514350"/>
                  <wp:effectExtent l="0" t="0" r="5715" b="3810"/>
                  <wp:docPr id="42" name="图片 42" descr="405e40581ae170390afed8a2e1022b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405e40581ae170390afed8a2e1022b94"/>
                          <pic:cNvPicPr>
                            <a:picLocks noChangeAspect="1"/>
                          </pic:cNvPicPr>
                        </pic:nvPicPr>
                        <pic:blipFill>
                          <a:blip r:embed="rId27"/>
                          <a:stretch>
                            <a:fillRect/>
                          </a:stretch>
                        </pic:blipFill>
                        <pic:spPr>
                          <a:xfrm>
                            <a:off x="0" y="0"/>
                            <a:ext cx="1609725" cy="514350"/>
                          </a:xfrm>
                          <a:prstGeom prst="rect">
                            <a:avLst/>
                          </a:prstGeom>
                        </pic:spPr>
                      </pic:pic>
                    </a:graphicData>
                  </a:graphic>
                </wp:inline>
              </w:drawing>
            </w:r>
          </w:p>
          <w:p w14:paraId="6924214A">
            <w:pPr>
              <w:adjustRightInd w:val="0"/>
              <w:snapToGrid w:val="0"/>
              <w:jc w:val="center"/>
              <w:rPr>
                <w:b/>
                <w:sz w:val="24"/>
                <w:highlight w:val="none"/>
              </w:rPr>
            </w:pPr>
            <w:r>
              <w:rPr>
                <w:b/>
                <w:sz w:val="24"/>
                <w:highlight w:val="none"/>
              </w:rPr>
              <w:t>表</w:t>
            </w:r>
            <w:r>
              <w:rPr>
                <w:rFonts w:hint="eastAsia"/>
                <w:b/>
                <w:sz w:val="24"/>
                <w:highlight w:val="none"/>
                <w:lang w:val="en-US" w:eastAsia="zh-CN"/>
              </w:rPr>
              <w:t>4-3：事故情况下</w:t>
            </w:r>
            <w:r>
              <w:rPr>
                <w:rFonts w:hint="eastAsia"/>
                <w:b/>
                <w:sz w:val="24"/>
                <w:highlight w:val="none"/>
              </w:rPr>
              <w:t>VOCs排放量一览表</w:t>
            </w:r>
          </w:p>
          <w:tbl>
            <w:tblPr>
              <w:tblStyle w:val="41"/>
              <w:tblW w:w="4998" w:type="pct"/>
              <w:jc w:val="center"/>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autofit"/>
              <w:tblCellMar>
                <w:top w:w="0" w:type="dxa"/>
                <w:left w:w="108" w:type="dxa"/>
                <w:bottom w:w="0" w:type="dxa"/>
                <w:right w:w="108" w:type="dxa"/>
              </w:tblCellMar>
            </w:tblPr>
            <w:tblGrid>
              <w:gridCol w:w="1476"/>
              <w:gridCol w:w="764"/>
              <w:gridCol w:w="1576"/>
              <w:gridCol w:w="1576"/>
              <w:gridCol w:w="1264"/>
              <w:gridCol w:w="1828"/>
            </w:tblGrid>
            <w:tr w14:paraId="62F5FA98">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765" w:type="pct"/>
                  <w:vMerge w:val="restart"/>
                  <w:noWrap/>
                  <w:vAlign w:val="center"/>
                </w:tcPr>
                <w:p w14:paraId="505D2D7A">
                  <w:pPr>
                    <w:widowControl/>
                    <w:jc w:val="center"/>
                    <w:rPr>
                      <w:kern w:val="0"/>
                      <w:sz w:val="21"/>
                      <w:szCs w:val="21"/>
                      <w:highlight w:val="none"/>
                    </w:rPr>
                  </w:pPr>
                  <w:r>
                    <w:rPr>
                      <w:rFonts w:hint="eastAsia"/>
                      <w:kern w:val="0"/>
                      <w:sz w:val="21"/>
                      <w:szCs w:val="21"/>
                      <w:highlight w:val="none"/>
                    </w:rPr>
                    <w:t>物料名称</w:t>
                  </w:r>
                </w:p>
              </w:tc>
              <w:tc>
                <w:tcPr>
                  <w:tcW w:w="471" w:type="pct"/>
                  <w:vMerge w:val="restart"/>
                  <w:noWrap/>
                  <w:vAlign w:val="center"/>
                </w:tcPr>
                <w:p w14:paraId="4AB9ECC9">
                  <w:pPr>
                    <w:widowControl/>
                    <w:jc w:val="center"/>
                    <w:rPr>
                      <w:kern w:val="0"/>
                      <w:sz w:val="21"/>
                      <w:szCs w:val="21"/>
                      <w:highlight w:val="none"/>
                    </w:rPr>
                  </w:pPr>
                  <w:r>
                    <w:rPr>
                      <w:rFonts w:hint="eastAsia"/>
                      <w:kern w:val="0"/>
                      <w:sz w:val="21"/>
                      <w:szCs w:val="21"/>
                      <w:highlight w:val="none"/>
                    </w:rPr>
                    <w:t>密度</w:t>
                  </w:r>
                </w:p>
              </w:tc>
              <w:tc>
                <w:tcPr>
                  <w:tcW w:w="949" w:type="pct"/>
                  <w:vMerge w:val="restart"/>
                  <w:noWrap/>
                  <w:vAlign w:val="center"/>
                </w:tcPr>
                <w:p w14:paraId="330452D7">
                  <w:pPr>
                    <w:widowControl/>
                    <w:jc w:val="center"/>
                    <w:rPr>
                      <w:kern w:val="0"/>
                      <w:sz w:val="21"/>
                      <w:szCs w:val="21"/>
                      <w:highlight w:val="none"/>
                    </w:rPr>
                  </w:pPr>
                  <w:r>
                    <w:rPr>
                      <w:rFonts w:hint="eastAsia"/>
                      <w:kern w:val="0"/>
                      <w:sz w:val="21"/>
                      <w:szCs w:val="21"/>
                      <w:highlight w:val="none"/>
                    </w:rPr>
                    <w:t>工作损耗t/a</w:t>
                  </w:r>
                </w:p>
              </w:tc>
              <w:tc>
                <w:tcPr>
                  <w:tcW w:w="949" w:type="pct"/>
                  <w:vMerge w:val="restart"/>
                  <w:noWrap/>
                  <w:vAlign w:val="center"/>
                </w:tcPr>
                <w:p w14:paraId="1B8EE3D5">
                  <w:pPr>
                    <w:widowControl/>
                    <w:jc w:val="center"/>
                    <w:rPr>
                      <w:kern w:val="0"/>
                      <w:sz w:val="21"/>
                      <w:szCs w:val="21"/>
                      <w:highlight w:val="none"/>
                    </w:rPr>
                  </w:pPr>
                  <w:r>
                    <w:rPr>
                      <w:rFonts w:hint="eastAsia"/>
                      <w:kern w:val="0"/>
                      <w:sz w:val="21"/>
                      <w:szCs w:val="21"/>
                      <w:highlight w:val="none"/>
                    </w:rPr>
                    <w:t>年损耗量t/a</w:t>
                  </w:r>
                </w:p>
              </w:tc>
              <w:tc>
                <w:tcPr>
                  <w:tcW w:w="765" w:type="pct"/>
                  <w:vMerge w:val="restart"/>
                  <w:noWrap/>
                  <w:vAlign w:val="center"/>
                </w:tcPr>
                <w:p w14:paraId="2BB7371C">
                  <w:pPr>
                    <w:widowControl/>
                    <w:jc w:val="center"/>
                    <w:rPr>
                      <w:kern w:val="0"/>
                      <w:sz w:val="21"/>
                      <w:szCs w:val="21"/>
                      <w:highlight w:val="none"/>
                    </w:rPr>
                  </w:pPr>
                  <w:r>
                    <w:rPr>
                      <w:rFonts w:hint="eastAsia"/>
                      <w:kern w:val="0"/>
                      <w:sz w:val="21"/>
                      <w:szCs w:val="21"/>
                      <w:highlight w:val="none"/>
                    </w:rPr>
                    <w:t>储罐个数</w:t>
                  </w:r>
                </w:p>
              </w:tc>
              <w:tc>
                <w:tcPr>
                  <w:tcW w:w="1097" w:type="pct"/>
                  <w:vMerge w:val="restart"/>
                  <w:noWrap/>
                  <w:vAlign w:val="center"/>
                </w:tcPr>
                <w:p w14:paraId="187FAEE0">
                  <w:pPr>
                    <w:widowControl/>
                    <w:jc w:val="center"/>
                    <w:rPr>
                      <w:kern w:val="0"/>
                      <w:sz w:val="21"/>
                      <w:szCs w:val="21"/>
                      <w:highlight w:val="none"/>
                    </w:rPr>
                  </w:pPr>
                  <w:r>
                    <w:rPr>
                      <w:rFonts w:hint="eastAsia"/>
                      <w:kern w:val="0"/>
                      <w:sz w:val="21"/>
                      <w:szCs w:val="21"/>
                      <w:highlight w:val="none"/>
                    </w:rPr>
                    <w:t>年</w:t>
                  </w:r>
                  <w:r>
                    <w:rPr>
                      <w:rFonts w:hint="eastAsia"/>
                      <w:kern w:val="0"/>
                      <w:sz w:val="21"/>
                      <w:szCs w:val="21"/>
                      <w:highlight w:val="none"/>
                      <w:lang w:val="en-US" w:eastAsia="zh-CN"/>
                    </w:rPr>
                    <w:t>排放</w:t>
                  </w:r>
                  <w:r>
                    <w:rPr>
                      <w:rFonts w:hint="eastAsia"/>
                      <w:kern w:val="0"/>
                      <w:sz w:val="21"/>
                      <w:szCs w:val="21"/>
                      <w:highlight w:val="none"/>
                    </w:rPr>
                    <w:t>总量t/a</w:t>
                  </w:r>
                </w:p>
              </w:tc>
            </w:tr>
            <w:tr w14:paraId="19ADCBA7">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12" w:hRule="atLeast"/>
                <w:jc w:val="center"/>
              </w:trPr>
              <w:tc>
                <w:tcPr>
                  <w:tcW w:w="765" w:type="pct"/>
                  <w:vMerge w:val="continue"/>
                  <w:noWrap/>
                  <w:vAlign w:val="center"/>
                </w:tcPr>
                <w:p w14:paraId="4C3D5F05">
                  <w:pPr>
                    <w:widowControl/>
                    <w:jc w:val="center"/>
                    <w:rPr>
                      <w:sz w:val="21"/>
                      <w:szCs w:val="21"/>
                      <w:highlight w:val="none"/>
                    </w:rPr>
                  </w:pPr>
                </w:p>
              </w:tc>
              <w:tc>
                <w:tcPr>
                  <w:tcW w:w="471" w:type="pct"/>
                  <w:vMerge w:val="continue"/>
                  <w:noWrap/>
                  <w:vAlign w:val="center"/>
                </w:tcPr>
                <w:p w14:paraId="5C544ED9">
                  <w:pPr>
                    <w:widowControl/>
                    <w:jc w:val="center"/>
                    <w:rPr>
                      <w:sz w:val="21"/>
                      <w:szCs w:val="21"/>
                      <w:highlight w:val="none"/>
                    </w:rPr>
                  </w:pPr>
                </w:p>
              </w:tc>
              <w:tc>
                <w:tcPr>
                  <w:tcW w:w="949" w:type="pct"/>
                  <w:vMerge w:val="continue"/>
                  <w:noWrap/>
                  <w:vAlign w:val="center"/>
                </w:tcPr>
                <w:p w14:paraId="3344DFDF">
                  <w:pPr>
                    <w:widowControl/>
                    <w:jc w:val="center"/>
                    <w:rPr>
                      <w:rFonts w:hint="eastAsia"/>
                      <w:kern w:val="0"/>
                      <w:sz w:val="21"/>
                      <w:szCs w:val="21"/>
                      <w:highlight w:val="none"/>
                    </w:rPr>
                  </w:pPr>
                </w:p>
              </w:tc>
              <w:tc>
                <w:tcPr>
                  <w:tcW w:w="949" w:type="pct"/>
                  <w:vMerge w:val="continue"/>
                  <w:noWrap/>
                  <w:vAlign w:val="center"/>
                </w:tcPr>
                <w:p w14:paraId="5537C394">
                  <w:pPr>
                    <w:widowControl/>
                    <w:jc w:val="center"/>
                    <w:rPr>
                      <w:rFonts w:hint="eastAsia"/>
                      <w:kern w:val="0"/>
                      <w:sz w:val="21"/>
                      <w:szCs w:val="21"/>
                      <w:highlight w:val="none"/>
                    </w:rPr>
                  </w:pPr>
                </w:p>
              </w:tc>
              <w:tc>
                <w:tcPr>
                  <w:tcW w:w="765" w:type="pct"/>
                  <w:vMerge w:val="continue"/>
                  <w:noWrap/>
                  <w:vAlign w:val="center"/>
                </w:tcPr>
                <w:p w14:paraId="541C7977">
                  <w:pPr>
                    <w:widowControl/>
                    <w:jc w:val="center"/>
                    <w:rPr>
                      <w:rFonts w:hint="eastAsia"/>
                      <w:kern w:val="0"/>
                      <w:sz w:val="21"/>
                      <w:szCs w:val="21"/>
                      <w:highlight w:val="none"/>
                    </w:rPr>
                  </w:pPr>
                </w:p>
              </w:tc>
              <w:tc>
                <w:tcPr>
                  <w:tcW w:w="1097" w:type="pct"/>
                  <w:vMerge w:val="continue"/>
                  <w:noWrap/>
                  <w:vAlign w:val="center"/>
                </w:tcPr>
                <w:p w14:paraId="3F37EE76">
                  <w:pPr>
                    <w:widowControl/>
                    <w:jc w:val="center"/>
                    <w:rPr>
                      <w:rFonts w:hint="eastAsia"/>
                      <w:kern w:val="0"/>
                      <w:sz w:val="21"/>
                      <w:szCs w:val="21"/>
                      <w:highlight w:val="none"/>
                    </w:rPr>
                  </w:pPr>
                </w:p>
              </w:tc>
            </w:tr>
            <w:tr w14:paraId="1502C828">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765" w:type="pct"/>
                  <w:noWrap/>
                  <w:vAlign w:val="center"/>
                </w:tcPr>
                <w:p w14:paraId="40D41E5B">
                  <w:pPr>
                    <w:widowControl/>
                    <w:autoSpaceDE w:val="0"/>
                    <w:autoSpaceDN w:val="0"/>
                    <w:jc w:val="center"/>
                    <w:rPr>
                      <w:rFonts w:hint="eastAsia" w:eastAsia="宋体"/>
                      <w:kern w:val="2"/>
                      <w:sz w:val="21"/>
                      <w:szCs w:val="21"/>
                      <w:highlight w:val="none"/>
                      <w:lang w:val="en-US" w:eastAsia="zh-CN" w:bidi="ar-SA"/>
                    </w:rPr>
                  </w:pPr>
                  <w:r>
                    <w:rPr>
                      <w:rFonts w:hint="eastAsia"/>
                      <w:sz w:val="21"/>
                      <w:szCs w:val="21"/>
                      <w:highlight w:val="none"/>
                      <w:lang w:val="en-US" w:eastAsia="zh-CN"/>
                    </w:rPr>
                    <w:t>原料油缓冲罐</w:t>
                  </w:r>
                </w:p>
              </w:tc>
              <w:tc>
                <w:tcPr>
                  <w:tcW w:w="471" w:type="pct"/>
                  <w:noWrap/>
                  <w:vAlign w:val="center"/>
                </w:tcPr>
                <w:p w14:paraId="3BC6F531">
                  <w:pPr>
                    <w:widowControl/>
                    <w:autoSpaceDE w:val="0"/>
                    <w:autoSpaceDN w:val="0"/>
                    <w:jc w:val="center"/>
                    <w:rPr>
                      <w:rFonts w:hint="default" w:eastAsia="宋体"/>
                      <w:kern w:val="2"/>
                      <w:sz w:val="21"/>
                      <w:szCs w:val="21"/>
                      <w:highlight w:val="none"/>
                      <w:lang w:val="en-US" w:eastAsia="zh-CN" w:bidi="ar-SA"/>
                    </w:rPr>
                  </w:pPr>
                  <w:r>
                    <w:rPr>
                      <w:rFonts w:hint="eastAsia"/>
                      <w:sz w:val="21"/>
                      <w:szCs w:val="21"/>
                      <w:highlight w:val="none"/>
                      <w:lang w:val="en-US" w:eastAsia="zh-CN"/>
                    </w:rPr>
                    <w:t>0.8</w:t>
                  </w:r>
                </w:p>
              </w:tc>
              <w:tc>
                <w:tcPr>
                  <w:tcW w:w="949" w:type="pct"/>
                  <w:noWrap/>
                  <w:vAlign w:val="center"/>
                </w:tcPr>
                <w:p w14:paraId="6FC3BEC5">
                  <w:pPr>
                    <w:autoSpaceDE w:val="0"/>
                    <w:autoSpaceDN w:val="0"/>
                    <w:spacing w:line="240" w:lineRule="exact"/>
                    <w:jc w:val="center"/>
                    <w:rPr>
                      <w:rFonts w:hint="default" w:eastAsia="宋体"/>
                      <w:sz w:val="21"/>
                      <w:szCs w:val="21"/>
                      <w:highlight w:val="none"/>
                      <w:lang w:val="en-US" w:eastAsia="zh-CN"/>
                    </w:rPr>
                  </w:pPr>
                  <w:r>
                    <w:rPr>
                      <w:rFonts w:hint="eastAsia" w:eastAsia="宋体"/>
                      <w:sz w:val="21"/>
                      <w:szCs w:val="21"/>
                      <w:highlight w:val="none"/>
                      <w:lang w:val="en-US" w:eastAsia="zh-CN"/>
                    </w:rPr>
                    <w:t>/</w:t>
                  </w:r>
                </w:p>
              </w:tc>
              <w:tc>
                <w:tcPr>
                  <w:tcW w:w="949" w:type="pct"/>
                  <w:noWrap/>
                  <w:vAlign w:val="center"/>
                </w:tcPr>
                <w:p w14:paraId="02F88C90">
                  <w:pPr>
                    <w:widowControl/>
                    <w:jc w:val="center"/>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0.65</w:t>
                  </w:r>
                </w:p>
              </w:tc>
              <w:tc>
                <w:tcPr>
                  <w:tcW w:w="765" w:type="pct"/>
                  <w:noWrap/>
                  <w:vAlign w:val="center"/>
                </w:tcPr>
                <w:p w14:paraId="00EE9285">
                  <w:pPr>
                    <w:widowControl/>
                    <w:jc w:val="center"/>
                    <w:rPr>
                      <w:rFonts w:hint="eastAsia" w:eastAsia="宋体"/>
                      <w:kern w:val="0"/>
                      <w:sz w:val="21"/>
                      <w:szCs w:val="21"/>
                      <w:highlight w:val="none"/>
                      <w:lang w:val="en-US" w:eastAsia="zh-CN"/>
                    </w:rPr>
                  </w:pPr>
                  <w:r>
                    <w:rPr>
                      <w:rFonts w:hint="eastAsia"/>
                      <w:kern w:val="0"/>
                      <w:sz w:val="21"/>
                      <w:szCs w:val="21"/>
                      <w:highlight w:val="none"/>
                      <w:lang w:val="en-US" w:eastAsia="zh-CN"/>
                    </w:rPr>
                    <w:t>1</w:t>
                  </w:r>
                </w:p>
              </w:tc>
              <w:tc>
                <w:tcPr>
                  <w:tcW w:w="1097" w:type="pct"/>
                  <w:noWrap/>
                  <w:vAlign w:val="center"/>
                </w:tcPr>
                <w:p w14:paraId="11FEDC2D">
                  <w:pPr>
                    <w:widowControl/>
                    <w:jc w:val="center"/>
                    <w:rPr>
                      <w:rFonts w:hint="default" w:ascii="Times New Roman" w:hAnsi="Times New Roman" w:eastAsia="宋体" w:cs="Times New Roman"/>
                      <w:kern w:val="0"/>
                      <w:sz w:val="21"/>
                      <w:szCs w:val="21"/>
                      <w:highlight w:val="none"/>
                      <w:lang w:val="en-US" w:eastAsia="zh-CN"/>
                    </w:rPr>
                  </w:pPr>
                  <w:r>
                    <w:rPr>
                      <w:rFonts w:hint="eastAsia" w:ascii="Times New Roman" w:hAnsi="Times New Roman" w:eastAsia="宋体" w:cs="Times New Roman"/>
                      <w:kern w:val="0"/>
                      <w:sz w:val="21"/>
                      <w:szCs w:val="21"/>
                      <w:highlight w:val="none"/>
                      <w:lang w:val="en-US" w:eastAsia="zh-CN"/>
                    </w:rPr>
                    <w:t>0.65</w:t>
                  </w:r>
                </w:p>
              </w:tc>
            </w:tr>
          </w:tbl>
          <w:p w14:paraId="2B3B549D">
            <w:pPr>
              <w:adjustRightInd w:val="0"/>
              <w:snapToGrid w:val="0"/>
              <w:spacing w:line="360" w:lineRule="auto"/>
              <w:ind w:firstLine="480"/>
              <w:rPr>
                <w:rFonts w:hint="eastAsia"/>
                <w:sz w:val="24"/>
                <w:lang w:val="en-US" w:eastAsia="zh-CN"/>
              </w:rPr>
            </w:pPr>
            <w:r>
              <w:rPr>
                <w:rFonts w:hint="eastAsia"/>
                <w:sz w:val="24"/>
                <w:lang w:val="en-US" w:eastAsia="zh-CN"/>
              </w:rPr>
              <w:t>（3）装置区无组织废气</w:t>
            </w:r>
          </w:p>
          <w:p w14:paraId="45E9BF60">
            <w:pPr>
              <w:adjustRightInd w:val="0"/>
              <w:snapToGrid w:val="0"/>
              <w:spacing w:line="360" w:lineRule="auto"/>
              <w:ind w:firstLine="480" w:firstLineChars="200"/>
              <w:rPr>
                <w:rFonts w:hint="eastAsia"/>
                <w:bCs/>
                <w:sz w:val="24"/>
                <w:highlight w:val="none"/>
              </w:rPr>
            </w:pPr>
            <w:r>
              <w:rPr>
                <w:rFonts w:hint="eastAsia"/>
                <w:bCs/>
                <w:sz w:val="24"/>
                <w:highlight w:val="none"/>
              </w:rPr>
              <w:t>装置的无组织排放主要来自设备动静密封点泄漏，动静密封点主要包括涉VOCs流经或接触的设备或管道，主要包括泵、阀门、泄压设备、取样连接系统、开口阀或开口管线、法兰、连接件和其</w:t>
            </w:r>
            <w:r>
              <w:rPr>
                <w:rFonts w:hint="eastAsia"/>
                <w:bCs/>
                <w:sz w:val="24"/>
                <w:highlight w:val="none"/>
                <w:lang w:eastAsia="zh-CN"/>
              </w:rPr>
              <w:t>他</w:t>
            </w:r>
            <w:r>
              <w:rPr>
                <w:rFonts w:hint="eastAsia"/>
                <w:bCs/>
                <w:sz w:val="24"/>
                <w:highlight w:val="none"/>
              </w:rPr>
              <w:t>密封点等</w:t>
            </w:r>
            <w:r>
              <w:rPr>
                <w:rFonts w:hint="eastAsia"/>
                <w:bCs/>
                <w:sz w:val="24"/>
                <w:highlight w:val="none"/>
                <w:lang w:eastAsia="zh-CN"/>
              </w:rPr>
              <w:t>，</w:t>
            </w:r>
            <w:r>
              <w:rPr>
                <w:rFonts w:hint="eastAsia"/>
                <w:bCs/>
                <w:sz w:val="24"/>
                <w:highlight w:val="none"/>
              </w:rPr>
              <w:t>主要污染物为非甲烷总烃。按照《排污许可证申请与核发技术规范-</w:t>
            </w:r>
            <w:r>
              <w:rPr>
                <w:rFonts w:hint="eastAsia"/>
                <w:bCs/>
                <w:sz w:val="24"/>
                <w:highlight w:val="none"/>
                <w:lang w:val="en-US" w:eastAsia="zh-CN"/>
              </w:rPr>
              <w:t>石</w:t>
            </w:r>
            <w:r>
              <w:rPr>
                <w:rFonts w:hint="eastAsia"/>
                <w:bCs/>
                <w:sz w:val="24"/>
                <w:szCs w:val="28"/>
                <w:highlight w:val="none"/>
                <w:lang w:val="en-US" w:eastAsia="zh-CN"/>
              </w:rPr>
              <w:t>化工业</w:t>
            </w:r>
            <w:r>
              <w:rPr>
                <w:rFonts w:hint="eastAsia"/>
                <w:bCs/>
                <w:sz w:val="24"/>
                <w:highlight w:val="none"/>
              </w:rPr>
              <w:t>》（HJ853-2017）中5.2.3.1.2进行计算</w:t>
            </w:r>
            <w:r>
              <w:rPr>
                <w:bCs/>
                <w:sz w:val="24"/>
                <w:highlight w:val="none"/>
              </w:rPr>
              <w:t>。</w:t>
            </w:r>
          </w:p>
          <w:p w14:paraId="44CCD87C">
            <w:pPr>
              <w:adjustRightInd w:val="0"/>
              <w:snapToGrid w:val="0"/>
              <w:jc w:val="center"/>
              <w:rPr>
                <w:rFonts w:hint="default" w:eastAsia="宋体"/>
                <w:b/>
                <w:sz w:val="24"/>
                <w:highlight w:val="none"/>
                <w:lang w:val="en-US" w:eastAsia="zh-CN"/>
              </w:rPr>
            </w:pPr>
            <m:oMathPara>
              <m:oMath>
                <m:sSub>
                  <m:sSubPr>
                    <m:ctrlPr>
                      <w:rPr>
                        <w:rFonts w:hint="default" w:ascii="Cambria Math" w:hAnsi="Cambria Math"/>
                        <w:i/>
                        <w:sz w:val="24"/>
                      </w:rPr>
                    </m:ctrlPr>
                  </m:sSubPr>
                  <m:e>
                    <m:r>
                      <m:rPr/>
                      <w:rPr>
                        <w:rFonts w:hint="default" w:ascii="Cambria Math" w:hAnsi="Cambria Math"/>
                        <w:sz w:val="24"/>
                        <w:lang w:val="en-US" w:eastAsia="zh-CN"/>
                      </w:rPr>
                      <m:t>E</m:t>
                    </m:r>
                    <m:ctrlPr>
                      <w:rPr>
                        <w:rFonts w:hint="default" w:ascii="Cambria Math" w:hAnsi="Cambria Math"/>
                        <w:i/>
                        <w:sz w:val="24"/>
                      </w:rPr>
                    </m:ctrlPr>
                  </m:e>
                  <m:sub>
                    <m:r>
                      <m:rPr/>
                      <w:rPr>
                        <w:rFonts w:hint="eastAsia" w:ascii="Cambria Math" w:hAnsi="Cambria Math"/>
                        <w:sz w:val="24"/>
                        <w:lang w:val="en-US" w:eastAsia="zh-CN"/>
                      </w:rPr>
                      <m:t>设备</m:t>
                    </m:r>
                    <m:ctrlPr>
                      <w:rPr>
                        <w:rFonts w:hint="default" w:ascii="Cambria Math" w:hAnsi="Cambria Math"/>
                        <w:i/>
                        <w:sz w:val="24"/>
                      </w:rPr>
                    </m:ctrlPr>
                  </m:sub>
                </m:sSub>
                <m:r>
                  <m:rPr/>
                  <w:rPr>
                    <w:rFonts w:hint="default" w:ascii="Cambria Math" w:hAnsi="Cambria Math"/>
                    <w:sz w:val="24"/>
                    <w:lang w:val="en-US" w:eastAsia="zh-CN"/>
                  </w:rPr>
                  <m:t>=0.003</m:t>
                </m:r>
                <m:r>
                  <m:rPr/>
                  <w:rPr>
                    <w:rFonts w:hint="default" w:ascii="Cambria Math" w:hAnsi="Cambria Math" w:cs="Cambria Math"/>
                    <w:sz w:val="24"/>
                    <w:lang w:val="en-US" w:eastAsia="zh-CN"/>
                  </w:rPr>
                  <m:t>×</m:t>
                </m:r>
                <m:nary>
                  <m:naryPr>
                    <m:chr m:val="∑"/>
                    <m:limLoc m:val="undOvr"/>
                    <m:ctrlPr>
                      <w:rPr>
                        <w:rFonts w:hint="default" w:ascii="Cambria Math" w:hAnsi="Cambria Math" w:cs="Cambria Math"/>
                        <w:i/>
                        <w:sz w:val="24"/>
                        <w:lang w:val="en-US" w:eastAsia="zh-CN"/>
                      </w:rPr>
                    </m:ctrlPr>
                  </m:naryPr>
                  <m:sub>
                    <m:r>
                      <m:rPr/>
                      <w:rPr>
                        <w:rFonts w:hint="default" w:ascii="Cambria Math" w:hAnsi="Cambria Math" w:cs="Cambria Math"/>
                        <w:sz w:val="24"/>
                        <w:lang w:val="en-US" w:eastAsia="zh-CN"/>
                      </w:rPr>
                      <m:t>i=1</m:t>
                    </m:r>
                    <m:ctrlPr>
                      <w:rPr>
                        <w:rFonts w:hint="default" w:ascii="Cambria Math" w:hAnsi="Cambria Math" w:cs="Cambria Math"/>
                        <w:i/>
                        <w:sz w:val="24"/>
                        <w:lang w:val="en-US" w:eastAsia="zh-CN"/>
                      </w:rPr>
                    </m:ctrlPr>
                  </m:sub>
                  <m:sup>
                    <m:r>
                      <m:rPr/>
                      <w:rPr>
                        <w:rFonts w:hint="default" w:ascii="Cambria Math" w:hAnsi="Cambria Math" w:cs="Cambria Math"/>
                        <w:sz w:val="24"/>
                        <w:lang w:val="en-US" w:eastAsia="zh-CN"/>
                      </w:rPr>
                      <m:t>n</m:t>
                    </m:r>
                    <m:ctrlPr>
                      <w:rPr>
                        <w:rFonts w:hint="default" w:ascii="Cambria Math" w:hAnsi="Cambria Math" w:cs="Cambria Math"/>
                        <w:i/>
                        <w:sz w:val="24"/>
                        <w:lang w:val="en-US" w:eastAsia="zh-CN"/>
                      </w:rPr>
                    </m:ctrlPr>
                  </m:sup>
                  <m:e>
                    <m:d>
                      <m:dPr>
                        <m:ctrlPr>
                          <w:rPr>
                            <w:rFonts w:hint="default" w:ascii="Cambria Math" w:hAnsi="Cambria Math" w:cs="Cambria Math"/>
                            <w:i/>
                            <w:sz w:val="24"/>
                            <w:lang w:val="en-US" w:eastAsia="zh-CN"/>
                          </w:rPr>
                        </m:ctrlPr>
                      </m:dPr>
                      <m:e>
                        <m:sSub>
                          <m:sSubPr>
                            <m:ctrlPr>
                              <w:rPr>
                                <w:rFonts w:hint="default" w:ascii="Cambria Math" w:hAnsi="Cambria Math" w:cs="Cambria Math"/>
                                <w:i/>
                                <w:sz w:val="24"/>
                                <w:lang w:val="en-US" w:eastAsia="zh-CN"/>
                              </w:rPr>
                            </m:ctrlPr>
                          </m:sSubPr>
                          <m:e>
                            <m:r>
                              <m:rPr/>
                              <w:rPr>
                                <w:rFonts w:hint="default" w:ascii="Cambria Math" w:hAnsi="Cambria Math" w:cs="Cambria Math"/>
                                <w:sz w:val="24"/>
                                <w:lang w:val="en-US" w:eastAsia="zh-CN"/>
                              </w:rPr>
                              <m:t>e</m:t>
                            </m:r>
                            <m:ctrlPr>
                              <w:rPr>
                                <w:rFonts w:hint="default" w:ascii="Cambria Math" w:hAnsi="Cambria Math" w:cs="Cambria Math"/>
                                <w:i/>
                                <w:sz w:val="24"/>
                                <w:lang w:val="en-US" w:eastAsia="zh-CN"/>
                              </w:rPr>
                            </m:ctrlPr>
                          </m:e>
                          <m:sub>
                            <m:r>
                              <m:rPr/>
                              <w:rPr>
                                <w:rFonts w:hint="default" w:ascii="Cambria Math" w:hAnsi="Cambria Math" w:cs="Cambria Math"/>
                                <w:sz w:val="24"/>
                                <w:lang w:val="en-US" w:eastAsia="zh-CN"/>
                              </w:rPr>
                              <m:t>TOC,i</m:t>
                            </m:r>
                            <m:ctrlPr>
                              <w:rPr>
                                <w:rFonts w:hint="default" w:ascii="Cambria Math" w:hAnsi="Cambria Math" w:cs="Cambria Math"/>
                                <w:i/>
                                <w:sz w:val="24"/>
                                <w:lang w:val="en-US" w:eastAsia="zh-CN"/>
                              </w:rPr>
                            </m:ctrlPr>
                          </m:sub>
                        </m:sSub>
                        <m:r>
                          <m:rPr/>
                          <w:rPr>
                            <w:rFonts w:hint="default" w:ascii="Cambria Math" w:hAnsi="Cambria Math" w:cs="Cambria Math"/>
                            <w:sz w:val="24"/>
                            <w:lang w:val="en-US"/>
                          </w:rPr>
                          <m:t>×</m:t>
                        </m:r>
                        <m:f>
                          <m:fPr>
                            <m:ctrlPr>
                              <w:rPr>
                                <w:rFonts w:hint="default" w:ascii="Cambria Math" w:hAnsi="Cambria Math" w:cs="Cambria Math"/>
                                <w:i/>
                                <w:sz w:val="24"/>
                                <w:lang w:val="en-US"/>
                              </w:rPr>
                            </m:ctrlPr>
                          </m:fPr>
                          <m:num>
                            <m:sSub>
                              <m:sSubPr>
                                <m:ctrlPr>
                                  <w:rPr>
                                    <w:rFonts w:hint="default" w:ascii="Cambria Math" w:hAnsi="Cambria Math" w:cs="Cambria Math"/>
                                    <w:i/>
                                    <w:sz w:val="24"/>
                                    <w:lang w:val="en-US"/>
                                  </w:rPr>
                                </m:ctrlPr>
                              </m:sSubPr>
                              <m:e>
                                <m:r>
                                  <m:rPr/>
                                  <w:rPr>
                                    <w:rFonts w:hint="default" w:ascii="Cambria Math" w:hAnsi="Cambria Math" w:cs="Cambria Math"/>
                                    <w:sz w:val="24"/>
                                    <w:lang w:val="en-US" w:eastAsia="zh-CN"/>
                                  </w:rPr>
                                  <m:t>WF</m:t>
                                </m:r>
                                <m:ctrlPr>
                                  <w:rPr>
                                    <w:rFonts w:hint="default" w:ascii="Cambria Math" w:hAnsi="Cambria Math" w:cs="Cambria Math"/>
                                    <w:i/>
                                    <w:sz w:val="24"/>
                                    <w:lang w:val="en-US"/>
                                  </w:rPr>
                                </m:ctrlPr>
                              </m:e>
                              <m:sub>
                                <m:r>
                                  <m:rPr/>
                                  <w:rPr>
                                    <w:rFonts w:hint="default" w:ascii="Cambria Math" w:hAnsi="Cambria Math" w:cs="Cambria Math"/>
                                    <w:sz w:val="24"/>
                                    <w:lang w:val="en-US" w:eastAsia="zh-CN"/>
                                  </w:rPr>
                                  <m:t>voc,i</m:t>
                                </m:r>
                                <m:ctrlPr>
                                  <w:rPr>
                                    <w:rFonts w:hint="default" w:ascii="Cambria Math" w:hAnsi="Cambria Math" w:cs="Cambria Math"/>
                                    <w:i/>
                                    <w:sz w:val="24"/>
                                    <w:lang w:val="en-US"/>
                                  </w:rPr>
                                </m:ctrlPr>
                              </m:sub>
                            </m:sSub>
                            <m:ctrlPr>
                              <w:rPr>
                                <w:rFonts w:hint="default" w:ascii="Cambria Math" w:hAnsi="Cambria Math" w:cs="Cambria Math"/>
                                <w:i/>
                                <w:sz w:val="24"/>
                                <w:lang w:val="en-US"/>
                              </w:rPr>
                            </m:ctrlPr>
                          </m:num>
                          <m:den>
                            <m:sSub>
                              <m:sSubPr>
                                <m:ctrlPr>
                                  <w:rPr>
                                    <w:rFonts w:hint="default" w:ascii="Cambria Math" w:hAnsi="Cambria Math" w:cs="Cambria Math"/>
                                    <w:i/>
                                    <w:sz w:val="24"/>
                                    <w:lang w:val="en-US"/>
                                  </w:rPr>
                                </m:ctrlPr>
                              </m:sSubPr>
                              <m:e>
                                <m:r>
                                  <m:rPr/>
                                  <w:rPr>
                                    <w:rFonts w:hint="default" w:ascii="Cambria Math" w:hAnsi="Cambria Math" w:cs="Cambria Math"/>
                                    <w:sz w:val="24"/>
                                    <w:lang w:val="en-US" w:eastAsia="zh-CN"/>
                                  </w:rPr>
                                  <m:t>WF</m:t>
                                </m:r>
                                <m:ctrlPr>
                                  <w:rPr>
                                    <w:rFonts w:hint="default" w:ascii="Cambria Math" w:hAnsi="Cambria Math" w:cs="Cambria Math"/>
                                    <w:i/>
                                    <w:sz w:val="24"/>
                                    <w:lang w:val="en-US"/>
                                  </w:rPr>
                                </m:ctrlPr>
                              </m:e>
                              <m:sub>
                                <m:r>
                                  <m:rPr/>
                                  <w:rPr>
                                    <w:rFonts w:hint="default" w:ascii="Cambria Math" w:hAnsi="Cambria Math" w:cs="Cambria Math"/>
                                    <w:sz w:val="24"/>
                                    <w:lang w:val="en-US" w:eastAsia="zh-CN"/>
                                  </w:rPr>
                                  <m:t>TOC,i</m:t>
                                </m:r>
                                <m:ctrlPr>
                                  <w:rPr>
                                    <w:rFonts w:hint="default" w:ascii="Cambria Math" w:hAnsi="Cambria Math" w:cs="Cambria Math"/>
                                    <w:i/>
                                    <w:sz w:val="24"/>
                                    <w:lang w:val="en-US"/>
                                  </w:rPr>
                                </m:ctrlPr>
                              </m:sub>
                            </m:sSub>
                            <m:ctrlPr>
                              <w:rPr>
                                <w:rFonts w:hint="default" w:ascii="Cambria Math" w:hAnsi="Cambria Math" w:cs="Cambria Math"/>
                                <w:i/>
                                <w:sz w:val="24"/>
                                <w:lang w:val="en-US"/>
                              </w:rPr>
                            </m:ctrlPr>
                          </m:den>
                        </m:f>
                        <m:r>
                          <m:rPr/>
                          <w:rPr>
                            <w:rFonts w:hint="default" w:ascii="Cambria Math" w:hAnsi="Cambria Math" w:cs="Cambria Math"/>
                            <w:sz w:val="24"/>
                            <w:lang w:val="en-US"/>
                          </w:rPr>
                          <m:t>×</m:t>
                        </m:r>
                        <m:sSub>
                          <m:sSubPr>
                            <m:ctrlPr>
                              <w:rPr>
                                <w:rFonts w:hint="default" w:ascii="Cambria Math" w:hAnsi="Cambria Math" w:cs="Cambria Math"/>
                                <w:i/>
                                <w:sz w:val="24"/>
                                <w:lang w:val="en-US"/>
                              </w:rPr>
                            </m:ctrlPr>
                          </m:sSubPr>
                          <m:e>
                            <m:r>
                              <m:rPr/>
                              <w:rPr>
                                <w:rFonts w:hint="default" w:ascii="Cambria Math" w:hAnsi="Cambria Math" w:cs="Cambria Math"/>
                                <w:sz w:val="24"/>
                                <w:lang w:val="en-US" w:eastAsia="zh-CN"/>
                              </w:rPr>
                              <m:t>t</m:t>
                            </m:r>
                            <m:ctrlPr>
                              <w:rPr>
                                <w:rFonts w:hint="default" w:ascii="Cambria Math" w:hAnsi="Cambria Math" w:cs="Cambria Math"/>
                                <w:i/>
                                <w:sz w:val="24"/>
                                <w:lang w:val="en-US"/>
                              </w:rPr>
                            </m:ctrlPr>
                          </m:e>
                          <m:sub>
                            <m:r>
                              <m:rPr/>
                              <w:rPr>
                                <w:rFonts w:hint="default" w:ascii="Cambria Math" w:hAnsi="Cambria Math" w:cs="Cambria Math"/>
                                <w:sz w:val="24"/>
                                <w:lang w:val="en-US" w:eastAsia="zh-CN"/>
                              </w:rPr>
                              <m:t>i</m:t>
                            </m:r>
                            <m:ctrlPr>
                              <w:rPr>
                                <w:rFonts w:hint="default" w:ascii="Cambria Math" w:hAnsi="Cambria Math" w:cs="Cambria Math"/>
                                <w:i/>
                                <w:sz w:val="24"/>
                                <w:lang w:val="en-US"/>
                              </w:rPr>
                            </m:ctrlPr>
                          </m:sub>
                        </m:sSub>
                        <m:ctrlPr>
                          <w:rPr>
                            <w:rFonts w:hint="default" w:ascii="Cambria Math" w:hAnsi="Cambria Math" w:cs="Cambria Math"/>
                            <w:i/>
                            <w:sz w:val="24"/>
                            <w:lang w:val="en-US" w:eastAsia="zh-CN"/>
                          </w:rPr>
                        </m:ctrlPr>
                      </m:e>
                    </m:d>
                    <m:ctrlPr>
                      <w:rPr>
                        <w:rFonts w:hint="default" w:ascii="Cambria Math" w:hAnsi="Cambria Math" w:cs="Cambria Math"/>
                        <w:i/>
                        <w:sz w:val="24"/>
                        <w:lang w:val="en-US" w:eastAsia="zh-CN"/>
                      </w:rPr>
                    </m:ctrlPr>
                  </m:e>
                </m:nary>
              </m:oMath>
            </m:oMathPara>
          </w:p>
          <w:p w14:paraId="79EB6AA4">
            <w:pPr>
              <w:spacing w:line="360" w:lineRule="auto"/>
              <w:ind w:firstLine="482"/>
              <w:jc w:val="center"/>
              <w:rPr>
                <w:rFonts w:hint="eastAsia"/>
                <w:sz w:val="24"/>
                <w:szCs w:val="28"/>
                <w:highlight w:val="none"/>
                <w:lang w:eastAsia="zh-CN"/>
              </w:rPr>
            </w:pPr>
            <w:r>
              <w:rPr>
                <w:rFonts w:hint="eastAsia"/>
                <w:sz w:val="24"/>
                <w:szCs w:val="28"/>
                <w:highlight w:val="none"/>
                <w:lang w:val="en-US" w:eastAsia="zh-CN"/>
              </w:rPr>
              <w:t>式中：E</w:t>
            </w:r>
            <w:r>
              <w:rPr>
                <w:rFonts w:hint="eastAsia"/>
                <w:sz w:val="24"/>
                <w:szCs w:val="28"/>
                <w:highlight w:val="none"/>
                <w:vertAlign w:val="subscript"/>
                <w:lang w:val="en-US" w:eastAsia="zh-CN"/>
              </w:rPr>
              <w:t>设备</w:t>
            </w:r>
            <w:r>
              <w:rPr>
                <w:rFonts w:hint="eastAsia"/>
                <w:sz w:val="24"/>
                <w:szCs w:val="28"/>
                <w:highlight w:val="none"/>
                <w:lang w:val="en-US" w:eastAsia="zh-CN"/>
              </w:rPr>
              <w:t>—设备与管线组件密封点泄漏的挥发性有机物年许可排放量，kg/a；</w:t>
            </w:r>
          </w:p>
          <w:p w14:paraId="02CC93BF">
            <w:pPr>
              <w:keepNext w:val="0"/>
              <w:keepLines w:val="0"/>
              <w:pageBreakBefore w:val="0"/>
              <w:widowControl w:val="0"/>
              <w:kinsoku/>
              <w:wordWrap/>
              <w:overflowPunct/>
              <w:topLinePunct w:val="0"/>
              <w:autoSpaceDE/>
              <w:autoSpaceDN/>
              <w:bidi w:val="0"/>
              <w:adjustRightInd/>
              <w:snapToGrid/>
              <w:spacing w:line="360" w:lineRule="auto"/>
              <w:ind w:left="630" w:leftChars="300" w:firstLine="482"/>
              <w:textAlignment w:val="auto"/>
              <w:rPr>
                <w:rFonts w:hint="eastAsia"/>
                <w:sz w:val="24"/>
                <w:szCs w:val="28"/>
                <w:highlight w:val="none"/>
                <w:lang w:eastAsia="zh-CN"/>
              </w:rPr>
            </w:pPr>
            <w:r>
              <w:rPr>
                <w:rFonts w:hint="eastAsia"/>
                <w:sz w:val="24"/>
                <w:szCs w:val="28"/>
                <w:highlight w:val="none"/>
                <w:lang w:val="en-US" w:eastAsia="zh-CN"/>
              </w:rPr>
              <w:t>t</w:t>
            </w:r>
            <w:r>
              <w:rPr>
                <w:rFonts w:hint="eastAsia"/>
                <w:sz w:val="24"/>
                <w:szCs w:val="28"/>
                <w:highlight w:val="none"/>
                <w:vertAlign w:val="subscript"/>
                <w:lang w:val="en-US" w:eastAsia="zh-CN"/>
              </w:rPr>
              <w:t>i</w:t>
            </w:r>
            <w:r>
              <w:rPr>
                <w:rFonts w:hint="eastAsia"/>
                <w:sz w:val="24"/>
                <w:szCs w:val="28"/>
                <w:highlight w:val="none"/>
                <w:lang w:val="en-US" w:eastAsia="zh-CN"/>
              </w:rPr>
              <w:t>—密封点i的年运行时间，h/a</w:t>
            </w:r>
            <w:r>
              <w:rPr>
                <w:rFonts w:hint="eastAsia"/>
                <w:sz w:val="24"/>
                <w:szCs w:val="28"/>
                <w:highlight w:val="none"/>
                <w:lang w:eastAsia="zh-CN"/>
              </w:rPr>
              <w:t>；</w:t>
            </w:r>
          </w:p>
          <w:p w14:paraId="4906343B">
            <w:pPr>
              <w:keepNext w:val="0"/>
              <w:keepLines w:val="0"/>
              <w:pageBreakBefore w:val="0"/>
              <w:widowControl w:val="0"/>
              <w:kinsoku/>
              <w:wordWrap/>
              <w:overflowPunct/>
              <w:topLinePunct w:val="0"/>
              <w:autoSpaceDE/>
              <w:autoSpaceDN/>
              <w:bidi w:val="0"/>
              <w:adjustRightInd/>
              <w:snapToGrid/>
              <w:spacing w:line="360" w:lineRule="auto"/>
              <w:ind w:left="630" w:leftChars="300" w:firstLine="482"/>
              <w:textAlignment w:val="auto"/>
              <w:rPr>
                <w:rFonts w:hint="eastAsia"/>
                <w:sz w:val="24"/>
                <w:szCs w:val="28"/>
                <w:highlight w:val="none"/>
                <w:lang w:eastAsia="zh-CN"/>
              </w:rPr>
            </w:pPr>
            <w:r>
              <w:rPr>
                <w:rFonts w:hint="eastAsia"/>
                <w:sz w:val="24"/>
                <w:szCs w:val="28"/>
                <w:highlight w:val="none"/>
                <w:lang w:val="en-US" w:eastAsia="zh-CN"/>
              </w:rPr>
              <w:t>e</w:t>
            </w:r>
            <w:r>
              <w:rPr>
                <w:rFonts w:hint="eastAsia"/>
                <w:sz w:val="24"/>
                <w:szCs w:val="28"/>
                <w:highlight w:val="none"/>
                <w:vertAlign w:val="subscript"/>
                <w:lang w:val="en-US" w:eastAsia="zh-CN"/>
              </w:rPr>
              <w:t>TOC,i</w:t>
            </w:r>
            <w:r>
              <w:rPr>
                <w:rFonts w:hint="eastAsia"/>
                <w:sz w:val="24"/>
                <w:szCs w:val="28"/>
                <w:highlight w:val="none"/>
                <w:lang w:val="en-US" w:eastAsia="zh-CN"/>
              </w:rPr>
              <w:t>—密封点i的总有机碳排放速率，kg/h</w:t>
            </w:r>
            <w:r>
              <w:rPr>
                <w:rFonts w:hint="eastAsia"/>
                <w:sz w:val="24"/>
                <w:szCs w:val="28"/>
                <w:highlight w:val="none"/>
                <w:lang w:eastAsia="zh-CN"/>
              </w:rPr>
              <w:t>；</w:t>
            </w:r>
          </w:p>
          <w:p w14:paraId="3414FDBE">
            <w:pPr>
              <w:keepNext w:val="0"/>
              <w:keepLines w:val="0"/>
              <w:pageBreakBefore w:val="0"/>
              <w:widowControl w:val="0"/>
              <w:kinsoku/>
              <w:wordWrap/>
              <w:overflowPunct/>
              <w:topLinePunct w:val="0"/>
              <w:autoSpaceDE/>
              <w:autoSpaceDN/>
              <w:bidi w:val="0"/>
              <w:adjustRightInd/>
              <w:snapToGrid/>
              <w:spacing w:line="360" w:lineRule="auto"/>
              <w:ind w:left="630" w:leftChars="300" w:firstLine="482"/>
              <w:textAlignment w:val="auto"/>
              <w:rPr>
                <w:rFonts w:hint="eastAsia"/>
                <w:sz w:val="24"/>
                <w:szCs w:val="28"/>
                <w:highlight w:val="none"/>
                <w:lang w:eastAsia="zh-CN"/>
              </w:rPr>
            </w:pPr>
            <w:r>
              <w:rPr>
                <w:rFonts w:hint="eastAsia"/>
                <w:sz w:val="24"/>
                <w:szCs w:val="28"/>
                <w:highlight w:val="none"/>
                <w:lang w:val="en-US" w:eastAsia="zh-CN"/>
              </w:rPr>
              <w:t>WF</w:t>
            </w:r>
            <w:r>
              <w:rPr>
                <w:rFonts w:hint="eastAsia"/>
                <w:sz w:val="24"/>
                <w:szCs w:val="28"/>
                <w:highlight w:val="none"/>
                <w:vertAlign w:val="subscript"/>
                <w:lang w:val="en-US" w:eastAsia="zh-CN"/>
              </w:rPr>
              <w:t>VOCs,i</w:t>
            </w:r>
            <w:r>
              <w:rPr>
                <w:rFonts w:hint="eastAsia"/>
                <w:sz w:val="24"/>
                <w:szCs w:val="28"/>
                <w:highlight w:val="none"/>
                <w:lang w:val="en-US" w:eastAsia="zh-CN"/>
              </w:rPr>
              <w:t>—流经密封点i的物料中挥发性有机物平均质量分数</w:t>
            </w:r>
            <w:r>
              <w:rPr>
                <w:rFonts w:hint="eastAsia"/>
                <w:sz w:val="24"/>
                <w:szCs w:val="28"/>
                <w:highlight w:val="none"/>
                <w:lang w:eastAsia="zh-CN"/>
              </w:rPr>
              <w:t>；</w:t>
            </w:r>
          </w:p>
          <w:p w14:paraId="13764FA5">
            <w:pPr>
              <w:keepNext w:val="0"/>
              <w:keepLines w:val="0"/>
              <w:pageBreakBefore w:val="0"/>
              <w:widowControl w:val="0"/>
              <w:kinsoku/>
              <w:wordWrap/>
              <w:overflowPunct/>
              <w:topLinePunct w:val="0"/>
              <w:autoSpaceDE/>
              <w:autoSpaceDN/>
              <w:bidi w:val="0"/>
              <w:adjustRightInd/>
              <w:snapToGrid/>
              <w:spacing w:line="360" w:lineRule="auto"/>
              <w:ind w:left="630" w:leftChars="300" w:firstLine="482"/>
              <w:textAlignment w:val="auto"/>
              <w:rPr>
                <w:rFonts w:hint="eastAsia"/>
                <w:sz w:val="24"/>
                <w:szCs w:val="28"/>
                <w:highlight w:val="none"/>
                <w:lang w:eastAsia="zh-CN"/>
              </w:rPr>
            </w:pPr>
            <w:r>
              <w:rPr>
                <w:rFonts w:hint="eastAsia"/>
                <w:sz w:val="24"/>
                <w:szCs w:val="28"/>
                <w:highlight w:val="none"/>
                <w:lang w:val="en-US" w:eastAsia="zh-CN"/>
              </w:rPr>
              <w:t>WF</w:t>
            </w:r>
            <w:r>
              <w:rPr>
                <w:rFonts w:hint="eastAsia"/>
                <w:sz w:val="24"/>
                <w:szCs w:val="28"/>
                <w:highlight w:val="none"/>
                <w:vertAlign w:val="subscript"/>
                <w:lang w:val="en-US" w:eastAsia="zh-CN"/>
              </w:rPr>
              <w:t>TOCs,i</w:t>
            </w:r>
            <w:r>
              <w:rPr>
                <w:rFonts w:hint="eastAsia"/>
                <w:sz w:val="24"/>
                <w:szCs w:val="28"/>
                <w:highlight w:val="none"/>
                <w:lang w:val="en-US" w:eastAsia="zh-CN"/>
              </w:rPr>
              <w:t>—流经密封点i的物料中总有机碳平均质量分数</w:t>
            </w:r>
            <w:r>
              <w:rPr>
                <w:rFonts w:hint="eastAsia"/>
                <w:sz w:val="24"/>
                <w:szCs w:val="28"/>
                <w:highlight w:val="none"/>
                <w:lang w:eastAsia="zh-CN"/>
              </w:rPr>
              <w:t>；</w:t>
            </w:r>
          </w:p>
          <w:p w14:paraId="4DEDAC33">
            <w:pPr>
              <w:adjustRightInd w:val="0"/>
              <w:snapToGrid w:val="0"/>
              <w:spacing w:line="360" w:lineRule="auto"/>
              <w:ind w:firstLine="1262" w:firstLineChars="526"/>
              <w:rPr>
                <w:rFonts w:hint="eastAsia"/>
                <w:sz w:val="24"/>
                <w:szCs w:val="28"/>
                <w:highlight w:val="none"/>
                <w:lang w:val="en-US" w:eastAsia="zh-CN"/>
              </w:rPr>
            </w:pPr>
            <w:r>
              <w:rPr>
                <w:rFonts w:hint="eastAsia"/>
                <w:sz w:val="24"/>
                <w:szCs w:val="28"/>
                <w:highlight w:val="none"/>
                <w:lang w:val="en-US" w:eastAsia="zh-CN"/>
              </w:rPr>
              <w:t>n—挥发性有机物流经的设备与管线组件密封点数。</w:t>
            </w:r>
          </w:p>
          <w:p w14:paraId="6FEACAB4">
            <w:pPr>
              <w:adjustRightInd w:val="0"/>
              <w:snapToGrid w:val="0"/>
              <w:spacing w:line="360" w:lineRule="auto"/>
              <w:ind w:firstLine="1262" w:firstLineChars="526"/>
              <w:rPr>
                <w:rFonts w:hint="eastAsia"/>
                <w:sz w:val="24"/>
                <w:szCs w:val="28"/>
                <w:highlight w:val="none"/>
                <w:lang w:val="en-US" w:eastAsia="zh-CN"/>
              </w:rPr>
            </w:pPr>
            <w:r>
              <w:rPr>
                <w:rFonts w:hint="eastAsia"/>
                <w:sz w:val="24"/>
                <w:szCs w:val="28"/>
                <w:highlight w:val="none"/>
                <w:lang w:val="en-US" w:eastAsia="zh-CN"/>
              </w:rPr>
              <w:t>本次计算以挥发性有机物平均质量分数占总有机碳平均质量分数最大值100%计算，年运行时间为8000h，具体参数见表4-4。</w:t>
            </w:r>
          </w:p>
          <w:p w14:paraId="20633F74">
            <w:pPr>
              <w:adjustRightInd w:val="0"/>
              <w:snapToGrid w:val="0"/>
              <w:spacing w:line="360" w:lineRule="auto"/>
              <w:jc w:val="center"/>
              <w:rPr>
                <w:b/>
                <w:sz w:val="24"/>
                <w:highlight w:val="none"/>
              </w:rPr>
            </w:pPr>
            <w:r>
              <w:rPr>
                <w:b/>
                <w:sz w:val="24"/>
                <w:highlight w:val="none"/>
              </w:rPr>
              <w:t>表</w:t>
            </w:r>
            <w:r>
              <w:rPr>
                <w:rFonts w:hint="eastAsia"/>
                <w:b/>
                <w:sz w:val="24"/>
                <w:highlight w:val="none"/>
                <w:lang w:val="en-US" w:eastAsia="zh-CN"/>
              </w:rPr>
              <w:t>4-4：装置动静密封点废气产生情况</w:t>
            </w:r>
          </w:p>
          <w:tbl>
            <w:tblPr>
              <w:tblStyle w:val="41"/>
              <w:tblW w:w="4998" w:type="pct"/>
              <w:jc w:val="center"/>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autofit"/>
              <w:tblCellMar>
                <w:top w:w="0" w:type="dxa"/>
                <w:left w:w="108" w:type="dxa"/>
                <w:bottom w:w="0" w:type="dxa"/>
                <w:right w:w="108" w:type="dxa"/>
              </w:tblCellMar>
            </w:tblPr>
            <w:tblGrid>
              <w:gridCol w:w="2005"/>
              <w:gridCol w:w="1806"/>
              <w:gridCol w:w="2017"/>
              <w:gridCol w:w="1305"/>
              <w:gridCol w:w="1354"/>
            </w:tblGrid>
            <w:tr w14:paraId="07B4E966">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355" w:hRule="atLeast"/>
                <w:jc w:val="center"/>
              </w:trPr>
              <w:tc>
                <w:tcPr>
                  <w:tcW w:w="1000" w:type="pct"/>
                  <w:noWrap/>
                  <w:vAlign w:val="center"/>
                </w:tcPr>
                <w:p w14:paraId="3ED64754">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密封件类型</w:t>
                  </w:r>
                </w:p>
              </w:tc>
              <w:tc>
                <w:tcPr>
                  <w:tcW w:w="1000" w:type="pct"/>
                  <w:noWrap/>
                  <w:vAlign w:val="center"/>
                </w:tcPr>
                <w:p w14:paraId="7F01BA64">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密封点数量（个）</w:t>
                  </w:r>
                </w:p>
              </w:tc>
              <w:tc>
                <w:tcPr>
                  <w:tcW w:w="1000" w:type="pct"/>
                  <w:noWrap/>
                  <w:vAlign w:val="center"/>
                </w:tcPr>
                <w:p w14:paraId="487184A6">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系数（kg/h/排放源）</w:t>
                  </w:r>
                </w:p>
              </w:tc>
              <w:tc>
                <w:tcPr>
                  <w:tcW w:w="605" w:type="pct"/>
                  <w:noWrap/>
                  <w:vAlign w:val="center"/>
                </w:tcPr>
                <w:p w14:paraId="182A4D47">
                  <w:pPr>
                    <w:widowControl/>
                    <w:jc w:val="center"/>
                    <w:rPr>
                      <w:rFonts w:hint="eastAsia"/>
                      <w:b w:val="0"/>
                      <w:bCs w:val="0"/>
                      <w:kern w:val="0"/>
                      <w:sz w:val="21"/>
                      <w:szCs w:val="21"/>
                      <w:highlight w:val="none"/>
                      <w:lang w:val="en-US" w:eastAsia="zh-CN"/>
                    </w:rPr>
                  </w:pPr>
                  <w:r>
                    <w:rPr>
                      <w:rFonts w:hint="eastAsia"/>
                      <w:b w:val="0"/>
                      <w:bCs w:val="0"/>
                      <w:kern w:val="0"/>
                      <w:sz w:val="21"/>
                      <w:szCs w:val="21"/>
                      <w:highlight w:val="none"/>
                      <w:lang w:val="en-US" w:eastAsia="zh-CN"/>
                    </w:rPr>
                    <w:t>运行时间</w:t>
                  </w:r>
                  <w:r>
                    <w:rPr>
                      <w:rFonts w:hint="eastAsia"/>
                      <w:sz w:val="21"/>
                      <w:szCs w:val="21"/>
                      <w:highlight w:val="none"/>
                      <w:lang w:val="en-US" w:eastAsia="zh-CN"/>
                    </w:rPr>
                    <w:t>h/a</w:t>
                  </w:r>
                </w:p>
              </w:tc>
              <w:tc>
                <w:tcPr>
                  <w:tcW w:w="1394" w:type="pct"/>
                  <w:noWrap/>
                  <w:vAlign w:val="center"/>
                </w:tcPr>
                <w:p w14:paraId="1966A7F7">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小计（kg/a）</w:t>
                  </w:r>
                </w:p>
              </w:tc>
            </w:tr>
            <w:tr w14:paraId="0AB50DC5">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6" w:hRule="atLeast"/>
                <w:jc w:val="center"/>
              </w:trPr>
              <w:tc>
                <w:tcPr>
                  <w:tcW w:w="1000" w:type="pct"/>
                  <w:noWrap/>
                  <w:vAlign w:val="center"/>
                </w:tcPr>
                <w:p w14:paraId="262A4B8C">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连接件</w:t>
                  </w:r>
                </w:p>
              </w:tc>
              <w:tc>
                <w:tcPr>
                  <w:tcW w:w="1000" w:type="pct"/>
                  <w:noWrap/>
                  <w:vAlign w:val="center"/>
                </w:tcPr>
                <w:p w14:paraId="7327C87C">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55</w:t>
                  </w:r>
                </w:p>
              </w:tc>
              <w:tc>
                <w:tcPr>
                  <w:tcW w:w="1000" w:type="pct"/>
                  <w:noWrap/>
                  <w:vAlign w:val="center"/>
                </w:tcPr>
                <w:p w14:paraId="5DE12E62">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0.00183</w:t>
                  </w:r>
                </w:p>
              </w:tc>
              <w:tc>
                <w:tcPr>
                  <w:tcW w:w="605" w:type="pct"/>
                  <w:noWrap/>
                  <w:vAlign w:val="center"/>
                </w:tcPr>
                <w:p w14:paraId="11F628F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8000</w:t>
                  </w:r>
                </w:p>
              </w:tc>
              <w:tc>
                <w:tcPr>
                  <w:tcW w:w="1394" w:type="pct"/>
                  <w:noWrap/>
                  <w:vAlign w:val="center"/>
                </w:tcPr>
                <w:p w14:paraId="7E81D1C0">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lang w:val="en-US" w:eastAsia="zh-CN"/>
                    </w:rPr>
                  </w:pPr>
                  <w:r>
                    <w:rPr>
                      <w:rFonts w:hint="eastAsia" w:cs="Times New Roman"/>
                      <w:b w:val="0"/>
                      <w:bCs w:val="0"/>
                      <w:kern w:val="0"/>
                      <w:sz w:val="21"/>
                      <w:szCs w:val="21"/>
                      <w:highlight w:val="none"/>
                      <w:lang w:val="en-US" w:eastAsia="zh-CN"/>
                    </w:rPr>
                    <w:t>805.2</w:t>
                  </w:r>
                </w:p>
              </w:tc>
            </w:tr>
            <w:tr w14:paraId="20DD78FF">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6" w:hRule="atLeast"/>
                <w:jc w:val="center"/>
              </w:trPr>
              <w:tc>
                <w:tcPr>
                  <w:tcW w:w="1000" w:type="pct"/>
                  <w:noWrap/>
                  <w:vAlign w:val="center"/>
                </w:tcPr>
                <w:p w14:paraId="77A07F83">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开口阀或开口管线</w:t>
                  </w:r>
                </w:p>
              </w:tc>
              <w:tc>
                <w:tcPr>
                  <w:tcW w:w="1000" w:type="pct"/>
                  <w:noWrap/>
                  <w:vAlign w:val="center"/>
                </w:tcPr>
                <w:p w14:paraId="04CDFAFE">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4</w:t>
                  </w:r>
                </w:p>
              </w:tc>
              <w:tc>
                <w:tcPr>
                  <w:tcW w:w="1000" w:type="pct"/>
                  <w:noWrap/>
                  <w:vAlign w:val="center"/>
                </w:tcPr>
                <w:p w14:paraId="1A2E5F60">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0.0017</w:t>
                  </w:r>
                </w:p>
              </w:tc>
              <w:tc>
                <w:tcPr>
                  <w:tcW w:w="605" w:type="pct"/>
                  <w:noWrap/>
                  <w:vAlign w:val="center"/>
                </w:tcPr>
                <w:p w14:paraId="5C4462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8000</w:t>
                  </w:r>
                </w:p>
              </w:tc>
              <w:tc>
                <w:tcPr>
                  <w:tcW w:w="1394" w:type="pct"/>
                  <w:noWrap/>
                  <w:vAlign w:val="center"/>
                </w:tcPr>
                <w:p w14:paraId="76E3BE76">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lang w:val="en-US" w:eastAsia="zh-CN"/>
                    </w:rPr>
                  </w:pPr>
                  <w:r>
                    <w:rPr>
                      <w:rFonts w:hint="eastAsia" w:cs="Times New Roman"/>
                      <w:b w:val="0"/>
                      <w:bCs w:val="0"/>
                      <w:kern w:val="0"/>
                      <w:sz w:val="21"/>
                      <w:szCs w:val="21"/>
                      <w:highlight w:val="none"/>
                      <w:lang w:val="en-US" w:eastAsia="zh-CN"/>
                    </w:rPr>
                    <w:t>54.4</w:t>
                  </w:r>
                </w:p>
              </w:tc>
            </w:tr>
            <w:tr w14:paraId="730B9DAF">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6" w:hRule="atLeast"/>
                <w:jc w:val="center"/>
              </w:trPr>
              <w:tc>
                <w:tcPr>
                  <w:tcW w:w="1000" w:type="pct"/>
                  <w:noWrap/>
                  <w:vAlign w:val="center"/>
                </w:tcPr>
                <w:p w14:paraId="2F11B78D">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阀门</w:t>
                  </w:r>
                </w:p>
              </w:tc>
              <w:tc>
                <w:tcPr>
                  <w:tcW w:w="1000" w:type="pct"/>
                  <w:noWrap/>
                  <w:vAlign w:val="center"/>
                </w:tcPr>
                <w:p w14:paraId="67A48A4C">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12</w:t>
                  </w:r>
                </w:p>
              </w:tc>
              <w:tc>
                <w:tcPr>
                  <w:tcW w:w="1000" w:type="pct"/>
                  <w:noWrap/>
                  <w:vAlign w:val="center"/>
                </w:tcPr>
                <w:p w14:paraId="5F828077">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0.00403</w:t>
                  </w:r>
                </w:p>
              </w:tc>
              <w:tc>
                <w:tcPr>
                  <w:tcW w:w="605" w:type="pct"/>
                  <w:noWrap/>
                  <w:vAlign w:val="center"/>
                </w:tcPr>
                <w:p w14:paraId="78835D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8000</w:t>
                  </w:r>
                </w:p>
              </w:tc>
              <w:tc>
                <w:tcPr>
                  <w:tcW w:w="1394" w:type="pct"/>
                  <w:noWrap/>
                  <w:vAlign w:val="center"/>
                </w:tcPr>
                <w:p w14:paraId="3E0588A6">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lang w:val="en-US" w:eastAsia="zh-CN"/>
                    </w:rPr>
                  </w:pPr>
                  <w:r>
                    <w:rPr>
                      <w:rFonts w:hint="eastAsia" w:cs="Times New Roman"/>
                      <w:b w:val="0"/>
                      <w:bCs w:val="0"/>
                      <w:kern w:val="0"/>
                      <w:sz w:val="21"/>
                      <w:szCs w:val="21"/>
                      <w:highlight w:val="none"/>
                      <w:lang w:val="en-US" w:eastAsia="zh-CN"/>
                    </w:rPr>
                    <w:t>386.88</w:t>
                  </w:r>
                </w:p>
              </w:tc>
            </w:tr>
            <w:tr w14:paraId="4E2E757A">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6" w:hRule="atLeast"/>
                <w:jc w:val="center"/>
              </w:trPr>
              <w:tc>
                <w:tcPr>
                  <w:tcW w:w="1000" w:type="pct"/>
                  <w:noWrap/>
                  <w:vAlign w:val="center"/>
                </w:tcPr>
                <w:p w14:paraId="26BEE062">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泵</w:t>
                  </w:r>
                </w:p>
              </w:tc>
              <w:tc>
                <w:tcPr>
                  <w:tcW w:w="1000" w:type="pct"/>
                  <w:noWrap/>
                  <w:vAlign w:val="center"/>
                </w:tcPr>
                <w:p w14:paraId="65CA11D0">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16</w:t>
                  </w:r>
                </w:p>
              </w:tc>
              <w:tc>
                <w:tcPr>
                  <w:tcW w:w="1000" w:type="pct"/>
                  <w:noWrap/>
                  <w:vAlign w:val="center"/>
                </w:tcPr>
                <w:p w14:paraId="6E38880C">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0.0199</w:t>
                  </w:r>
                </w:p>
              </w:tc>
              <w:tc>
                <w:tcPr>
                  <w:tcW w:w="605" w:type="pct"/>
                  <w:noWrap/>
                  <w:vAlign w:val="center"/>
                </w:tcPr>
                <w:p w14:paraId="7C1C67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8000</w:t>
                  </w:r>
                </w:p>
              </w:tc>
              <w:tc>
                <w:tcPr>
                  <w:tcW w:w="1394" w:type="pct"/>
                  <w:noWrap/>
                  <w:vAlign w:val="center"/>
                </w:tcPr>
                <w:p w14:paraId="67D2CF5D">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lang w:val="en-US" w:eastAsia="zh-CN"/>
                    </w:rPr>
                  </w:pPr>
                  <w:r>
                    <w:rPr>
                      <w:rFonts w:hint="eastAsia" w:cs="Times New Roman"/>
                      <w:b w:val="0"/>
                      <w:bCs w:val="0"/>
                      <w:kern w:val="0"/>
                      <w:sz w:val="21"/>
                      <w:szCs w:val="21"/>
                      <w:highlight w:val="none"/>
                      <w:lang w:val="en-US" w:eastAsia="zh-CN"/>
                    </w:rPr>
                    <w:t>2547.2</w:t>
                  </w:r>
                </w:p>
              </w:tc>
            </w:tr>
            <w:tr w14:paraId="48715FF0">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6" w:hRule="atLeast"/>
                <w:jc w:val="center"/>
              </w:trPr>
              <w:tc>
                <w:tcPr>
                  <w:tcW w:w="1000" w:type="pct"/>
                  <w:noWrap/>
                  <w:vAlign w:val="center"/>
                </w:tcPr>
                <w:p w14:paraId="3D9F9A59">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法兰</w:t>
                  </w:r>
                </w:p>
              </w:tc>
              <w:tc>
                <w:tcPr>
                  <w:tcW w:w="1000" w:type="pct"/>
                  <w:noWrap/>
                  <w:vAlign w:val="center"/>
                </w:tcPr>
                <w:p w14:paraId="735CBAA1">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ascii="Times New Roman" w:hAnsi="Times New Roman" w:eastAsia="宋体" w:cs="Times New Roman"/>
                      <w:kern w:val="0"/>
                      <w:sz w:val="21"/>
                      <w:szCs w:val="21"/>
                      <w:highlight w:val="none"/>
                      <w:lang w:val="en-US" w:eastAsia="zh-CN" w:bidi="ar-SA"/>
                    </w:rPr>
                    <w:t>8</w:t>
                  </w:r>
                </w:p>
              </w:tc>
              <w:tc>
                <w:tcPr>
                  <w:tcW w:w="1000" w:type="pct"/>
                  <w:noWrap/>
                  <w:vAlign w:val="center"/>
                </w:tcPr>
                <w:p w14:paraId="728D4DFF">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0.00183</w:t>
                  </w:r>
                </w:p>
              </w:tc>
              <w:tc>
                <w:tcPr>
                  <w:tcW w:w="605" w:type="pct"/>
                  <w:noWrap/>
                  <w:vAlign w:val="center"/>
                </w:tcPr>
                <w:p w14:paraId="0FF5DA8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s="Times New Roman"/>
                      <w:i w:val="0"/>
                      <w:iCs w:val="0"/>
                      <w:color w:val="000000"/>
                      <w:kern w:val="0"/>
                      <w:sz w:val="21"/>
                      <w:szCs w:val="21"/>
                      <w:highlight w:val="none"/>
                      <w:u w:val="none"/>
                      <w:lang w:val="en-US" w:eastAsia="zh-CN" w:bidi="ar"/>
                    </w:rPr>
                    <w:t>8000</w:t>
                  </w:r>
                </w:p>
              </w:tc>
              <w:tc>
                <w:tcPr>
                  <w:tcW w:w="1394" w:type="pct"/>
                  <w:noWrap/>
                  <w:vAlign w:val="center"/>
                </w:tcPr>
                <w:p w14:paraId="66C8BD29">
                  <w:pPr>
                    <w:keepNext w:val="0"/>
                    <w:keepLines w:val="0"/>
                    <w:widowControl/>
                    <w:suppressLineNumbers w:val="0"/>
                    <w:jc w:val="center"/>
                    <w:textAlignment w:val="center"/>
                    <w:rPr>
                      <w:rFonts w:hint="default" w:ascii="Times New Roman" w:hAnsi="Times New Roman" w:eastAsia="宋体" w:cs="Times New Roman"/>
                      <w:b w:val="0"/>
                      <w:bCs w:val="0"/>
                      <w:kern w:val="0"/>
                      <w:sz w:val="21"/>
                      <w:szCs w:val="21"/>
                      <w:highlight w:val="none"/>
                      <w:lang w:val="en-US" w:eastAsia="zh-CN"/>
                    </w:rPr>
                  </w:pPr>
                  <w:r>
                    <w:rPr>
                      <w:rFonts w:hint="eastAsia" w:cs="Times New Roman"/>
                      <w:b w:val="0"/>
                      <w:bCs w:val="0"/>
                      <w:kern w:val="0"/>
                      <w:sz w:val="21"/>
                      <w:szCs w:val="21"/>
                      <w:highlight w:val="none"/>
                      <w:lang w:val="en-US" w:eastAsia="zh-CN"/>
                    </w:rPr>
                    <w:t>117.12</w:t>
                  </w:r>
                </w:p>
              </w:tc>
            </w:tr>
            <w:tr w14:paraId="4379DC0A">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6" w:hRule="atLeast"/>
                <w:jc w:val="center"/>
              </w:trPr>
              <w:tc>
                <w:tcPr>
                  <w:tcW w:w="1000" w:type="pct"/>
                  <w:noWrap/>
                  <w:vAlign w:val="center"/>
                </w:tcPr>
                <w:p w14:paraId="337EE82B">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合计</w:t>
                  </w:r>
                </w:p>
              </w:tc>
              <w:tc>
                <w:tcPr>
                  <w:tcW w:w="1000" w:type="pct"/>
                  <w:noWrap/>
                  <w:vAlign w:val="center"/>
                </w:tcPr>
                <w:p w14:paraId="6D13D282">
                  <w:pPr>
                    <w:widowControl/>
                    <w:jc w:val="center"/>
                    <w:rPr>
                      <w:rFonts w:hint="default"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w:t>
                  </w:r>
                </w:p>
              </w:tc>
              <w:tc>
                <w:tcPr>
                  <w:tcW w:w="1000" w:type="pct"/>
                  <w:noWrap/>
                  <w:vAlign w:val="center"/>
                </w:tcPr>
                <w:p w14:paraId="1DBD051F">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lang w:val="en-US" w:eastAsia="zh-CN"/>
                    </w:rPr>
                    <w:t>/</w:t>
                  </w:r>
                </w:p>
              </w:tc>
              <w:tc>
                <w:tcPr>
                  <w:tcW w:w="605" w:type="pct"/>
                  <w:noWrap/>
                  <w:vAlign w:val="center"/>
                </w:tcPr>
                <w:p w14:paraId="6AE398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w:t>
                  </w:r>
                </w:p>
              </w:tc>
              <w:tc>
                <w:tcPr>
                  <w:tcW w:w="1394" w:type="pct"/>
                  <w:noWrap/>
                  <w:vAlign w:val="center"/>
                </w:tcPr>
                <w:p w14:paraId="3064A4E5">
                  <w:pPr>
                    <w:keepNext w:val="0"/>
                    <w:keepLines w:val="0"/>
                    <w:widowControl/>
                    <w:suppressLineNumbers w:val="0"/>
                    <w:jc w:val="center"/>
                    <w:textAlignment w:val="center"/>
                    <w:rPr>
                      <w:rFonts w:hint="default" w:ascii="Times New Roman" w:hAnsi="Times New Roman" w:eastAsia="宋体" w:cs="Times New Roman"/>
                      <w:kern w:val="0"/>
                      <w:sz w:val="21"/>
                      <w:szCs w:val="21"/>
                      <w:highlight w:val="none"/>
                      <w:lang w:val="en-US" w:eastAsia="zh-CN" w:bidi="ar-SA"/>
                    </w:rPr>
                  </w:pPr>
                  <w:r>
                    <w:rPr>
                      <w:rFonts w:hint="eastAsia" w:cs="Times New Roman"/>
                      <w:kern w:val="0"/>
                      <w:sz w:val="21"/>
                      <w:szCs w:val="21"/>
                      <w:highlight w:val="none"/>
                      <w:lang w:val="en-US" w:eastAsia="zh-CN" w:bidi="ar-SA"/>
                    </w:rPr>
                    <w:t>3910.8</w:t>
                  </w:r>
                </w:p>
              </w:tc>
            </w:tr>
            <w:tr w14:paraId="2BED7726">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87" w:hRule="atLeast"/>
                <w:jc w:val="center"/>
              </w:trPr>
              <w:tc>
                <w:tcPr>
                  <w:tcW w:w="1000" w:type="pct"/>
                  <w:noWrap/>
                  <w:vAlign w:val="center"/>
                </w:tcPr>
                <w:p w14:paraId="4E730B66">
                  <w:pPr>
                    <w:widowControl/>
                    <w:jc w:val="center"/>
                    <w:rPr>
                      <w:rFonts w:hint="eastAsia" w:eastAsia="宋体"/>
                      <w:b w:val="0"/>
                      <w:bCs w:val="0"/>
                      <w:kern w:val="0"/>
                      <w:sz w:val="21"/>
                      <w:szCs w:val="21"/>
                      <w:highlight w:val="none"/>
                      <w:lang w:val="en-US" w:eastAsia="zh-CN"/>
                    </w:rPr>
                  </w:pPr>
                  <w:r>
                    <w:rPr>
                      <w:rFonts w:hint="eastAsia"/>
                      <w:b w:val="0"/>
                      <w:bCs w:val="0"/>
                      <w:kern w:val="0"/>
                      <w:sz w:val="21"/>
                      <w:szCs w:val="21"/>
                      <w:highlight w:val="none"/>
                    </w:rPr>
                    <w:t>动静密封点</w:t>
                  </w:r>
                  <w:r>
                    <w:rPr>
                      <w:rFonts w:hint="eastAsia"/>
                      <w:b w:val="0"/>
                      <w:bCs w:val="0"/>
                      <w:kern w:val="0"/>
                      <w:sz w:val="21"/>
                      <w:szCs w:val="21"/>
                      <w:highlight w:val="none"/>
                      <w:lang w:val="en-US" w:eastAsia="zh-CN"/>
                    </w:rPr>
                    <w:t>核算结果</w:t>
                  </w:r>
                </w:p>
              </w:tc>
              <w:tc>
                <w:tcPr>
                  <w:tcW w:w="3999" w:type="pct"/>
                  <w:gridSpan w:val="4"/>
                  <w:noWrap/>
                  <w:vAlign w:val="center"/>
                </w:tcPr>
                <w:p w14:paraId="7D7FC23C">
                  <w:pPr>
                    <w:widowControl/>
                    <w:jc w:val="center"/>
                    <w:rPr>
                      <w:rFonts w:hint="default" w:eastAsia="宋体"/>
                      <w:b w:val="0"/>
                      <w:bCs w:val="0"/>
                      <w:kern w:val="0"/>
                      <w:sz w:val="21"/>
                      <w:szCs w:val="21"/>
                      <w:highlight w:val="none"/>
                      <w:lang w:val="en-US" w:eastAsia="zh-CN"/>
                    </w:rPr>
                  </w:pPr>
                  <w:r>
                    <w:rPr>
                      <w:rFonts w:hint="eastAsia"/>
                      <w:b w:val="0"/>
                      <w:bCs w:val="0"/>
                      <w:kern w:val="0"/>
                      <w:sz w:val="21"/>
                      <w:szCs w:val="21"/>
                      <w:highlight w:val="none"/>
                      <w:lang w:val="en-US" w:eastAsia="zh-CN"/>
                    </w:rPr>
                    <w:t>3910.8</w:t>
                  </w:r>
                  <w:r>
                    <w:rPr>
                      <w:rFonts w:hint="eastAsia" w:eastAsia="宋体"/>
                      <w:b w:val="0"/>
                      <w:bCs w:val="0"/>
                      <w:kern w:val="0"/>
                      <w:sz w:val="21"/>
                      <w:szCs w:val="21"/>
                      <w:highlight w:val="none"/>
                      <w:lang w:val="en-US" w:eastAsia="zh-CN"/>
                    </w:rPr>
                    <w:t>kg/a（</w:t>
                  </w:r>
                  <w:r>
                    <w:rPr>
                      <w:rFonts w:hint="eastAsia"/>
                      <w:b w:val="0"/>
                      <w:bCs w:val="0"/>
                      <w:kern w:val="0"/>
                      <w:sz w:val="21"/>
                      <w:szCs w:val="21"/>
                      <w:highlight w:val="none"/>
                      <w:lang w:val="en-US" w:eastAsia="zh-CN"/>
                    </w:rPr>
                    <w:t>3.91</w:t>
                  </w:r>
                  <w:r>
                    <w:rPr>
                      <w:rFonts w:hint="eastAsia" w:eastAsia="宋体"/>
                      <w:b w:val="0"/>
                      <w:bCs w:val="0"/>
                      <w:kern w:val="0"/>
                      <w:sz w:val="21"/>
                      <w:szCs w:val="21"/>
                      <w:highlight w:val="none"/>
                      <w:lang w:val="en-US" w:eastAsia="zh-CN"/>
                    </w:rPr>
                    <w:t>t/a）</w:t>
                  </w:r>
                </w:p>
              </w:tc>
            </w:tr>
          </w:tbl>
          <w:p w14:paraId="24CECFFE">
            <w:pPr>
              <w:adjustRightInd w:val="0"/>
              <w:snapToGrid w:val="0"/>
              <w:spacing w:line="360" w:lineRule="auto"/>
              <w:ind w:firstLine="1262" w:firstLineChars="526"/>
              <w:rPr>
                <w:rFonts w:hint="default"/>
                <w:sz w:val="24"/>
                <w:lang w:val="en-US" w:eastAsia="zh-CN"/>
              </w:rPr>
            </w:pPr>
            <w:r>
              <w:rPr>
                <w:rFonts w:hint="eastAsia"/>
                <w:sz w:val="24"/>
                <w:lang w:val="en-US" w:eastAsia="zh-CN"/>
              </w:rPr>
              <w:t>E</w:t>
            </w:r>
            <w:r>
              <w:rPr>
                <w:rFonts w:hint="eastAsia"/>
                <w:sz w:val="24"/>
                <w:vertAlign w:val="subscript"/>
                <w:lang w:val="en-US" w:eastAsia="zh-CN"/>
              </w:rPr>
              <w:t>设备</w:t>
            </w:r>
            <w:r>
              <w:rPr>
                <w:rFonts w:hint="eastAsia"/>
                <w:sz w:val="24"/>
                <w:lang w:val="en-US" w:eastAsia="zh-CN"/>
              </w:rPr>
              <w:t>=0.003×3910.8=11.7324kg/a≈0.012t/a</w:t>
            </w:r>
          </w:p>
          <w:p w14:paraId="66D8DE5C">
            <w:pPr>
              <w:pStyle w:val="111"/>
              <w:spacing w:line="240" w:lineRule="auto"/>
              <w:ind w:left="0" w:leftChars="0" w:firstLine="0" w:firstLineChars="0"/>
              <w:jc w:val="center"/>
              <w:rPr>
                <w:rFonts w:hint="eastAsia"/>
                <w:b/>
                <w:bCs/>
                <w:highlight w:val="none"/>
              </w:rPr>
            </w:pPr>
            <w:r>
              <w:rPr>
                <w:b/>
                <w:bCs/>
                <w:highlight w:val="none"/>
              </w:rPr>
              <w:t>表4-</w:t>
            </w:r>
            <w:r>
              <w:rPr>
                <w:rFonts w:hint="eastAsia"/>
                <w:b/>
                <w:bCs/>
                <w:highlight w:val="none"/>
                <w:lang w:val="en-US" w:eastAsia="zh-CN"/>
              </w:rPr>
              <w:t>5：</w:t>
            </w:r>
            <w:r>
              <w:rPr>
                <w:rFonts w:hint="eastAsia"/>
                <w:b/>
                <w:bCs/>
                <w:highlight w:val="none"/>
              </w:rPr>
              <w:t>废气产生及排放情况一览表</w:t>
            </w:r>
          </w:p>
          <w:tbl>
            <w:tblPr>
              <w:tblStyle w:val="41"/>
              <w:tblW w:w="4844"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716"/>
              <w:gridCol w:w="948"/>
              <w:gridCol w:w="948"/>
              <w:gridCol w:w="1285"/>
              <w:gridCol w:w="1285"/>
              <w:gridCol w:w="1157"/>
              <w:gridCol w:w="940"/>
              <w:gridCol w:w="943"/>
            </w:tblGrid>
            <w:tr w14:paraId="29F1FF55">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91" w:hRule="atLeast"/>
                <w:jc w:val="center"/>
              </w:trPr>
              <w:tc>
                <w:tcPr>
                  <w:tcW w:w="435" w:type="pct"/>
                  <w:vMerge w:val="restart"/>
                  <w:noWrap w:val="0"/>
                  <w:vAlign w:val="center"/>
                </w:tcPr>
                <w:p w14:paraId="3F234387">
                  <w:pPr>
                    <w:widowControl/>
                    <w:jc w:val="center"/>
                    <w:rPr>
                      <w:b w:val="0"/>
                      <w:bCs w:val="0"/>
                      <w:color w:val="000000"/>
                      <w:kern w:val="0"/>
                      <w:sz w:val="21"/>
                      <w:szCs w:val="21"/>
                      <w:highlight w:val="none"/>
                    </w:rPr>
                  </w:pPr>
                  <w:r>
                    <w:rPr>
                      <w:b w:val="0"/>
                      <w:bCs w:val="0"/>
                      <w:color w:val="000000"/>
                      <w:kern w:val="0"/>
                      <w:sz w:val="21"/>
                      <w:szCs w:val="21"/>
                      <w:highlight w:val="none"/>
                    </w:rPr>
                    <w:t>排放方式</w:t>
                  </w:r>
                </w:p>
              </w:tc>
              <w:tc>
                <w:tcPr>
                  <w:tcW w:w="576" w:type="pct"/>
                  <w:vMerge w:val="restart"/>
                  <w:noWrap w:val="0"/>
                  <w:vAlign w:val="center"/>
                </w:tcPr>
                <w:p w14:paraId="262603F2">
                  <w:pPr>
                    <w:widowControl/>
                    <w:jc w:val="center"/>
                    <w:rPr>
                      <w:b w:val="0"/>
                      <w:bCs w:val="0"/>
                      <w:color w:val="000000"/>
                      <w:kern w:val="0"/>
                      <w:sz w:val="21"/>
                      <w:szCs w:val="21"/>
                      <w:highlight w:val="none"/>
                    </w:rPr>
                  </w:pPr>
                  <w:r>
                    <w:rPr>
                      <w:rFonts w:hint="eastAsia"/>
                      <w:b w:val="0"/>
                      <w:bCs w:val="0"/>
                      <w:color w:val="000000"/>
                      <w:kern w:val="0"/>
                      <w:sz w:val="21"/>
                      <w:szCs w:val="21"/>
                      <w:highlight w:val="none"/>
                    </w:rPr>
                    <w:t>产生工段</w:t>
                  </w:r>
                </w:p>
              </w:tc>
              <w:tc>
                <w:tcPr>
                  <w:tcW w:w="576" w:type="pct"/>
                  <w:vMerge w:val="restart"/>
                  <w:noWrap w:val="0"/>
                  <w:vAlign w:val="center"/>
                </w:tcPr>
                <w:p w14:paraId="700338D2">
                  <w:pPr>
                    <w:widowControl/>
                    <w:jc w:val="center"/>
                    <w:rPr>
                      <w:b w:val="0"/>
                      <w:bCs w:val="0"/>
                      <w:color w:val="000000"/>
                      <w:kern w:val="0"/>
                      <w:sz w:val="21"/>
                      <w:szCs w:val="21"/>
                      <w:highlight w:val="none"/>
                    </w:rPr>
                  </w:pPr>
                  <w:r>
                    <w:rPr>
                      <w:b w:val="0"/>
                      <w:bCs w:val="0"/>
                      <w:color w:val="000000"/>
                      <w:kern w:val="0"/>
                      <w:sz w:val="21"/>
                      <w:szCs w:val="21"/>
                      <w:highlight w:val="none"/>
                    </w:rPr>
                    <w:t>污染物</w:t>
                  </w:r>
                </w:p>
              </w:tc>
              <w:tc>
                <w:tcPr>
                  <w:tcW w:w="781" w:type="pct"/>
                  <w:vMerge w:val="restart"/>
                  <w:noWrap w:val="0"/>
                  <w:vAlign w:val="center"/>
                </w:tcPr>
                <w:p w14:paraId="6528C6EC">
                  <w:pPr>
                    <w:widowControl/>
                    <w:jc w:val="center"/>
                    <w:rPr>
                      <w:rFonts w:hint="default"/>
                      <w:b w:val="0"/>
                      <w:bCs w:val="0"/>
                      <w:color w:val="000000"/>
                      <w:kern w:val="0"/>
                      <w:sz w:val="21"/>
                      <w:szCs w:val="21"/>
                      <w:highlight w:val="none"/>
                      <w:lang w:val="en-US" w:eastAsia="zh-CN"/>
                    </w:rPr>
                  </w:pPr>
                  <w:r>
                    <w:rPr>
                      <w:rFonts w:hint="eastAsia"/>
                      <w:b w:val="0"/>
                      <w:bCs w:val="0"/>
                      <w:color w:val="000000"/>
                      <w:kern w:val="0"/>
                      <w:sz w:val="21"/>
                      <w:szCs w:val="21"/>
                      <w:highlight w:val="none"/>
                      <w:lang w:val="en-US" w:eastAsia="zh-CN"/>
                    </w:rPr>
                    <w:t>运行时间/h</w:t>
                  </w:r>
                </w:p>
              </w:tc>
              <w:tc>
                <w:tcPr>
                  <w:tcW w:w="781" w:type="pct"/>
                  <w:vMerge w:val="restart"/>
                  <w:noWrap w:val="0"/>
                  <w:vAlign w:val="center"/>
                </w:tcPr>
                <w:p w14:paraId="78FB1BA0">
                  <w:pPr>
                    <w:widowControl/>
                    <w:jc w:val="center"/>
                    <w:rPr>
                      <w:b w:val="0"/>
                      <w:bCs w:val="0"/>
                      <w:color w:val="000000"/>
                      <w:kern w:val="0"/>
                      <w:sz w:val="21"/>
                      <w:szCs w:val="21"/>
                      <w:highlight w:val="none"/>
                    </w:rPr>
                  </w:pPr>
                  <w:r>
                    <w:rPr>
                      <w:b w:val="0"/>
                      <w:bCs w:val="0"/>
                      <w:color w:val="000000"/>
                      <w:kern w:val="0"/>
                      <w:sz w:val="21"/>
                      <w:szCs w:val="21"/>
                      <w:highlight w:val="none"/>
                    </w:rPr>
                    <w:t>处理措施</w:t>
                  </w:r>
                </w:p>
              </w:tc>
              <w:tc>
                <w:tcPr>
                  <w:tcW w:w="1847" w:type="pct"/>
                  <w:gridSpan w:val="3"/>
                  <w:noWrap w:val="0"/>
                  <w:vAlign w:val="center"/>
                </w:tcPr>
                <w:p w14:paraId="7889B54B">
                  <w:pPr>
                    <w:widowControl/>
                    <w:jc w:val="center"/>
                    <w:rPr>
                      <w:b w:val="0"/>
                      <w:bCs w:val="0"/>
                      <w:color w:val="000000"/>
                      <w:kern w:val="0"/>
                      <w:sz w:val="21"/>
                      <w:szCs w:val="21"/>
                      <w:highlight w:val="none"/>
                    </w:rPr>
                  </w:pPr>
                  <w:r>
                    <w:rPr>
                      <w:b w:val="0"/>
                      <w:bCs w:val="0"/>
                      <w:color w:val="000000"/>
                      <w:kern w:val="0"/>
                      <w:sz w:val="21"/>
                      <w:szCs w:val="21"/>
                      <w:highlight w:val="none"/>
                    </w:rPr>
                    <w:t>排放源强</w:t>
                  </w:r>
                </w:p>
              </w:tc>
            </w:tr>
            <w:tr w14:paraId="000994CC">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43" w:hRule="atLeast"/>
                <w:jc w:val="center"/>
              </w:trPr>
              <w:tc>
                <w:tcPr>
                  <w:tcW w:w="435" w:type="pct"/>
                  <w:vMerge w:val="continue"/>
                  <w:noWrap w:val="0"/>
                  <w:vAlign w:val="center"/>
                </w:tcPr>
                <w:p w14:paraId="103DB2DF">
                  <w:pPr>
                    <w:widowControl/>
                    <w:jc w:val="center"/>
                    <w:rPr>
                      <w:b w:val="0"/>
                      <w:bCs w:val="0"/>
                      <w:color w:val="000000"/>
                      <w:kern w:val="0"/>
                      <w:sz w:val="21"/>
                      <w:szCs w:val="21"/>
                      <w:highlight w:val="none"/>
                    </w:rPr>
                  </w:pPr>
                </w:p>
              </w:tc>
              <w:tc>
                <w:tcPr>
                  <w:tcW w:w="576" w:type="pct"/>
                  <w:vMerge w:val="continue"/>
                  <w:noWrap w:val="0"/>
                  <w:vAlign w:val="center"/>
                </w:tcPr>
                <w:p w14:paraId="484E369E">
                  <w:pPr>
                    <w:widowControl/>
                    <w:jc w:val="center"/>
                    <w:rPr>
                      <w:b w:val="0"/>
                      <w:bCs w:val="0"/>
                      <w:color w:val="000000"/>
                      <w:kern w:val="0"/>
                      <w:sz w:val="21"/>
                      <w:szCs w:val="21"/>
                      <w:highlight w:val="none"/>
                    </w:rPr>
                  </w:pPr>
                </w:p>
              </w:tc>
              <w:tc>
                <w:tcPr>
                  <w:tcW w:w="576" w:type="pct"/>
                  <w:vMerge w:val="continue"/>
                  <w:noWrap w:val="0"/>
                  <w:vAlign w:val="center"/>
                </w:tcPr>
                <w:p w14:paraId="6490ECAD">
                  <w:pPr>
                    <w:widowControl/>
                    <w:jc w:val="center"/>
                    <w:rPr>
                      <w:b w:val="0"/>
                      <w:bCs w:val="0"/>
                      <w:color w:val="000000"/>
                      <w:kern w:val="0"/>
                      <w:sz w:val="21"/>
                      <w:szCs w:val="21"/>
                      <w:highlight w:val="none"/>
                    </w:rPr>
                  </w:pPr>
                </w:p>
              </w:tc>
              <w:tc>
                <w:tcPr>
                  <w:tcW w:w="781" w:type="pct"/>
                  <w:vMerge w:val="continue"/>
                  <w:noWrap w:val="0"/>
                  <w:vAlign w:val="center"/>
                </w:tcPr>
                <w:p w14:paraId="0240152A">
                  <w:pPr>
                    <w:widowControl/>
                    <w:jc w:val="center"/>
                    <w:rPr>
                      <w:b w:val="0"/>
                      <w:bCs w:val="0"/>
                      <w:color w:val="000000"/>
                      <w:kern w:val="0"/>
                      <w:sz w:val="21"/>
                      <w:szCs w:val="21"/>
                      <w:highlight w:val="none"/>
                    </w:rPr>
                  </w:pPr>
                </w:p>
              </w:tc>
              <w:tc>
                <w:tcPr>
                  <w:tcW w:w="781" w:type="pct"/>
                  <w:vMerge w:val="continue"/>
                  <w:noWrap w:val="0"/>
                  <w:vAlign w:val="center"/>
                </w:tcPr>
                <w:p w14:paraId="4D76430B">
                  <w:pPr>
                    <w:widowControl/>
                    <w:jc w:val="center"/>
                    <w:rPr>
                      <w:b w:val="0"/>
                      <w:bCs w:val="0"/>
                      <w:color w:val="000000"/>
                      <w:kern w:val="0"/>
                      <w:sz w:val="21"/>
                      <w:szCs w:val="21"/>
                      <w:highlight w:val="none"/>
                    </w:rPr>
                  </w:pPr>
                </w:p>
              </w:tc>
              <w:tc>
                <w:tcPr>
                  <w:tcW w:w="703" w:type="pct"/>
                  <w:noWrap w:val="0"/>
                  <w:vAlign w:val="center"/>
                </w:tcPr>
                <w:p w14:paraId="11832F2F">
                  <w:pPr>
                    <w:widowControl/>
                    <w:jc w:val="center"/>
                    <w:rPr>
                      <w:b w:val="0"/>
                      <w:bCs w:val="0"/>
                      <w:color w:val="000000"/>
                      <w:kern w:val="0"/>
                      <w:sz w:val="21"/>
                      <w:szCs w:val="21"/>
                      <w:highlight w:val="none"/>
                    </w:rPr>
                  </w:pPr>
                  <w:r>
                    <w:rPr>
                      <w:b w:val="0"/>
                      <w:bCs w:val="0"/>
                      <w:color w:val="000000"/>
                      <w:kern w:val="0"/>
                      <w:sz w:val="21"/>
                      <w:szCs w:val="21"/>
                      <w:highlight w:val="none"/>
                    </w:rPr>
                    <w:t>排放浓度mg/m</w:t>
                  </w:r>
                  <w:r>
                    <w:rPr>
                      <w:b w:val="0"/>
                      <w:bCs w:val="0"/>
                      <w:color w:val="000000"/>
                      <w:kern w:val="0"/>
                      <w:sz w:val="21"/>
                      <w:szCs w:val="21"/>
                      <w:highlight w:val="none"/>
                      <w:vertAlign w:val="superscript"/>
                    </w:rPr>
                    <w:t>3</w:t>
                  </w:r>
                </w:p>
              </w:tc>
              <w:tc>
                <w:tcPr>
                  <w:tcW w:w="571" w:type="pct"/>
                  <w:noWrap w:val="0"/>
                  <w:vAlign w:val="center"/>
                </w:tcPr>
                <w:p w14:paraId="31DA14D4">
                  <w:pPr>
                    <w:widowControl/>
                    <w:jc w:val="center"/>
                    <w:rPr>
                      <w:b w:val="0"/>
                      <w:bCs w:val="0"/>
                      <w:color w:val="000000"/>
                      <w:kern w:val="0"/>
                      <w:sz w:val="21"/>
                      <w:szCs w:val="21"/>
                      <w:highlight w:val="none"/>
                    </w:rPr>
                  </w:pPr>
                  <w:r>
                    <w:rPr>
                      <w:b w:val="0"/>
                      <w:bCs w:val="0"/>
                      <w:color w:val="000000"/>
                      <w:kern w:val="0"/>
                      <w:sz w:val="21"/>
                      <w:szCs w:val="21"/>
                      <w:highlight w:val="none"/>
                    </w:rPr>
                    <w:t>排放速率kg/h</w:t>
                  </w:r>
                </w:p>
              </w:tc>
              <w:tc>
                <w:tcPr>
                  <w:tcW w:w="571" w:type="pct"/>
                  <w:noWrap w:val="0"/>
                  <w:vAlign w:val="center"/>
                </w:tcPr>
                <w:p w14:paraId="2CD177B4">
                  <w:pPr>
                    <w:widowControl/>
                    <w:jc w:val="center"/>
                    <w:rPr>
                      <w:b w:val="0"/>
                      <w:bCs w:val="0"/>
                      <w:color w:val="000000"/>
                      <w:kern w:val="0"/>
                      <w:sz w:val="21"/>
                      <w:szCs w:val="21"/>
                      <w:highlight w:val="none"/>
                    </w:rPr>
                  </w:pPr>
                  <w:r>
                    <w:rPr>
                      <w:b w:val="0"/>
                      <w:bCs w:val="0"/>
                      <w:color w:val="000000"/>
                      <w:kern w:val="0"/>
                      <w:sz w:val="21"/>
                      <w:szCs w:val="21"/>
                      <w:highlight w:val="none"/>
                    </w:rPr>
                    <w:t>排放量t/a</w:t>
                  </w:r>
                </w:p>
              </w:tc>
            </w:tr>
            <w:tr w14:paraId="5015C0D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435" w:type="pct"/>
                  <w:noWrap w:val="0"/>
                  <w:vAlign w:val="center"/>
                </w:tcPr>
                <w:p w14:paraId="2EA868E3">
                  <w:pPr>
                    <w:widowControl/>
                    <w:jc w:val="center"/>
                    <w:rPr>
                      <w:color w:val="000000"/>
                      <w:kern w:val="0"/>
                      <w:sz w:val="21"/>
                      <w:szCs w:val="21"/>
                      <w:highlight w:val="none"/>
                    </w:rPr>
                  </w:pPr>
                  <w:r>
                    <w:rPr>
                      <w:color w:val="000000"/>
                      <w:kern w:val="0"/>
                      <w:sz w:val="21"/>
                      <w:szCs w:val="21"/>
                      <w:highlight w:val="none"/>
                    </w:rPr>
                    <w:t>无组</w:t>
                  </w:r>
                </w:p>
                <w:p w14:paraId="3FE83585">
                  <w:pPr>
                    <w:widowControl/>
                    <w:jc w:val="center"/>
                    <w:rPr>
                      <w:rFonts w:hint="eastAsia"/>
                      <w:color w:val="000000"/>
                      <w:kern w:val="0"/>
                      <w:sz w:val="21"/>
                      <w:szCs w:val="21"/>
                      <w:highlight w:val="none"/>
                    </w:rPr>
                  </w:pPr>
                  <w:r>
                    <w:rPr>
                      <w:color w:val="000000"/>
                      <w:kern w:val="0"/>
                      <w:sz w:val="21"/>
                      <w:szCs w:val="21"/>
                      <w:highlight w:val="none"/>
                    </w:rPr>
                    <w:t>织</w:t>
                  </w:r>
                </w:p>
              </w:tc>
              <w:tc>
                <w:tcPr>
                  <w:tcW w:w="576" w:type="pct"/>
                  <w:noWrap w:val="0"/>
                  <w:vAlign w:val="center"/>
                </w:tcPr>
                <w:p w14:paraId="6C99DB01">
                  <w:pPr>
                    <w:widowControl/>
                    <w:jc w:val="center"/>
                    <w:rPr>
                      <w:rFonts w:hint="default"/>
                      <w:color w:val="000000"/>
                      <w:kern w:val="0"/>
                      <w:sz w:val="21"/>
                      <w:szCs w:val="21"/>
                      <w:highlight w:val="none"/>
                      <w:lang w:val="en-US"/>
                    </w:rPr>
                  </w:pPr>
                  <w:r>
                    <w:rPr>
                      <w:rFonts w:hint="eastAsia"/>
                      <w:color w:val="000000"/>
                      <w:kern w:val="0"/>
                      <w:sz w:val="21"/>
                      <w:szCs w:val="21"/>
                      <w:highlight w:val="none"/>
                      <w:lang w:val="en-US" w:eastAsia="zh-CN"/>
                    </w:rPr>
                    <w:t>装置无组织</w:t>
                  </w:r>
                </w:p>
              </w:tc>
              <w:tc>
                <w:tcPr>
                  <w:tcW w:w="576" w:type="pct"/>
                  <w:noWrap w:val="0"/>
                  <w:vAlign w:val="center"/>
                </w:tcPr>
                <w:p w14:paraId="7F2AF655">
                  <w:pPr>
                    <w:widowControl/>
                    <w:jc w:val="center"/>
                    <w:rPr>
                      <w:color w:val="000000"/>
                      <w:kern w:val="0"/>
                      <w:sz w:val="21"/>
                      <w:szCs w:val="21"/>
                      <w:highlight w:val="none"/>
                    </w:rPr>
                  </w:pPr>
                  <w:r>
                    <w:rPr>
                      <w:color w:val="000000"/>
                      <w:kern w:val="0"/>
                      <w:sz w:val="21"/>
                      <w:szCs w:val="21"/>
                      <w:highlight w:val="none"/>
                    </w:rPr>
                    <w:t>非甲烷</w:t>
                  </w:r>
                </w:p>
                <w:p w14:paraId="3A8DB5FB">
                  <w:pPr>
                    <w:widowControl/>
                    <w:jc w:val="center"/>
                    <w:rPr>
                      <w:color w:val="000000"/>
                      <w:kern w:val="0"/>
                      <w:sz w:val="21"/>
                      <w:szCs w:val="21"/>
                      <w:highlight w:val="none"/>
                    </w:rPr>
                  </w:pPr>
                  <w:r>
                    <w:rPr>
                      <w:color w:val="000000"/>
                      <w:kern w:val="0"/>
                      <w:sz w:val="21"/>
                      <w:szCs w:val="21"/>
                      <w:highlight w:val="none"/>
                    </w:rPr>
                    <w:t>总烃</w:t>
                  </w:r>
                </w:p>
              </w:tc>
              <w:tc>
                <w:tcPr>
                  <w:tcW w:w="781" w:type="pct"/>
                  <w:noWrap w:val="0"/>
                  <w:vAlign w:val="center"/>
                </w:tcPr>
                <w:p w14:paraId="62512DFC">
                  <w:pPr>
                    <w:widowControl/>
                    <w:jc w:val="center"/>
                    <w:rPr>
                      <w:rFonts w:hint="default"/>
                      <w:color w:val="000000"/>
                      <w:kern w:val="0"/>
                      <w:sz w:val="21"/>
                      <w:szCs w:val="21"/>
                      <w:highlight w:val="none"/>
                      <w:lang w:val="en-US" w:eastAsia="zh-CN"/>
                    </w:rPr>
                  </w:pPr>
                  <w:r>
                    <w:rPr>
                      <w:rFonts w:hint="eastAsia"/>
                      <w:color w:val="000000"/>
                      <w:kern w:val="0"/>
                      <w:sz w:val="21"/>
                      <w:szCs w:val="21"/>
                      <w:highlight w:val="none"/>
                      <w:lang w:val="en-US" w:eastAsia="zh-CN"/>
                    </w:rPr>
                    <w:t>8000</w:t>
                  </w:r>
                </w:p>
              </w:tc>
              <w:tc>
                <w:tcPr>
                  <w:tcW w:w="781" w:type="pct"/>
                  <w:noWrap w:val="0"/>
                  <w:vAlign w:val="center"/>
                </w:tcPr>
                <w:p w14:paraId="1B433CCE">
                  <w:pPr>
                    <w:widowControl/>
                    <w:jc w:val="center"/>
                    <w:rPr>
                      <w:rFonts w:hint="eastAsia" w:eastAsia="宋体"/>
                      <w:color w:val="000000"/>
                      <w:kern w:val="0"/>
                      <w:sz w:val="21"/>
                      <w:szCs w:val="21"/>
                      <w:highlight w:val="none"/>
                      <w:lang w:eastAsia="zh-CN"/>
                    </w:rPr>
                  </w:pPr>
                  <w:r>
                    <w:rPr>
                      <w:rFonts w:hint="eastAsia"/>
                      <w:color w:val="000000"/>
                      <w:kern w:val="0"/>
                      <w:sz w:val="21"/>
                      <w:szCs w:val="21"/>
                      <w:highlight w:val="none"/>
                      <w:lang w:val="en-US" w:eastAsia="zh-CN"/>
                    </w:rPr>
                    <w:t>/</w:t>
                  </w:r>
                </w:p>
              </w:tc>
              <w:tc>
                <w:tcPr>
                  <w:tcW w:w="703" w:type="pct"/>
                  <w:noWrap w:val="0"/>
                  <w:vAlign w:val="center"/>
                </w:tcPr>
                <w:p w14:paraId="1200516A">
                  <w:pPr>
                    <w:widowControl/>
                    <w:jc w:val="center"/>
                    <w:rPr>
                      <w:rFonts w:hint="eastAsia"/>
                      <w:color w:val="000000"/>
                      <w:kern w:val="0"/>
                      <w:sz w:val="21"/>
                      <w:szCs w:val="21"/>
                      <w:highlight w:val="none"/>
                    </w:rPr>
                  </w:pPr>
                  <w:r>
                    <w:rPr>
                      <w:rFonts w:hint="eastAsia"/>
                      <w:color w:val="000000"/>
                      <w:kern w:val="0"/>
                      <w:sz w:val="21"/>
                      <w:szCs w:val="21"/>
                      <w:highlight w:val="none"/>
                    </w:rPr>
                    <w:t>/</w:t>
                  </w:r>
                </w:p>
              </w:tc>
              <w:tc>
                <w:tcPr>
                  <w:tcW w:w="571" w:type="pct"/>
                  <w:noWrap w:val="0"/>
                  <w:vAlign w:val="center"/>
                </w:tcPr>
                <w:p w14:paraId="7B3C3218">
                  <w:pPr>
                    <w:widowControl/>
                    <w:jc w:val="center"/>
                    <w:rPr>
                      <w:rFonts w:hint="default" w:eastAsia="宋体"/>
                      <w:color w:val="000000"/>
                      <w:kern w:val="0"/>
                      <w:sz w:val="21"/>
                      <w:szCs w:val="21"/>
                      <w:highlight w:val="none"/>
                      <w:lang w:val="en-US" w:eastAsia="zh-CN"/>
                    </w:rPr>
                  </w:pPr>
                  <w:r>
                    <w:rPr>
                      <w:rFonts w:hint="eastAsia"/>
                      <w:color w:val="000000"/>
                      <w:kern w:val="0"/>
                      <w:sz w:val="21"/>
                      <w:szCs w:val="21"/>
                      <w:highlight w:val="none"/>
                      <w:lang w:val="en-US" w:eastAsia="zh-CN"/>
                    </w:rPr>
                    <w:t>0.0015</w:t>
                  </w:r>
                </w:p>
              </w:tc>
              <w:tc>
                <w:tcPr>
                  <w:tcW w:w="571" w:type="pct"/>
                  <w:noWrap w:val="0"/>
                  <w:vAlign w:val="center"/>
                </w:tcPr>
                <w:p w14:paraId="2DFE9691">
                  <w:pPr>
                    <w:widowControl/>
                    <w:jc w:val="center"/>
                    <w:rPr>
                      <w:rFonts w:hint="default" w:eastAsia="宋体"/>
                      <w:color w:val="000000"/>
                      <w:kern w:val="0"/>
                      <w:sz w:val="21"/>
                      <w:szCs w:val="21"/>
                      <w:highlight w:val="none"/>
                      <w:lang w:val="en-US" w:eastAsia="zh-CN"/>
                    </w:rPr>
                  </w:pPr>
                  <w:r>
                    <w:rPr>
                      <w:rFonts w:hint="eastAsia"/>
                      <w:color w:val="000000"/>
                      <w:kern w:val="0"/>
                      <w:sz w:val="21"/>
                      <w:szCs w:val="21"/>
                      <w:highlight w:val="none"/>
                      <w:lang w:val="en-US" w:eastAsia="zh-CN"/>
                    </w:rPr>
                    <w:t>0.012</w:t>
                  </w:r>
                </w:p>
              </w:tc>
            </w:tr>
          </w:tbl>
          <w:p w14:paraId="5BA6F08B">
            <w:pPr>
              <w:snapToGrid w:val="0"/>
              <w:spacing w:line="360" w:lineRule="auto"/>
              <w:ind w:firstLine="480"/>
              <w:rPr>
                <w:b w:val="0"/>
                <w:bCs w:val="0"/>
                <w:sz w:val="24"/>
              </w:rPr>
            </w:pPr>
            <w:r>
              <w:rPr>
                <w:b/>
                <w:bCs/>
                <w:sz w:val="24"/>
              </w:rPr>
              <w:t>1.</w:t>
            </w:r>
            <w:r>
              <w:rPr>
                <w:rFonts w:hint="eastAsia"/>
                <w:b/>
                <w:bCs/>
                <w:sz w:val="24"/>
                <w:lang w:val="en-US" w:eastAsia="zh-CN"/>
              </w:rPr>
              <w:t>2废气治理措施可行性分析</w:t>
            </w:r>
          </w:p>
          <w:p w14:paraId="17A3BE7A">
            <w:pPr>
              <w:adjustRightInd w:val="0"/>
              <w:snapToGrid w:val="0"/>
              <w:spacing w:line="360" w:lineRule="auto"/>
              <w:ind w:firstLine="480" w:firstLineChars="200"/>
              <w:rPr>
                <w:rFonts w:hint="eastAsia"/>
                <w:sz w:val="24"/>
                <w:lang w:val="en-US" w:eastAsia="zh-CN"/>
              </w:rPr>
            </w:pPr>
            <w:r>
              <w:rPr>
                <w:rFonts w:hint="eastAsia"/>
                <w:sz w:val="24"/>
                <w:lang w:val="en-US" w:eastAsia="zh-CN"/>
              </w:rPr>
              <w:t>（1）不凝气</w:t>
            </w:r>
          </w:p>
          <w:p w14:paraId="7E8AF090">
            <w:pPr>
              <w:adjustRightInd w:val="0"/>
              <w:snapToGrid w:val="0"/>
              <w:spacing w:line="360" w:lineRule="auto"/>
              <w:ind w:firstLine="480" w:firstLineChars="200"/>
              <w:rPr>
                <w:rFonts w:hint="default"/>
                <w:sz w:val="24"/>
                <w:lang w:val="en-US" w:eastAsia="zh-CN"/>
              </w:rPr>
            </w:pPr>
            <w:r>
              <w:rPr>
                <w:rFonts w:hint="eastAsia"/>
                <w:sz w:val="24"/>
                <w:lang w:val="en-US" w:eastAsia="zh-CN"/>
              </w:rPr>
              <w:t>本项目不凝气产生量为0.2万t/a，不凝气</w:t>
            </w:r>
            <w:r>
              <w:rPr>
                <w:rFonts w:hint="eastAsia" w:ascii="Times New Roman" w:hAnsi="Times New Roman" w:eastAsia="宋体" w:cs="Times New Roman"/>
                <w:color w:val="000000"/>
                <w:kern w:val="2"/>
                <w:sz w:val="24"/>
                <w:szCs w:val="24"/>
                <w:lang w:val="en-US" w:eastAsia="zh-CN"/>
              </w:rPr>
              <w:t>经</w:t>
            </w:r>
            <w:r>
              <w:rPr>
                <w:rFonts w:hint="eastAsia" w:ascii="Times New Roman" w:hAnsi="Times New Roman" w:eastAsia="宋体" w:cs="Times New Roman"/>
                <w:color w:val="000000"/>
                <w:kern w:val="2"/>
                <w:sz w:val="24"/>
                <w:szCs w:val="24"/>
              </w:rPr>
              <w:t>过</w:t>
            </w:r>
            <w:r>
              <w:rPr>
                <w:rFonts w:hint="eastAsia" w:ascii="Times New Roman" w:hAnsi="Times New Roman" w:eastAsia="宋体" w:cs="Times New Roman"/>
                <w:color w:val="000000"/>
                <w:kern w:val="2"/>
                <w:sz w:val="24"/>
                <w:szCs w:val="24"/>
                <w:lang w:val="en-US" w:eastAsia="zh-CN"/>
              </w:rPr>
              <w:t>合成装置</w:t>
            </w:r>
            <w:r>
              <w:rPr>
                <w:rFonts w:hint="eastAsia" w:ascii="Times New Roman" w:hAnsi="Times New Roman" w:eastAsia="宋体" w:cs="Times New Roman"/>
                <w:color w:val="000000"/>
                <w:kern w:val="2"/>
                <w:sz w:val="24"/>
                <w:szCs w:val="24"/>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color w:val="000000"/>
                <w:kern w:val="2"/>
                <w:sz w:val="24"/>
                <w:szCs w:val="24"/>
                <w:lang w:val="en-US" w:eastAsia="zh-CN"/>
              </w:rPr>
              <w:t>尾气脱碳单元一部分气体进入合</w:t>
            </w:r>
            <w:r>
              <w:rPr>
                <w:rFonts w:hint="eastAsia" w:cs="Times New Roman"/>
                <w:color w:val="000000"/>
                <w:kern w:val="2"/>
                <w:sz w:val="24"/>
                <w:szCs w:val="24"/>
                <w:lang w:val="en-US" w:eastAsia="zh-CN"/>
              </w:rPr>
              <w:t>成装置产出产品，另一部分气体进入加工油洗单元</w:t>
            </w:r>
            <w:r>
              <w:rPr>
                <w:rFonts w:hint="eastAsia" w:ascii="Times New Roman" w:hAnsi="Times New Roman" w:eastAsia="宋体" w:cs="Times New Roman"/>
                <w:color w:val="000000"/>
                <w:kern w:val="2"/>
                <w:sz w:val="24"/>
                <w:szCs w:val="24"/>
                <w:lang w:val="en-US" w:eastAsia="zh-CN"/>
              </w:rPr>
              <w:t>产出产品。</w:t>
            </w:r>
            <w:r>
              <w:rPr>
                <w:rFonts w:hint="eastAsia"/>
                <w:sz w:val="24"/>
                <w:lang w:val="en-US" w:eastAsia="zh-CN"/>
              </w:rPr>
              <w:t>释放气压缩机依托内蒙古伊泰化工有限责任公司120万吨/年精细化学品示范项目（变更）费托合成单元的释放气压缩机，处理规模为50t/h，目前处理量为43.2t/h，剩余量为6.8t/a，本项目不凝气产生量为0.2万t/a（0.025kg/h），可完全接纳本项目产生的不凝气。</w:t>
            </w:r>
          </w:p>
          <w:p w14:paraId="01ACE55C">
            <w:pPr>
              <w:adjustRightInd w:val="0"/>
              <w:snapToGrid w:val="0"/>
              <w:spacing w:line="360" w:lineRule="auto"/>
              <w:ind w:firstLine="480" w:firstLineChars="200"/>
              <w:rPr>
                <w:rFonts w:hint="eastAsia"/>
                <w:sz w:val="24"/>
                <w:lang w:val="en-US" w:eastAsia="zh-CN"/>
              </w:rPr>
            </w:pPr>
            <w:r>
              <w:rPr>
                <w:rFonts w:hint="eastAsia"/>
                <w:sz w:val="24"/>
                <w:lang w:val="en-US" w:eastAsia="zh-CN"/>
              </w:rPr>
              <w:t>（2）装置区无组织废气</w:t>
            </w:r>
          </w:p>
          <w:p w14:paraId="0CA6D77B">
            <w:pPr>
              <w:adjustRightInd w:val="0"/>
              <w:snapToGrid w:val="0"/>
              <w:spacing w:line="360" w:lineRule="auto"/>
              <w:ind w:firstLine="480"/>
              <w:rPr>
                <w:sz w:val="24"/>
                <w:highlight w:val="none"/>
              </w:rPr>
            </w:pPr>
            <w:r>
              <w:rPr>
                <w:rFonts w:hint="eastAsia"/>
                <w:sz w:val="24"/>
                <w:highlight w:val="none"/>
                <w:lang w:val="en-US" w:eastAsia="zh-CN"/>
              </w:rPr>
              <w:t>①</w:t>
            </w:r>
            <w:r>
              <w:rPr>
                <w:sz w:val="24"/>
                <w:highlight w:val="none"/>
              </w:rPr>
              <w:t>源头削减</w:t>
            </w:r>
          </w:p>
          <w:p w14:paraId="7C0EF285">
            <w:pPr>
              <w:adjustRightInd w:val="0"/>
              <w:snapToGrid w:val="0"/>
              <w:spacing w:line="360" w:lineRule="auto"/>
              <w:ind w:firstLine="480"/>
              <w:rPr>
                <w:sz w:val="24"/>
                <w:highlight w:val="none"/>
              </w:rPr>
            </w:pPr>
            <w:r>
              <w:rPr>
                <w:sz w:val="24"/>
                <w:highlight w:val="none"/>
              </w:rPr>
              <w:t>项目采用全密闭</w:t>
            </w:r>
            <w:r>
              <w:rPr>
                <w:rFonts w:hint="eastAsia"/>
                <w:sz w:val="24"/>
                <w:highlight w:val="none"/>
              </w:rPr>
              <w:t>、</w:t>
            </w:r>
            <w:r>
              <w:rPr>
                <w:sz w:val="24"/>
                <w:highlight w:val="none"/>
              </w:rPr>
              <w:t>连续化</w:t>
            </w:r>
            <w:r>
              <w:rPr>
                <w:rFonts w:hint="eastAsia"/>
                <w:sz w:val="24"/>
                <w:highlight w:val="none"/>
              </w:rPr>
              <w:t>、</w:t>
            </w:r>
            <w:r>
              <w:rPr>
                <w:sz w:val="24"/>
                <w:highlight w:val="none"/>
              </w:rPr>
              <w:t>自动化等生产工艺</w:t>
            </w:r>
            <w:r>
              <w:rPr>
                <w:rFonts w:hint="eastAsia"/>
                <w:sz w:val="24"/>
                <w:highlight w:val="none"/>
              </w:rPr>
              <w:t>。</w:t>
            </w:r>
          </w:p>
          <w:p w14:paraId="3FD3D8F7">
            <w:pPr>
              <w:adjustRightInd w:val="0"/>
              <w:snapToGrid w:val="0"/>
              <w:spacing w:line="360" w:lineRule="auto"/>
              <w:ind w:firstLine="480"/>
              <w:rPr>
                <w:sz w:val="24"/>
                <w:highlight w:val="none"/>
              </w:rPr>
            </w:pPr>
            <w:r>
              <w:rPr>
                <w:rFonts w:hint="eastAsia"/>
                <w:sz w:val="24"/>
                <w:highlight w:val="none"/>
                <w:lang w:val="en-US" w:eastAsia="zh-CN"/>
              </w:rPr>
              <w:t>②</w:t>
            </w:r>
            <w:r>
              <w:rPr>
                <w:sz w:val="24"/>
                <w:highlight w:val="none"/>
              </w:rPr>
              <w:t>过程控制</w:t>
            </w:r>
          </w:p>
          <w:p w14:paraId="07DFE270">
            <w:pPr>
              <w:adjustRightInd w:val="0"/>
              <w:snapToGrid w:val="0"/>
              <w:spacing w:line="360" w:lineRule="auto"/>
              <w:ind w:firstLine="480"/>
              <w:rPr>
                <w:sz w:val="24"/>
                <w:highlight w:val="none"/>
              </w:rPr>
            </w:pPr>
            <w:r>
              <w:rPr>
                <w:rFonts w:hint="eastAsia"/>
                <w:sz w:val="24"/>
                <w:highlight w:val="none"/>
              </w:rPr>
              <w:t>开展设备与管线组件泄漏检测与修复</w:t>
            </w:r>
            <w:r>
              <w:rPr>
                <w:rFonts w:hint="eastAsia"/>
                <w:sz w:val="24"/>
                <w:highlight w:val="none"/>
                <w:lang w:eastAsia="zh-CN"/>
              </w:rPr>
              <w:t>（</w:t>
            </w:r>
            <w:r>
              <w:rPr>
                <w:rFonts w:hint="eastAsia"/>
                <w:sz w:val="24"/>
                <w:highlight w:val="none"/>
              </w:rPr>
              <w:t>LDAR</w:t>
            </w:r>
            <w:r>
              <w:rPr>
                <w:rFonts w:hint="eastAsia"/>
                <w:sz w:val="24"/>
                <w:highlight w:val="none"/>
                <w:lang w:eastAsia="zh-CN"/>
              </w:rPr>
              <w:t>）</w:t>
            </w:r>
            <w:r>
              <w:rPr>
                <w:rFonts w:hint="eastAsia"/>
                <w:sz w:val="24"/>
                <w:highlight w:val="none"/>
              </w:rPr>
              <w:t>工作</w:t>
            </w:r>
            <w:r>
              <w:rPr>
                <w:rFonts w:hint="eastAsia"/>
                <w:sz w:val="24"/>
                <w:highlight w:val="none"/>
                <w:lang w:val="en-US" w:eastAsia="zh-CN"/>
              </w:rPr>
              <w:t>：</w:t>
            </w:r>
            <w:r>
              <w:rPr>
                <w:rFonts w:hint="eastAsia"/>
                <w:sz w:val="24"/>
                <w:highlight w:val="none"/>
              </w:rPr>
              <w:t>企业应识别载有气态VOCs物料、液态VOCs物料的设备和管线组件的密封点，建立企业密封点档案和泄漏检测与修复计划</w:t>
            </w:r>
            <w:r>
              <w:rPr>
                <w:rFonts w:hint="eastAsia"/>
                <w:sz w:val="24"/>
                <w:highlight w:val="none"/>
                <w:lang w:eastAsia="zh-CN"/>
              </w:rPr>
              <w:t>；</w:t>
            </w:r>
            <w:r>
              <w:rPr>
                <w:rFonts w:hint="eastAsia"/>
                <w:sz w:val="24"/>
                <w:highlight w:val="none"/>
              </w:rPr>
              <w:t>建立企业密封点</w:t>
            </w:r>
            <w:r>
              <w:rPr>
                <w:sz w:val="24"/>
                <w:highlight w:val="none"/>
              </w:rPr>
              <w:t>LDAR</w:t>
            </w:r>
            <w:r>
              <w:rPr>
                <w:rFonts w:hint="eastAsia"/>
                <w:sz w:val="24"/>
                <w:highlight w:val="none"/>
              </w:rPr>
              <w:t>信息平台，全面分析泄漏点信息，对易</w:t>
            </w:r>
            <w:r>
              <w:rPr>
                <w:rFonts w:hint="eastAsia"/>
                <w:sz w:val="24"/>
                <w:highlight w:val="none"/>
                <w:lang w:eastAsia="zh-CN"/>
              </w:rPr>
              <w:t>泄露</w:t>
            </w:r>
            <w:r>
              <w:rPr>
                <w:rFonts w:hint="eastAsia"/>
                <w:sz w:val="24"/>
                <w:highlight w:val="none"/>
              </w:rPr>
              <w:t>环节制定针对性改进措施。</w:t>
            </w:r>
          </w:p>
          <w:p w14:paraId="2FB10FB5">
            <w:pPr>
              <w:adjustRightInd w:val="0"/>
              <w:snapToGrid w:val="0"/>
              <w:spacing w:line="360" w:lineRule="auto"/>
              <w:ind w:firstLine="480"/>
              <w:rPr>
                <w:sz w:val="24"/>
                <w:highlight w:val="none"/>
              </w:rPr>
            </w:pPr>
            <w:r>
              <w:rPr>
                <w:rFonts w:hint="eastAsia"/>
                <w:sz w:val="24"/>
                <w:highlight w:val="none"/>
                <w:lang w:val="en-US" w:eastAsia="zh-CN"/>
              </w:rPr>
              <w:t>③</w:t>
            </w:r>
            <w:r>
              <w:rPr>
                <w:rFonts w:hint="eastAsia"/>
                <w:sz w:val="24"/>
                <w:highlight w:val="none"/>
              </w:rPr>
              <w:t>火炬</w:t>
            </w:r>
          </w:p>
          <w:p w14:paraId="0A92ACFF">
            <w:pPr>
              <w:adjustRightInd w:val="0"/>
              <w:snapToGrid w:val="0"/>
              <w:spacing w:line="360" w:lineRule="auto"/>
              <w:ind w:firstLine="480"/>
              <w:rPr>
                <w:sz w:val="24"/>
                <w:highlight w:val="none"/>
              </w:rPr>
            </w:pPr>
            <w:r>
              <w:rPr>
                <w:rFonts w:hint="eastAsia"/>
                <w:sz w:val="24"/>
                <w:highlight w:val="none"/>
              </w:rPr>
              <w:t>在任何时候，挥发性有机物和恶臭物质进入火炬</w:t>
            </w:r>
            <w:r>
              <w:rPr>
                <w:rFonts w:hint="eastAsia"/>
                <w:sz w:val="24"/>
                <w:highlight w:val="none"/>
                <w:lang w:eastAsia="zh-CN"/>
              </w:rPr>
              <w:t>系统</w:t>
            </w:r>
            <w:r>
              <w:rPr>
                <w:rFonts w:hint="eastAsia"/>
                <w:sz w:val="24"/>
                <w:highlight w:val="none"/>
              </w:rPr>
              <w:t>都应能点燃并充分燃烧</w:t>
            </w:r>
            <w:r>
              <w:rPr>
                <w:rFonts w:hint="eastAsia"/>
                <w:sz w:val="24"/>
                <w:highlight w:val="none"/>
                <w:lang w:val="en-US" w:eastAsia="zh-CN"/>
              </w:rPr>
              <w:t>；</w:t>
            </w:r>
            <w:r>
              <w:rPr>
                <w:rFonts w:hint="eastAsia"/>
                <w:sz w:val="24"/>
                <w:highlight w:val="none"/>
              </w:rPr>
              <w:t>禁止熄灭火炬系统长明灯</w:t>
            </w:r>
            <w:r>
              <w:rPr>
                <w:rFonts w:hint="eastAsia"/>
                <w:sz w:val="24"/>
                <w:highlight w:val="none"/>
                <w:lang w:val="en-US" w:eastAsia="zh-CN"/>
              </w:rPr>
              <w:t>；</w:t>
            </w:r>
            <w:r>
              <w:rPr>
                <w:rFonts w:hint="eastAsia"/>
                <w:sz w:val="24"/>
                <w:highlight w:val="none"/>
              </w:rPr>
              <w:t>设置视频监控装置。</w:t>
            </w:r>
          </w:p>
          <w:p w14:paraId="111F6E42">
            <w:pPr>
              <w:snapToGrid w:val="0"/>
              <w:spacing w:line="360" w:lineRule="auto"/>
              <w:ind w:firstLine="480"/>
              <w:rPr>
                <w:rFonts w:ascii="Times New Roman" w:hAnsi="Times New Roman" w:eastAsia="宋体" w:cs="Times New Roman"/>
                <w:b/>
                <w:bCs/>
                <w:sz w:val="24"/>
                <w:highlight w:val="none"/>
              </w:rPr>
            </w:pPr>
            <w:r>
              <w:rPr>
                <w:rFonts w:ascii="Times New Roman" w:hAnsi="Times New Roman" w:eastAsia="宋体" w:cs="Times New Roman"/>
                <w:b/>
                <w:bCs/>
                <w:sz w:val="24"/>
                <w:highlight w:val="none"/>
              </w:rPr>
              <w:t>1.</w:t>
            </w:r>
            <w:r>
              <w:rPr>
                <w:rFonts w:hint="eastAsia" w:ascii="Times New Roman" w:hAnsi="Times New Roman" w:eastAsia="宋体" w:cs="Times New Roman"/>
                <w:b/>
                <w:bCs/>
                <w:sz w:val="24"/>
                <w:highlight w:val="none"/>
                <w:lang w:val="en-US" w:eastAsia="zh-CN"/>
              </w:rPr>
              <w:t>3</w:t>
            </w:r>
            <w:r>
              <w:rPr>
                <w:rFonts w:ascii="Times New Roman" w:hAnsi="Times New Roman" w:eastAsia="宋体" w:cs="Times New Roman"/>
                <w:b/>
                <w:bCs/>
                <w:sz w:val="24"/>
                <w:highlight w:val="none"/>
              </w:rPr>
              <w:t>废气污染物</w:t>
            </w:r>
            <w:r>
              <w:rPr>
                <w:rFonts w:hint="eastAsia" w:cs="Times New Roman"/>
                <w:b/>
                <w:bCs/>
                <w:sz w:val="24"/>
                <w:highlight w:val="none"/>
                <w:lang w:eastAsia="zh-CN"/>
              </w:rPr>
              <w:t>对</w:t>
            </w:r>
            <w:r>
              <w:rPr>
                <w:rFonts w:ascii="Times New Roman" w:hAnsi="Times New Roman" w:eastAsia="宋体" w:cs="Times New Roman"/>
                <w:b/>
                <w:bCs/>
                <w:sz w:val="24"/>
                <w:highlight w:val="none"/>
              </w:rPr>
              <w:t>环境影响分析</w:t>
            </w:r>
          </w:p>
          <w:p w14:paraId="223DD959">
            <w:pPr>
              <w:autoSpaceDE w:val="0"/>
              <w:autoSpaceDN w:val="0"/>
              <w:adjustRightInd w:val="0"/>
              <w:spacing w:line="360" w:lineRule="auto"/>
              <w:ind w:firstLine="480" w:firstLineChars="200"/>
              <w:outlineLvl w:val="3"/>
              <w:rPr>
                <w:color w:val="000000"/>
                <w:sz w:val="24"/>
                <w:szCs w:val="21"/>
                <w:highlight w:val="none"/>
                <w:lang w:bidi="ar"/>
              </w:rPr>
            </w:pPr>
            <w:r>
              <w:rPr>
                <w:rFonts w:hint="eastAsia"/>
                <w:color w:val="000000"/>
                <w:sz w:val="24"/>
                <w:szCs w:val="21"/>
                <w:highlight w:val="none"/>
                <w:lang w:val="en-US" w:eastAsia="zh-CN" w:bidi="ar"/>
              </w:rPr>
              <w:t>上述</w:t>
            </w:r>
            <w:r>
              <w:rPr>
                <w:rFonts w:hint="eastAsia"/>
                <w:color w:val="000000"/>
                <w:sz w:val="24"/>
                <w:szCs w:val="21"/>
                <w:highlight w:val="none"/>
                <w:lang w:bidi="ar"/>
              </w:rPr>
              <w:t>废气治理设施属于</w:t>
            </w:r>
            <w:r>
              <w:rPr>
                <w:rFonts w:hint="eastAsia"/>
                <w:sz w:val="24"/>
                <w:highlight w:val="none"/>
                <w:lang w:val="zh-CN"/>
              </w:rPr>
              <w:t>《排污许可证申请与核发技术规范</w:t>
            </w:r>
            <w:r>
              <w:rPr>
                <w:rFonts w:hint="eastAsia"/>
                <w:sz w:val="24"/>
                <w:highlight w:val="none"/>
                <w:lang w:val="en-US" w:eastAsia="zh-CN"/>
              </w:rPr>
              <w:t xml:space="preserve"> </w:t>
            </w:r>
            <w:r>
              <w:rPr>
                <w:rFonts w:hint="eastAsia"/>
                <w:sz w:val="24"/>
                <w:highlight w:val="none"/>
              </w:rPr>
              <w:t>石化工业</w:t>
            </w:r>
            <w:r>
              <w:rPr>
                <w:rFonts w:hint="eastAsia"/>
                <w:sz w:val="24"/>
                <w:highlight w:val="none"/>
                <w:lang w:val="zh-CN"/>
              </w:rPr>
              <w:t>》（HJ</w:t>
            </w:r>
            <w:r>
              <w:rPr>
                <w:rFonts w:hint="eastAsia"/>
                <w:sz w:val="24"/>
                <w:highlight w:val="none"/>
              </w:rPr>
              <w:t>853</w:t>
            </w:r>
            <w:r>
              <w:rPr>
                <w:sz w:val="24"/>
                <w:highlight w:val="none"/>
                <w:lang w:val="zh-CN"/>
              </w:rPr>
              <w:t>-</w:t>
            </w:r>
            <w:r>
              <w:rPr>
                <w:rFonts w:hint="eastAsia"/>
                <w:sz w:val="24"/>
                <w:highlight w:val="none"/>
                <w:lang w:val="zh-CN"/>
              </w:rPr>
              <w:t>20</w:t>
            </w:r>
            <w:r>
              <w:rPr>
                <w:rFonts w:hint="eastAsia"/>
                <w:sz w:val="24"/>
                <w:highlight w:val="none"/>
              </w:rPr>
              <w:t>17</w:t>
            </w:r>
            <w:r>
              <w:rPr>
                <w:rFonts w:hint="eastAsia"/>
                <w:sz w:val="24"/>
                <w:highlight w:val="none"/>
                <w:lang w:val="zh-CN"/>
              </w:rPr>
              <w:t>）</w:t>
            </w:r>
            <w:r>
              <w:rPr>
                <w:rFonts w:hint="eastAsia"/>
                <w:color w:val="000000"/>
                <w:sz w:val="24"/>
                <w:szCs w:val="21"/>
                <w:highlight w:val="none"/>
                <w:lang w:bidi="ar"/>
              </w:rPr>
              <w:t>中可行技术，</w:t>
            </w:r>
            <w:r>
              <w:rPr>
                <w:color w:val="000000"/>
                <w:sz w:val="24"/>
                <w:szCs w:val="21"/>
                <w:highlight w:val="none"/>
                <w:lang w:bidi="ar"/>
              </w:rPr>
              <w:t>非甲烷总烃排放</w:t>
            </w:r>
            <w:r>
              <w:rPr>
                <w:rFonts w:hint="eastAsia"/>
                <w:color w:val="000000"/>
                <w:sz w:val="24"/>
                <w:szCs w:val="21"/>
                <w:highlight w:val="none"/>
                <w:lang w:val="en-US" w:eastAsia="zh-CN" w:bidi="ar"/>
              </w:rPr>
              <w:t>浓度</w:t>
            </w:r>
            <w:r>
              <w:rPr>
                <w:color w:val="000000"/>
                <w:sz w:val="24"/>
                <w:szCs w:val="21"/>
                <w:highlight w:val="none"/>
                <w:lang w:bidi="ar"/>
              </w:rPr>
              <w:t>可满足</w:t>
            </w:r>
            <w:r>
              <w:rPr>
                <w:rFonts w:hint="eastAsia"/>
                <w:color w:val="000000"/>
                <w:sz w:val="24"/>
                <w:szCs w:val="21"/>
                <w:highlight w:val="none"/>
                <w:lang w:val="en-US" w:eastAsia="zh-CN" w:bidi="ar"/>
              </w:rPr>
              <w:t>《挥发性有机物无组织排放控制标准》（GB37822-2019）</w:t>
            </w:r>
            <w:r>
              <w:rPr>
                <w:color w:val="000000"/>
                <w:sz w:val="24"/>
                <w:szCs w:val="21"/>
                <w:highlight w:val="none"/>
                <w:lang w:bidi="ar"/>
              </w:rPr>
              <w:t>。</w:t>
            </w:r>
          </w:p>
          <w:p w14:paraId="26DFD04A">
            <w:pPr>
              <w:autoSpaceDE w:val="0"/>
              <w:autoSpaceDN w:val="0"/>
              <w:adjustRightInd w:val="0"/>
              <w:spacing w:line="360" w:lineRule="auto"/>
              <w:ind w:firstLine="480" w:firstLineChars="200"/>
              <w:outlineLvl w:val="3"/>
              <w:rPr>
                <w:rFonts w:hint="default" w:eastAsia="宋体"/>
                <w:color w:val="000000"/>
                <w:sz w:val="24"/>
                <w:szCs w:val="21"/>
                <w:highlight w:val="none"/>
                <w:lang w:val="en-US" w:eastAsia="zh-CN" w:bidi="ar"/>
              </w:rPr>
            </w:pPr>
            <w:r>
              <w:rPr>
                <w:rFonts w:hint="eastAsia"/>
                <w:color w:val="000000"/>
                <w:sz w:val="24"/>
                <w:szCs w:val="21"/>
                <w:highlight w:val="none"/>
                <w:lang w:val="en-US" w:eastAsia="zh-CN" w:bidi="ar"/>
              </w:rPr>
              <w:t>项目区为达标区，排放的污染物量较小，项目投产后对大气环境的影响较小。</w:t>
            </w:r>
          </w:p>
          <w:p w14:paraId="55731D04">
            <w:pPr>
              <w:autoSpaceDE w:val="0"/>
              <w:autoSpaceDN w:val="0"/>
              <w:adjustRightInd w:val="0"/>
              <w:snapToGrid/>
              <w:spacing w:line="360" w:lineRule="auto"/>
              <w:ind w:firstLine="482" w:firstLineChars="200"/>
              <w:outlineLvl w:val="3"/>
              <w:rPr>
                <w:rFonts w:ascii="Times New Roman" w:hAnsi="Times New Roman" w:eastAsia="宋体" w:cs="Times New Roman"/>
                <w:b/>
                <w:bCs/>
                <w:sz w:val="24"/>
                <w:highlight w:val="none"/>
              </w:rPr>
            </w:pPr>
            <w:r>
              <w:rPr>
                <w:rFonts w:ascii="Times New Roman" w:hAnsi="Times New Roman" w:eastAsia="宋体" w:cs="Times New Roman"/>
                <w:b/>
                <w:bCs/>
                <w:sz w:val="24"/>
                <w:highlight w:val="none"/>
              </w:rPr>
              <w:t>1.</w:t>
            </w:r>
            <w:r>
              <w:rPr>
                <w:rFonts w:hint="eastAsia" w:ascii="Times New Roman" w:hAnsi="Times New Roman" w:eastAsia="宋体" w:cs="Times New Roman"/>
                <w:b/>
                <w:bCs/>
                <w:sz w:val="24"/>
                <w:highlight w:val="none"/>
                <w:lang w:val="en-US" w:eastAsia="zh-CN"/>
              </w:rPr>
              <w:t>4</w:t>
            </w:r>
            <w:r>
              <w:rPr>
                <w:rFonts w:ascii="Times New Roman" w:hAnsi="Times New Roman" w:eastAsia="宋体" w:cs="Times New Roman"/>
                <w:b/>
                <w:bCs/>
                <w:sz w:val="24"/>
                <w:highlight w:val="none"/>
              </w:rPr>
              <w:t>监测要求</w:t>
            </w:r>
          </w:p>
          <w:p w14:paraId="4134E0AB">
            <w:pPr>
              <w:adjustRightInd w:val="0"/>
              <w:snapToGrid w:val="0"/>
              <w:spacing w:line="360" w:lineRule="auto"/>
              <w:ind w:firstLine="480" w:firstLineChars="200"/>
              <w:rPr>
                <w:color w:val="000000"/>
                <w:sz w:val="24"/>
                <w:szCs w:val="21"/>
                <w:highlight w:val="none"/>
                <w:lang w:bidi="ar"/>
              </w:rPr>
            </w:pPr>
            <w:r>
              <w:rPr>
                <w:color w:val="000000"/>
                <w:sz w:val="24"/>
                <w:szCs w:val="21"/>
                <w:highlight w:val="none"/>
                <w:lang w:bidi="ar"/>
              </w:rPr>
              <w:t>参照</w:t>
            </w:r>
            <w:r>
              <w:rPr>
                <w:rFonts w:hint="eastAsia"/>
                <w:color w:val="000000"/>
                <w:sz w:val="24"/>
                <w:szCs w:val="21"/>
                <w:highlight w:val="none"/>
                <w:lang w:bidi="ar"/>
              </w:rPr>
              <w:t>《排污单位自行监测技术指南</w:t>
            </w:r>
            <w:r>
              <w:rPr>
                <w:rFonts w:hint="eastAsia"/>
                <w:color w:val="000000"/>
                <w:sz w:val="24"/>
                <w:szCs w:val="21"/>
                <w:highlight w:val="none"/>
                <w:lang w:val="en-US" w:eastAsia="zh-CN" w:bidi="ar"/>
              </w:rPr>
              <w:t xml:space="preserve"> </w:t>
            </w:r>
            <w:r>
              <w:rPr>
                <w:rFonts w:hint="eastAsia"/>
                <w:color w:val="000000"/>
                <w:sz w:val="24"/>
                <w:szCs w:val="21"/>
                <w:highlight w:val="none"/>
                <w:lang w:bidi="ar"/>
              </w:rPr>
              <w:t>石油化学工业》（HJ947-2018）</w:t>
            </w:r>
            <w:r>
              <w:rPr>
                <w:color w:val="000000"/>
                <w:sz w:val="24"/>
                <w:szCs w:val="21"/>
                <w:highlight w:val="none"/>
                <w:lang w:bidi="ar"/>
              </w:rPr>
              <w:t>可知，本项目营运期废气监测计划详见下表。</w:t>
            </w:r>
          </w:p>
          <w:p w14:paraId="1C3AE316">
            <w:pPr>
              <w:keepNext w:val="0"/>
              <w:keepLines w:val="0"/>
              <w:pageBreakBefore w:val="0"/>
              <w:widowControl w:val="0"/>
              <w:tabs>
                <w:tab w:val="left" w:pos="1716"/>
              </w:tabs>
              <w:kinsoku/>
              <w:wordWrap/>
              <w:overflowPunct/>
              <w:topLinePunct w:val="0"/>
              <w:autoSpaceDE/>
              <w:autoSpaceDN/>
              <w:bidi w:val="0"/>
              <w:adjustRightInd/>
              <w:snapToGrid/>
              <w:spacing w:line="360" w:lineRule="auto"/>
              <w:ind w:left="0"/>
              <w:jc w:val="center"/>
              <w:textAlignment w:val="auto"/>
              <w:rPr>
                <w:b/>
                <w:color w:val="000000"/>
                <w:sz w:val="24"/>
                <w:highlight w:val="none"/>
              </w:rPr>
            </w:pPr>
            <w:r>
              <w:rPr>
                <w:b/>
                <w:color w:val="000000"/>
                <w:sz w:val="24"/>
                <w:highlight w:val="none"/>
              </w:rPr>
              <w:t>表4-</w:t>
            </w:r>
            <w:r>
              <w:rPr>
                <w:rFonts w:hint="eastAsia"/>
                <w:b/>
                <w:color w:val="000000"/>
                <w:sz w:val="24"/>
                <w:highlight w:val="none"/>
                <w:lang w:val="en-US" w:eastAsia="zh-CN"/>
              </w:rPr>
              <w:t>6：</w:t>
            </w:r>
            <w:r>
              <w:rPr>
                <w:b/>
                <w:color w:val="000000"/>
                <w:sz w:val="24"/>
                <w:highlight w:val="none"/>
              </w:rPr>
              <w:t>废气监测计划一览表</w:t>
            </w:r>
          </w:p>
          <w:tbl>
            <w:tblPr>
              <w:tblStyle w:val="4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1"/>
              <w:gridCol w:w="596"/>
              <w:gridCol w:w="1993"/>
              <w:gridCol w:w="1347"/>
              <w:gridCol w:w="844"/>
              <w:gridCol w:w="1943"/>
              <w:gridCol w:w="1338"/>
            </w:tblGrid>
            <w:tr w14:paraId="205460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57" w:type="pct"/>
                  <w:tcBorders>
                    <w:top w:val="single" w:color="auto" w:sz="4" w:space="0"/>
                    <w:left w:val="single" w:color="auto" w:sz="0" w:space="0"/>
                  </w:tcBorders>
                  <w:noWrap w:val="0"/>
                  <w:vAlign w:val="center"/>
                </w:tcPr>
                <w:p w14:paraId="7305D0D3">
                  <w:pPr>
                    <w:spacing w:line="240" w:lineRule="auto"/>
                    <w:jc w:val="center"/>
                    <w:rPr>
                      <w:b w:val="0"/>
                      <w:bCs/>
                      <w:sz w:val="21"/>
                      <w:szCs w:val="21"/>
                      <w:highlight w:val="none"/>
                    </w:rPr>
                  </w:pPr>
                  <w:r>
                    <w:rPr>
                      <w:b w:val="0"/>
                      <w:bCs/>
                      <w:sz w:val="21"/>
                      <w:szCs w:val="21"/>
                      <w:highlight w:val="none"/>
                    </w:rPr>
                    <w:t>项目</w:t>
                  </w:r>
                </w:p>
              </w:tc>
              <w:tc>
                <w:tcPr>
                  <w:tcW w:w="354" w:type="pct"/>
                  <w:tcBorders>
                    <w:top w:val="single" w:color="auto" w:sz="4" w:space="0"/>
                  </w:tcBorders>
                  <w:noWrap w:val="0"/>
                  <w:vAlign w:val="center"/>
                </w:tcPr>
                <w:p w14:paraId="0E0247FF">
                  <w:pPr>
                    <w:spacing w:line="240" w:lineRule="auto"/>
                    <w:jc w:val="center"/>
                    <w:rPr>
                      <w:b w:val="0"/>
                      <w:bCs/>
                      <w:sz w:val="21"/>
                      <w:szCs w:val="21"/>
                      <w:highlight w:val="none"/>
                    </w:rPr>
                  </w:pPr>
                  <w:r>
                    <w:rPr>
                      <w:b w:val="0"/>
                      <w:bCs/>
                      <w:sz w:val="21"/>
                      <w:szCs w:val="21"/>
                      <w:highlight w:val="none"/>
                    </w:rPr>
                    <w:t>要素</w:t>
                  </w:r>
                </w:p>
              </w:tc>
              <w:tc>
                <w:tcPr>
                  <w:tcW w:w="1176" w:type="pct"/>
                  <w:tcBorders>
                    <w:top w:val="single" w:color="auto" w:sz="4" w:space="0"/>
                  </w:tcBorders>
                  <w:noWrap w:val="0"/>
                  <w:vAlign w:val="center"/>
                </w:tcPr>
                <w:p w14:paraId="04F85EC5">
                  <w:pPr>
                    <w:spacing w:line="240" w:lineRule="auto"/>
                    <w:jc w:val="center"/>
                    <w:rPr>
                      <w:b w:val="0"/>
                      <w:bCs/>
                      <w:sz w:val="21"/>
                      <w:szCs w:val="21"/>
                      <w:highlight w:val="none"/>
                    </w:rPr>
                  </w:pPr>
                  <w:r>
                    <w:rPr>
                      <w:b w:val="0"/>
                      <w:bCs/>
                      <w:sz w:val="21"/>
                      <w:szCs w:val="21"/>
                      <w:highlight w:val="none"/>
                    </w:rPr>
                    <w:t>监测点位</w:t>
                  </w:r>
                </w:p>
              </w:tc>
              <w:tc>
                <w:tcPr>
                  <w:tcW w:w="796" w:type="pct"/>
                  <w:tcBorders>
                    <w:top w:val="single" w:color="auto" w:sz="4" w:space="0"/>
                  </w:tcBorders>
                  <w:noWrap w:val="0"/>
                  <w:vAlign w:val="center"/>
                </w:tcPr>
                <w:p w14:paraId="7FC2AF99">
                  <w:pPr>
                    <w:spacing w:line="240" w:lineRule="auto"/>
                    <w:jc w:val="center"/>
                    <w:rPr>
                      <w:b w:val="0"/>
                      <w:bCs/>
                      <w:sz w:val="21"/>
                      <w:szCs w:val="21"/>
                      <w:highlight w:val="none"/>
                    </w:rPr>
                  </w:pPr>
                  <w:r>
                    <w:rPr>
                      <w:b w:val="0"/>
                      <w:bCs/>
                      <w:sz w:val="21"/>
                      <w:szCs w:val="21"/>
                      <w:highlight w:val="none"/>
                    </w:rPr>
                    <w:t>监测指标</w:t>
                  </w:r>
                </w:p>
              </w:tc>
              <w:tc>
                <w:tcPr>
                  <w:tcW w:w="500" w:type="pct"/>
                  <w:tcBorders>
                    <w:top w:val="single" w:color="auto" w:sz="4" w:space="0"/>
                  </w:tcBorders>
                  <w:noWrap w:val="0"/>
                  <w:vAlign w:val="center"/>
                </w:tcPr>
                <w:p w14:paraId="05C0D67C">
                  <w:pPr>
                    <w:spacing w:line="240" w:lineRule="auto"/>
                    <w:jc w:val="center"/>
                    <w:rPr>
                      <w:b w:val="0"/>
                      <w:bCs/>
                      <w:sz w:val="21"/>
                      <w:szCs w:val="21"/>
                      <w:highlight w:val="none"/>
                    </w:rPr>
                  </w:pPr>
                  <w:r>
                    <w:rPr>
                      <w:b w:val="0"/>
                      <w:bCs/>
                      <w:sz w:val="21"/>
                      <w:szCs w:val="21"/>
                      <w:highlight w:val="none"/>
                    </w:rPr>
                    <w:t>监测频次</w:t>
                  </w:r>
                </w:p>
              </w:tc>
              <w:tc>
                <w:tcPr>
                  <w:tcW w:w="1123" w:type="pct"/>
                  <w:tcBorders>
                    <w:top w:val="single" w:color="auto" w:sz="4" w:space="0"/>
                  </w:tcBorders>
                  <w:noWrap w:val="0"/>
                  <w:vAlign w:val="center"/>
                </w:tcPr>
                <w:p w14:paraId="383DB4BD">
                  <w:pPr>
                    <w:spacing w:line="240" w:lineRule="auto"/>
                    <w:jc w:val="center"/>
                    <w:rPr>
                      <w:b w:val="0"/>
                      <w:bCs/>
                      <w:sz w:val="21"/>
                      <w:szCs w:val="21"/>
                      <w:highlight w:val="none"/>
                    </w:rPr>
                  </w:pPr>
                  <w:r>
                    <w:rPr>
                      <w:b w:val="0"/>
                      <w:bCs/>
                      <w:sz w:val="21"/>
                      <w:szCs w:val="21"/>
                      <w:highlight w:val="none"/>
                    </w:rPr>
                    <w:t>执行标准</w:t>
                  </w:r>
                </w:p>
              </w:tc>
              <w:tc>
                <w:tcPr>
                  <w:tcW w:w="790" w:type="pct"/>
                  <w:tcBorders>
                    <w:top w:val="single" w:color="auto" w:sz="4" w:space="0"/>
                    <w:right w:val="single" w:color="auto" w:sz="4" w:space="0"/>
                  </w:tcBorders>
                  <w:noWrap w:val="0"/>
                  <w:vAlign w:val="center"/>
                </w:tcPr>
                <w:p w14:paraId="0D346E18">
                  <w:pPr>
                    <w:spacing w:line="240" w:lineRule="auto"/>
                    <w:jc w:val="center"/>
                    <w:rPr>
                      <w:rFonts w:hint="eastAsia" w:eastAsia="宋体"/>
                      <w:b w:val="0"/>
                      <w:bCs/>
                      <w:sz w:val="21"/>
                      <w:szCs w:val="21"/>
                      <w:highlight w:val="none"/>
                      <w:lang w:val="en-US" w:eastAsia="zh-CN"/>
                    </w:rPr>
                  </w:pPr>
                  <w:r>
                    <w:rPr>
                      <w:rFonts w:hint="eastAsia"/>
                      <w:b w:val="0"/>
                      <w:bCs/>
                      <w:sz w:val="21"/>
                      <w:szCs w:val="21"/>
                      <w:highlight w:val="none"/>
                      <w:lang w:val="en-US" w:eastAsia="zh-CN"/>
                    </w:rPr>
                    <w:t>备注</w:t>
                  </w:r>
                </w:p>
              </w:tc>
            </w:tr>
            <w:tr w14:paraId="630AC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257" w:type="pct"/>
                  <w:vMerge w:val="restart"/>
                  <w:tcBorders>
                    <w:left w:val="single" w:color="auto" w:sz="4" w:space="0"/>
                  </w:tcBorders>
                  <w:noWrap w:val="0"/>
                  <w:vAlign w:val="center"/>
                </w:tcPr>
                <w:p w14:paraId="7271F238">
                  <w:pPr>
                    <w:spacing w:line="240" w:lineRule="auto"/>
                    <w:jc w:val="center"/>
                    <w:rPr>
                      <w:rFonts w:hint="eastAsia" w:eastAsia="宋体"/>
                      <w:sz w:val="21"/>
                      <w:szCs w:val="21"/>
                      <w:highlight w:val="none"/>
                      <w:lang w:val="en-US" w:eastAsia="zh-CN"/>
                    </w:rPr>
                  </w:pPr>
                  <w:r>
                    <w:rPr>
                      <w:rFonts w:hint="eastAsia"/>
                      <w:sz w:val="21"/>
                      <w:szCs w:val="21"/>
                      <w:highlight w:val="none"/>
                      <w:lang w:val="en-US" w:eastAsia="zh-CN"/>
                    </w:rPr>
                    <w:t>废气</w:t>
                  </w:r>
                </w:p>
              </w:tc>
              <w:tc>
                <w:tcPr>
                  <w:tcW w:w="354" w:type="pct"/>
                  <w:vMerge w:val="restart"/>
                  <w:noWrap w:val="0"/>
                  <w:vAlign w:val="center"/>
                </w:tcPr>
                <w:p w14:paraId="2C023942">
                  <w:pPr>
                    <w:spacing w:line="240" w:lineRule="auto"/>
                    <w:jc w:val="center"/>
                    <w:rPr>
                      <w:sz w:val="21"/>
                      <w:szCs w:val="21"/>
                      <w:highlight w:val="none"/>
                    </w:rPr>
                  </w:pPr>
                  <w:r>
                    <w:rPr>
                      <w:sz w:val="21"/>
                      <w:szCs w:val="21"/>
                      <w:highlight w:val="none"/>
                    </w:rPr>
                    <w:t>无组织废气</w:t>
                  </w:r>
                </w:p>
              </w:tc>
              <w:tc>
                <w:tcPr>
                  <w:tcW w:w="1176" w:type="pct"/>
                  <w:noWrap w:val="0"/>
                  <w:vAlign w:val="center"/>
                </w:tcPr>
                <w:p w14:paraId="32D7EB43">
                  <w:pPr>
                    <w:spacing w:line="240" w:lineRule="auto"/>
                    <w:jc w:val="center"/>
                    <w:rPr>
                      <w:sz w:val="21"/>
                      <w:szCs w:val="21"/>
                      <w:highlight w:val="none"/>
                      <w:lang w:val="zh-CN"/>
                    </w:rPr>
                  </w:pPr>
                  <w:r>
                    <w:rPr>
                      <w:sz w:val="21"/>
                      <w:szCs w:val="21"/>
                      <w:highlight w:val="none"/>
                      <w:lang w:val="zh-CN"/>
                    </w:rPr>
                    <w:t>厂界</w:t>
                  </w:r>
                </w:p>
              </w:tc>
              <w:tc>
                <w:tcPr>
                  <w:tcW w:w="796" w:type="pct"/>
                  <w:noWrap w:val="0"/>
                  <w:vAlign w:val="center"/>
                </w:tcPr>
                <w:p w14:paraId="74D4E89E">
                  <w:pPr>
                    <w:spacing w:line="240" w:lineRule="auto"/>
                    <w:jc w:val="center"/>
                    <w:rPr>
                      <w:rFonts w:hint="default" w:eastAsia="宋体"/>
                      <w:sz w:val="21"/>
                      <w:szCs w:val="21"/>
                      <w:highlight w:val="none"/>
                      <w:lang w:val="en-US" w:eastAsia="zh-CN"/>
                    </w:rPr>
                  </w:pPr>
                  <w:r>
                    <w:rPr>
                      <w:sz w:val="21"/>
                      <w:szCs w:val="21"/>
                      <w:highlight w:val="none"/>
                    </w:rPr>
                    <w:t>非甲烷总烃</w:t>
                  </w:r>
                </w:p>
              </w:tc>
              <w:tc>
                <w:tcPr>
                  <w:tcW w:w="500" w:type="pct"/>
                  <w:noWrap w:val="0"/>
                  <w:vAlign w:val="center"/>
                </w:tcPr>
                <w:p w14:paraId="5A527508">
                  <w:pPr>
                    <w:spacing w:line="240" w:lineRule="auto"/>
                    <w:jc w:val="center"/>
                    <w:rPr>
                      <w:sz w:val="21"/>
                      <w:szCs w:val="21"/>
                      <w:highlight w:val="none"/>
                    </w:rPr>
                  </w:pPr>
                  <w:r>
                    <w:rPr>
                      <w:sz w:val="21"/>
                      <w:szCs w:val="21"/>
                      <w:highlight w:val="none"/>
                    </w:rPr>
                    <w:t>每</w:t>
                  </w:r>
                  <w:r>
                    <w:rPr>
                      <w:rFonts w:hint="eastAsia"/>
                      <w:sz w:val="21"/>
                      <w:szCs w:val="21"/>
                      <w:highlight w:val="none"/>
                      <w:lang w:val="en-US" w:eastAsia="zh-CN"/>
                    </w:rPr>
                    <w:t>季</w:t>
                  </w:r>
                  <w:r>
                    <w:rPr>
                      <w:sz w:val="21"/>
                      <w:szCs w:val="21"/>
                      <w:highlight w:val="none"/>
                    </w:rPr>
                    <w:t>一次</w:t>
                  </w:r>
                </w:p>
              </w:tc>
              <w:tc>
                <w:tcPr>
                  <w:tcW w:w="1123" w:type="pct"/>
                  <w:noWrap w:val="0"/>
                  <w:vAlign w:val="center"/>
                </w:tcPr>
                <w:p w14:paraId="3284D207">
                  <w:pPr>
                    <w:snapToGrid w:val="0"/>
                    <w:spacing w:line="240" w:lineRule="auto"/>
                    <w:jc w:val="center"/>
                    <w:rPr>
                      <w:rFonts w:hint="eastAsia" w:eastAsia="宋体"/>
                      <w:sz w:val="21"/>
                      <w:szCs w:val="21"/>
                      <w:highlight w:val="none"/>
                      <w:lang w:eastAsia="zh-CN"/>
                    </w:rPr>
                  </w:pPr>
                  <w:r>
                    <w:rPr>
                      <w:rFonts w:hint="eastAsia" w:eastAsia="宋体"/>
                      <w:sz w:val="21"/>
                      <w:szCs w:val="21"/>
                      <w:highlight w:val="none"/>
                      <w:lang w:val="en-US" w:eastAsia="zh-CN"/>
                    </w:rPr>
                    <w:t>《挥发性有机物无组织排放控制标准》（GB37822-2019）</w:t>
                  </w:r>
                </w:p>
              </w:tc>
              <w:tc>
                <w:tcPr>
                  <w:tcW w:w="790" w:type="pct"/>
                  <w:tcBorders>
                    <w:right w:val="single" w:color="auto" w:sz="4" w:space="0"/>
                  </w:tcBorders>
                  <w:noWrap w:val="0"/>
                  <w:vAlign w:val="center"/>
                </w:tcPr>
                <w:p w14:paraId="1497CE01">
                  <w:pPr>
                    <w:snapToGrid w:val="0"/>
                    <w:spacing w:line="240" w:lineRule="auto"/>
                    <w:jc w:val="center"/>
                    <w:rPr>
                      <w:rFonts w:hint="default" w:eastAsia="宋体"/>
                      <w:kern w:val="0"/>
                      <w:sz w:val="21"/>
                      <w:szCs w:val="21"/>
                      <w:highlight w:val="none"/>
                      <w:lang w:val="en-US" w:eastAsia="zh-CN"/>
                    </w:rPr>
                  </w:pPr>
                  <w:r>
                    <w:rPr>
                      <w:rFonts w:hint="eastAsia"/>
                      <w:kern w:val="0"/>
                      <w:sz w:val="21"/>
                      <w:szCs w:val="21"/>
                      <w:highlight w:val="none"/>
                      <w:lang w:val="en-US" w:eastAsia="zh-CN"/>
                    </w:rPr>
                    <w:t>并入现有厂界监测计划内，不单独开展</w:t>
                  </w:r>
                </w:p>
              </w:tc>
            </w:tr>
            <w:tr w14:paraId="0EDA2F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257" w:type="pct"/>
                  <w:vMerge w:val="continue"/>
                  <w:tcBorders>
                    <w:left w:val="single" w:color="auto" w:sz="4" w:space="0"/>
                  </w:tcBorders>
                  <w:noWrap w:val="0"/>
                  <w:vAlign w:val="center"/>
                </w:tcPr>
                <w:p w14:paraId="7F152ED6">
                  <w:pPr>
                    <w:snapToGrid w:val="0"/>
                    <w:spacing w:line="240" w:lineRule="auto"/>
                    <w:jc w:val="center"/>
                    <w:rPr>
                      <w:sz w:val="21"/>
                      <w:szCs w:val="21"/>
                      <w:highlight w:val="none"/>
                    </w:rPr>
                  </w:pPr>
                </w:p>
              </w:tc>
              <w:tc>
                <w:tcPr>
                  <w:tcW w:w="354" w:type="pct"/>
                  <w:vMerge w:val="continue"/>
                  <w:noWrap w:val="0"/>
                  <w:vAlign w:val="center"/>
                </w:tcPr>
                <w:p w14:paraId="53E57AAE">
                  <w:pPr>
                    <w:snapToGrid w:val="0"/>
                    <w:spacing w:line="240" w:lineRule="auto"/>
                    <w:jc w:val="center"/>
                    <w:rPr>
                      <w:sz w:val="21"/>
                      <w:szCs w:val="21"/>
                      <w:highlight w:val="none"/>
                    </w:rPr>
                  </w:pPr>
                </w:p>
              </w:tc>
              <w:tc>
                <w:tcPr>
                  <w:tcW w:w="1176" w:type="pct"/>
                  <w:noWrap w:val="0"/>
                  <w:vAlign w:val="center"/>
                </w:tcPr>
                <w:p w14:paraId="53E5221A">
                  <w:pPr>
                    <w:snapToGrid w:val="0"/>
                    <w:spacing w:line="240" w:lineRule="auto"/>
                    <w:jc w:val="center"/>
                    <w:rPr>
                      <w:rFonts w:hint="default" w:eastAsia="宋体"/>
                      <w:sz w:val="21"/>
                      <w:szCs w:val="21"/>
                      <w:highlight w:val="none"/>
                      <w:lang w:val="en-US" w:eastAsia="zh-CN"/>
                    </w:rPr>
                  </w:pPr>
                  <w:r>
                    <w:rPr>
                      <w:rFonts w:hint="eastAsia"/>
                      <w:sz w:val="21"/>
                      <w:szCs w:val="21"/>
                      <w:highlight w:val="none"/>
                      <w:lang w:val="en-US" w:eastAsia="zh-CN"/>
                    </w:rPr>
                    <w:t>泵、阀门、开口阀或开口管线、气体/蒸气泄压设备、取样连接系统</w:t>
                  </w:r>
                </w:p>
              </w:tc>
              <w:tc>
                <w:tcPr>
                  <w:tcW w:w="796" w:type="pct"/>
                  <w:noWrap w:val="0"/>
                  <w:vAlign w:val="center"/>
                </w:tcPr>
                <w:p w14:paraId="56498564">
                  <w:pPr>
                    <w:snapToGrid w:val="0"/>
                    <w:spacing w:line="240" w:lineRule="auto"/>
                    <w:jc w:val="center"/>
                    <w:rPr>
                      <w:rFonts w:hint="eastAsia" w:eastAsia="宋体"/>
                      <w:sz w:val="21"/>
                      <w:szCs w:val="21"/>
                      <w:highlight w:val="none"/>
                      <w:lang w:val="en-US" w:eastAsia="zh-CN"/>
                    </w:rPr>
                  </w:pPr>
                  <w:r>
                    <w:rPr>
                      <w:rFonts w:hint="eastAsia"/>
                      <w:sz w:val="21"/>
                      <w:szCs w:val="21"/>
                      <w:highlight w:val="none"/>
                      <w:lang w:val="en-US" w:eastAsia="zh-CN"/>
                    </w:rPr>
                    <w:t>挥发性有机物</w:t>
                  </w:r>
                </w:p>
              </w:tc>
              <w:tc>
                <w:tcPr>
                  <w:tcW w:w="500" w:type="pct"/>
                  <w:noWrap w:val="0"/>
                  <w:vAlign w:val="center"/>
                </w:tcPr>
                <w:p w14:paraId="5DAE07CD">
                  <w:pPr>
                    <w:spacing w:line="240" w:lineRule="auto"/>
                    <w:jc w:val="center"/>
                    <w:rPr>
                      <w:rFonts w:ascii="Times New Roman" w:hAnsi="Times New Roman" w:eastAsia="宋体" w:cs="Times New Roman"/>
                      <w:kern w:val="2"/>
                      <w:sz w:val="21"/>
                      <w:szCs w:val="21"/>
                      <w:highlight w:val="none"/>
                      <w:lang w:val="en-US" w:eastAsia="zh-CN" w:bidi="ar-SA"/>
                    </w:rPr>
                  </w:pPr>
                  <w:r>
                    <w:rPr>
                      <w:rFonts w:hint="eastAsia"/>
                      <w:sz w:val="21"/>
                      <w:szCs w:val="21"/>
                      <w:highlight w:val="none"/>
                      <w:lang w:val="en-US" w:eastAsia="zh-CN"/>
                    </w:rPr>
                    <w:t>每季度一次</w:t>
                  </w:r>
                </w:p>
              </w:tc>
              <w:tc>
                <w:tcPr>
                  <w:tcW w:w="1123" w:type="pct"/>
                  <w:noWrap w:val="0"/>
                  <w:vAlign w:val="center"/>
                </w:tcPr>
                <w:p w14:paraId="33AC0A5E">
                  <w:pPr>
                    <w:snapToGrid w:val="0"/>
                    <w:spacing w:line="240" w:lineRule="auto"/>
                    <w:jc w:val="center"/>
                    <w:rPr>
                      <w:rFonts w:hint="default" w:ascii="Times New Roman" w:hAnsi="Times New Roman" w:eastAsia="宋体" w:cs="Times New Roman"/>
                      <w:kern w:val="2"/>
                      <w:sz w:val="21"/>
                      <w:szCs w:val="21"/>
                      <w:highlight w:val="none"/>
                      <w:lang w:val="en-US" w:eastAsia="zh-CN" w:bidi="ar-SA"/>
                    </w:rPr>
                  </w:pPr>
                  <w:r>
                    <w:rPr>
                      <w:rFonts w:hint="eastAsia"/>
                      <w:kern w:val="0"/>
                      <w:sz w:val="21"/>
                      <w:szCs w:val="21"/>
                      <w:highlight w:val="none"/>
                      <w:lang w:val="en-US" w:eastAsia="zh-CN"/>
                    </w:rPr>
                    <w:t>《挥发性有机物无组织排放控制标准》（</w:t>
                  </w:r>
                  <w:r>
                    <w:rPr>
                      <w:kern w:val="0"/>
                      <w:sz w:val="21"/>
                      <w:szCs w:val="21"/>
                      <w:highlight w:val="none"/>
                    </w:rPr>
                    <w:t>GB</w:t>
                  </w:r>
                  <w:r>
                    <w:rPr>
                      <w:rFonts w:hint="eastAsia"/>
                      <w:kern w:val="0"/>
                      <w:sz w:val="21"/>
                      <w:szCs w:val="21"/>
                      <w:highlight w:val="none"/>
                      <w:lang w:val="en-US" w:eastAsia="zh-CN"/>
                    </w:rPr>
                    <w:t>37822-2019）</w:t>
                  </w:r>
                </w:p>
              </w:tc>
              <w:tc>
                <w:tcPr>
                  <w:tcW w:w="790" w:type="pct"/>
                  <w:vMerge w:val="restart"/>
                  <w:tcBorders>
                    <w:right w:val="single" w:color="auto" w:sz="4" w:space="0"/>
                  </w:tcBorders>
                  <w:noWrap w:val="0"/>
                  <w:vAlign w:val="center"/>
                </w:tcPr>
                <w:p w14:paraId="4853E897">
                  <w:pPr>
                    <w:snapToGrid w:val="0"/>
                    <w:spacing w:line="240" w:lineRule="auto"/>
                    <w:jc w:val="center"/>
                    <w:rPr>
                      <w:rFonts w:hint="default" w:eastAsia="宋体"/>
                      <w:sz w:val="21"/>
                      <w:szCs w:val="21"/>
                      <w:highlight w:val="none"/>
                      <w:lang w:val="en-US" w:eastAsia="zh-CN"/>
                    </w:rPr>
                  </w:pPr>
                  <w:r>
                    <w:rPr>
                      <w:rFonts w:hint="eastAsia" w:eastAsia="宋体"/>
                      <w:sz w:val="21"/>
                      <w:szCs w:val="21"/>
                      <w:highlight w:val="none"/>
                      <w:lang w:val="en-US" w:eastAsia="zh-CN"/>
                    </w:rPr>
                    <w:t>/</w:t>
                  </w:r>
                </w:p>
              </w:tc>
            </w:tr>
            <w:tr w14:paraId="3DF0A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257" w:type="pct"/>
                  <w:vMerge w:val="continue"/>
                  <w:tcBorders>
                    <w:left w:val="single" w:color="auto" w:sz="4" w:space="0"/>
                  </w:tcBorders>
                  <w:noWrap w:val="0"/>
                  <w:vAlign w:val="center"/>
                </w:tcPr>
                <w:p w14:paraId="13C72002">
                  <w:pPr>
                    <w:snapToGrid w:val="0"/>
                    <w:spacing w:line="240" w:lineRule="auto"/>
                    <w:jc w:val="center"/>
                    <w:rPr>
                      <w:sz w:val="21"/>
                      <w:szCs w:val="21"/>
                      <w:highlight w:val="none"/>
                    </w:rPr>
                  </w:pPr>
                </w:p>
              </w:tc>
              <w:tc>
                <w:tcPr>
                  <w:tcW w:w="354" w:type="pct"/>
                  <w:vMerge w:val="continue"/>
                  <w:noWrap w:val="0"/>
                  <w:vAlign w:val="center"/>
                </w:tcPr>
                <w:p w14:paraId="1474095B">
                  <w:pPr>
                    <w:snapToGrid w:val="0"/>
                    <w:spacing w:line="240" w:lineRule="auto"/>
                    <w:jc w:val="center"/>
                    <w:rPr>
                      <w:sz w:val="21"/>
                      <w:szCs w:val="21"/>
                      <w:highlight w:val="none"/>
                    </w:rPr>
                  </w:pPr>
                </w:p>
              </w:tc>
              <w:tc>
                <w:tcPr>
                  <w:tcW w:w="1176" w:type="pct"/>
                  <w:noWrap w:val="0"/>
                  <w:vAlign w:val="center"/>
                </w:tcPr>
                <w:p w14:paraId="57EE6117">
                  <w:pPr>
                    <w:snapToGrid w:val="0"/>
                    <w:spacing w:line="240" w:lineRule="auto"/>
                    <w:jc w:val="center"/>
                    <w:rPr>
                      <w:rFonts w:hint="eastAsia"/>
                      <w:sz w:val="21"/>
                      <w:szCs w:val="21"/>
                      <w:highlight w:val="none"/>
                      <w:lang w:val="en-US" w:eastAsia="zh-CN"/>
                    </w:rPr>
                  </w:pPr>
                  <w:r>
                    <w:rPr>
                      <w:rFonts w:hint="eastAsia"/>
                      <w:sz w:val="21"/>
                      <w:szCs w:val="21"/>
                      <w:highlight w:val="none"/>
                      <w:lang w:val="en-US" w:eastAsia="zh-CN"/>
                    </w:rPr>
                    <w:t>法兰及其他连接件、其他密封设备</w:t>
                  </w:r>
                </w:p>
              </w:tc>
              <w:tc>
                <w:tcPr>
                  <w:tcW w:w="796" w:type="pct"/>
                  <w:noWrap w:val="0"/>
                  <w:vAlign w:val="center"/>
                </w:tcPr>
                <w:p w14:paraId="4820BA55">
                  <w:pPr>
                    <w:snapToGrid w:val="0"/>
                    <w:spacing w:line="240" w:lineRule="auto"/>
                    <w:jc w:val="center"/>
                    <w:rPr>
                      <w:rFonts w:hint="eastAsia"/>
                      <w:sz w:val="21"/>
                      <w:szCs w:val="21"/>
                      <w:highlight w:val="none"/>
                      <w:lang w:val="en-US" w:eastAsia="zh-CN"/>
                    </w:rPr>
                  </w:pPr>
                  <w:r>
                    <w:rPr>
                      <w:rFonts w:hint="eastAsia"/>
                      <w:sz w:val="21"/>
                      <w:szCs w:val="21"/>
                      <w:highlight w:val="none"/>
                      <w:lang w:val="en-US" w:eastAsia="zh-CN"/>
                    </w:rPr>
                    <w:t>挥发性有机物</w:t>
                  </w:r>
                </w:p>
              </w:tc>
              <w:tc>
                <w:tcPr>
                  <w:tcW w:w="500" w:type="pct"/>
                  <w:noWrap w:val="0"/>
                  <w:vAlign w:val="center"/>
                </w:tcPr>
                <w:p w14:paraId="09519D39">
                  <w:pPr>
                    <w:snapToGrid w:val="0"/>
                    <w:spacing w:line="240" w:lineRule="auto"/>
                    <w:jc w:val="center"/>
                    <w:rPr>
                      <w:rFonts w:hint="eastAsia"/>
                      <w:sz w:val="21"/>
                      <w:szCs w:val="21"/>
                      <w:highlight w:val="none"/>
                      <w:lang w:val="en-US" w:eastAsia="zh-CN"/>
                    </w:rPr>
                  </w:pPr>
                  <w:r>
                    <w:rPr>
                      <w:rFonts w:hint="eastAsia"/>
                      <w:sz w:val="21"/>
                      <w:szCs w:val="21"/>
                      <w:highlight w:val="none"/>
                      <w:lang w:val="en-US" w:eastAsia="zh-CN"/>
                    </w:rPr>
                    <w:t>每半年一次</w:t>
                  </w:r>
                </w:p>
              </w:tc>
              <w:tc>
                <w:tcPr>
                  <w:tcW w:w="1123" w:type="pct"/>
                  <w:noWrap w:val="0"/>
                  <w:vAlign w:val="center"/>
                </w:tcPr>
                <w:p w14:paraId="7631A70B">
                  <w:pPr>
                    <w:snapToGrid w:val="0"/>
                    <w:spacing w:line="240" w:lineRule="auto"/>
                    <w:jc w:val="center"/>
                    <w:rPr>
                      <w:rFonts w:hint="eastAsia"/>
                      <w:sz w:val="21"/>
                      <w:szCs w:val="21"/>
                      <w:highlight w:val="none"/>
                      <w:lang w:val="en-US" w:eastAsia="zh-CN"/>
                    </w:rPr>
                  </w:pPr>
                  <w:r>
                    <w:rPr>
                      <w:rFonts w:hint="eastAsia"/>
                      <w:kern w:val="0"/>
                      <w:sz w:val="21"/>
                      <w:szCs w:val="21"/>
                      <w:highlight w:val="none"/>
                      <w:lang w:val="en-US" w:eastAsia="zh-CN"/>
                    </w:rPr>
                    <w:t>《挥发性有机物无组织排放控制标准》（</w:t>
                  </w:r>
                  <w:r>
                    <w:rPr>
                      <w:kern w:val="0"/>
                      <w:sz w:val="21"/>
                      <w:szCs w:val="21"/>
                      <w:highlight w:val="none"/>
                    </w:rPr>
                    <w:t>GB</w:t>
                  </w:r>
                  <w:r>
                    <w:rPr>
                      <w:rFonts w:hint="eastAsia"/>
                      <w:kern w:val="0"/>
                      <w:sz w:val="21"/>
                      <w:szCs w:val="21"/>
                      <w:highlight w:val="none"/>
                      <w:lang w:val="en-US" w:eastAsia="zh-CN"/>
                    </w:rPr>
                    <w:t>37822-2019）</w:t>
                  </w:r>
                </w:p>
              </w:tc>
              <w:tc>
                <w:tcPr>
                  <w:tcW w:w="790" w:type="pct"/>
                  <w:vMerge w:val="continue"/>
                  <w:tcBorders>
                    <w:right w:val="single" w:color="auto" w:sz="4" w:space="0"/>
                  </w:tcBorders>
                  <w:noWrap w:val="0"/>
                  <w:vAlign w:val="center"/>
                </w:tcPr>
                <w:p w14:paraId="23CAF30F">
                  <w:pPr>
                    <w:snapToGrid w:val="0"/>
                    <w:spacing w:line="240" w:lineRule="auto"/>
                    <w:jc w:val="center"/>
                    <w:rPr>
                      <w:rFonts w:hint="eastAsia"/>
                      <w:sz w:val="21"/>
                      <w:szCs w:val="21"/>
                      <w:highlight w:val="none"/>
                      <w:lang w:val="en-US" w:eastAsia="zh-CN"/>
                    </w:rPr>
                  </w:pPr>
                </w:p>
              </w:tc>
            </w:tr>
          </w:tbl>
          <w:p w14:paraId="3BA950F6">
            <w:pPr>
              <w:autoSpaceDE w:val="0"/>
              <w:autoSpaceDN w:val="0"/>
              <w:spacing w:line="360" w:lineRule="auto"/>
              <w:rPr>
                <w:b/>
                <w:snapToGrid w:val="0"/>
                <w:sz w:val="24"/>
                <w:szCs w:val="20"/>
              </w:rPr>
            </w:pPr>
            <w:r>
              <w:rPr>
                <w:b/>
                <w:snapToGrid w:val="0"/>
                <w:sz w:val="24"/>
                <w:szCs w:val="20"/>
              </w:rPr>
              <w:t>2</w:t>
            </w:r>
            <w:r>
              <w:rPr>
                <w:rFonts w:hint="eastAsia"/>
                <w:b/>
                <w:snapToGrid w:val="0"/>
                <w:sz w:val="24"/>
                <w:szCs w:val="20"/>
              </w:rPr>
              <w:t>.</w:t>
            </w:r>
            <w:r>
              <w:rPr>
                <w:b/>
                <w:snapToGrid w:val="0"/>
                <w:sz w:val="24"/>
                <w:szCs w:val="20"/>
              </w:rPr>
              <w:t>废水</w:t>
            </w:r>
            <w:r>
              <w:rPr>
                <w:b/>
                <w:sz w:val="24"/>
                <w:szCs w:val="20"/>
              </w:rPr>
              <w:t>环境影响分析及防治措施</w:t>
            </w:r>
          </w:p>
          <w:p w14:paraId="79100302">
            <w:pPr>
              <w:spacing w:line="360" w:lineRule="auto"/>
              <w:ind w:firstLine="482" w:firstLineChars="200"/>
              <w:rPr>
                <w:b/>
                <w:bCs/>
                <w:color w:val="000000"/>
                <w:sz w:val="24"/>
              </w:rPr>
            </w:pPr>
            <w:r>
              <w:rPr>
                <w:b/>
                <w:bCs/>
                <w:color w:val="000000"/>
                <w:sz w:val="24"/>
              </w:rPr>
              <w:t>2.1废水污染源源强核算及污染物产排情况</w:t>
            </w:r>
          </w:p>
          <w:p w14:paraId="5C91BB12">
            <w:pPr>
              <w:autoSpaceDE w:val="0"/>
              <w:autoSpaceDN w:val="0"/>
              <w:spacing w:line="360" w:lineRule="auto"/>
              <w:ind w:firstLine="480" w:firstLineChars="200"/>
              <w:rPr>
                <w:sz w:val="24"/>
                <w:szCs w:val="20"/>
              </w:rPr>
            </w:pPr>
            <w:r>
              <w:rPr>
                <w:sz w:val="24"/>
              </w:rPr>
              <w:t>本项目废水主要为</w:t>
            </w:r>
            <w:r>
              <w:rPr>
                <w:rFonts w:hint="eastAsia"/>
                <w:sz w:val="24"/>
                <w:lang w:val="en-US" w:eastAsia="zh-CN"/>
              </w:rPr>
              <w:t>水洗废水W1、</w:t>
            </w:r>
            <w:r>
              <w:rPr>
                <w:rFonts w:hint="eastAsia"/>
                <w:sz w:val="24"/>
                <w:szCs w:val="20"/>
                <w:lang w:val="en-US" w:eastAsia="zh-CN"/>
              </w:rPr>
              <w:t>凝结水W2</w:t>
            </w:r>
            <w:r>
              <w:rPr>
                <w:sz w:val="24"/>
              </w:rPr>
              <w:t>。</w:t>
            </w:r>
          </w:p>
          <w:p w14:paraId="63D44453">
            <w:pPr>
              <w:spacing w:line="360" w:lineRule="auto"/>
              <w:ind w:firstLine="480" w:firstLineChars="200"/>
              <w:rPr>
                <w:sz w:val="24"/>
              </w:rPr>
            </w:pPr>
            <w:r>
              <w:rPr>
                <w:rFonts w:hint="eastAsia"/>
                <w:bCs/>
                <w:kern w:val="0"/>
                <w:sz w:val="24"/>
                <w:lang w:val="en-US" w:eastAsia="zh-CN"/>
              </w:rPr>
              <w:t>本项目</w:t>
            </w:r>
            <w:r>
              <w:rPr>
                <w:rFonts w:hint="eastAsia"/>
                <w:sz w:val="24"/>
                <w:szCs w:val="20"/>
                <w:lang w:val="en-US" w:eastAsia="zh-CN"/>
              </w:rPr>
              <w:t>凝结水</w:t>
            </w:r>
            <w:r>
              <w:rPr>
                <w:rFonts w:hint="eastAsia"/>
                <w:sz w:val="24"/>
                <w:lang w:val="en-US" w:eastAsia="zh-CN"/>
              </w:rPr>
              <w:t>废水产生量为0.22m</w:t>
            </w:r>
            <w:r>
              <w:rPr>
                <w:rFonts w:hint="eastAsia"/>
                <w:sz w:val="24"/>
                <w:vertAlign w:val="superscript"/>
                <w:lang w:val="en-US" w:eastAsia="zh-CN"/>
              </w:rPr>
              <w:t>3</w:t>
            </w:r>
            <w:r>
              <w:rPr>
                <w:rFonts w:hint="eastAsia"/>
                <w:sz w:val="24"/>
                <w:lang w:val="en-US" w:eastAsia="zh-CN"/>
              </w:rPr>
              <w:t>/h，水洗废水产生量为7.6m</w:t>
            </w:r>
            <w:r>
              <w:rPr>
                <w:rFonts w:hint="eastAsia"/>
                <w:sz w:val="24"/>
                <w:vertAlign w:val="superscript"/>
                <w:lang w:val="en-US" w:eastAsia="zh-CN"/>
              </w:rPr>
              <w:t>3</w:t>
            </w:r>
            <w:r>
              <w:rPr>
                <w:rFonts w:hint="eastAsia"/>
                <w:sz w:val="24"/>
                <w:lang w:val="en-US" w:eastAsia="zh-CN"/>
              </w:rPr>
              <w:t>/h，本项目废水产生量共7.82</w:t>
            </w:r>
            <w:r>
              <w:rPr>
                <w:bCs/>
                <w:kern w:val="0"/>
                <w:sz w:val="24"/>
              </w:rPr>
              <w:t>m</w:t>
            </w:r>
            <w:r>
              <w:rPr>
                <w:bCs/>
                <w:kern w:val="0"/>
                <w:sz w:val="24"/>
                <w:vertAlign w:val="superscript"/>
              </w:rPr>
              <w:t>3</w:t>
            </w:r>
            <w:r>
              <w:rPr>
                <w:bCs/>
                <w:kern w:val="0"/>
                <w:sz w:val="24"/>
              </w:rPr>
              <w:t>/h</w:t>
            </w:r>
            <w:r>
              <w:rPr>
                <w:rFonts w:hint="eastAsia"/>
                <w:bCs/>
                <w:kern w:val="0"/>
                <w:sz w:val="24"/>
                <w:lang w:eastAsia="zh-CN"/>
              </w:rPr>
              <w:t>，</w:t>
            </w:r>
            <w:r>
              <w:rPr>
                <w:rFonts w:hint="eastAsia"/>
                <w:bCs/>
                <w:kern w:val="0"/>
                <w:sz w:val="24"/>
                <w:lang w:val="en-US" w:eastAsia="zh-CN"/>
              </w:rPr>
              <w:t>水洗废水和凝结水送至污水处理厂处理</w:t>
            </w:r>
            <w:r>
              <w:rPr>
                <w:sz w:val="24"/>
              </w:rPr>
              <w:t>。</w:t>
            </w:r>
          </w:p>
          <w:p w14:paraId="2D018A82">
            <w:pPr>
              <w:spacing w:line="360" w:lineRule="auto"/>
              <w:ind w:firstLine="482" w:firstLineChars="200"/>
              <w:rPr>
                <w:rFonts w:hint="eastAsia" w:eastAsia="宋体"/>
                <w:b/>
                <w:bCs/>
                <w:color w:val="000000"/>
                <w:sz w:val="24"/>
                <w:lang w:val="en-US" w:eastAsia="zh-CN"/>
              </w:rPr>
            </w:pPr>
            <w:r>
              <w:rPr>
                <w:b/>
                <w:bCs/>
                <w:color w:val="000000"/>
                <w:sz w:val="24"/>
              </w:rPr>
              <w:t>2.2污染防治措施可行性分析</w:t>
            </w:r>
          </w:p>
          <w:p w14:paraId="6A2C7DD0">
            <w:pPr>
              <w:numPr>
                <w:ilvl w:val="0"/>
                <w:numId w:val="0"/>
              </w:numPr>
              <w:spacing w:line="360" w:lineRule="auto"/>
              <w:ind w:firstLine="480" w:firstLineChars="200"/>
              <w:rPr>
                <w:rFonts w:hint="eastAsia"/>
                <w:bCs/>
                <w:kern w:val="0"/>
                <w:sz w:val="24"/>
              </w:rPr>
            </w:pPr>
            <w:r>
              <w:rPr>
                <w:rFonts w:hint="eastAsia"/>
                <w:bCs/>
                <w:kern w:val="0"/>
                <w:sz w:val="24"/>
                <w:lang w:val="en-US" w:eastAsia="zh-CN"/>
              </w:rPr>
              <w:t>（1）</w:t>
            </w:r>
            <w:r>
              <w:rPr>
                <w:rFonts w:hint="eastAsia"/>
                <w:bCs/>
                <w:kern w:val="0"/>
                <w:sz w:val="24"/>
              </w:rPr>
              <w:t>水量保证性分析</w:t>
            </w:r>
          </w:p>
          <w:p w14:paraId="63573E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现有项目污水处理设施分为污水处理厂（预处理单元、污水生化处理单元、污泥处理单元、臭气处理单元）、废水处理及回用（包括生化合格出水处理单元、清净废水处理单元）。根据《内蒙古伊泰化工有限责任公司</w:t>
            </w:r>
            <w:r>
              <w:rPr>
                <w:rFonts w:hint="default" w:ascii="Times New Roman" w:hAnsi="Times New Roman" w:eastAsia="宋体" w:cs="Times New Roman"/>
                <w:color w:val="000000"/>
                <w:kern w:val="0"/>
                <w:sz w:val="24"/>
                <w:szCs w:val="24"/>
                <w:lang w:val="en-US" w:eastAsia="zh-CN" w:bidi="ar"/>
              </w:rPr>
              <w:t>120</w:t>
            </w:r>
            <w:r>
              <w:rPr>
                <w:rFonts w:hint="eastAsia" w:ascii="宋体" w:hAnsi="宋体" w:eastAsia="宋体" w:cs="宋体"/>
                <w:color w:val="000000"/>
                <w:kern w:val="0"/>
                <w:sz w:val="24"/>
                <w:szCs w:val="24"/>
                <w:lang w:val="en-US" w:eastAsia="zh-CN" w:bidi="ar"/>
              </w:rPr>
              <w:t>万吨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年精细化学品项目（变更）环境影响报告书》（报批版），该工程设</w:t>
            </w:r>
            <w:r>
              <w:rPr>
                <w:rFonts w:hint="default" w:ascii="Times New Roman" w:hAnsi="Times New Roman" w:eastAsia="宋体" w:cs="Times New Roman"/>
                <w:color w:val="000000"/>
                <w:kern w:val="0"/>
                <w:sz w:val="24"/>
                <w:szCs w:val="24"/>
                <w:lang w:val="en-US" w:eastAsia="zh-CN" w:bidi="ar"/>
              </w:rPr>
              <w:t>80m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含油污水预处理、</w:t>
            </w:r>
            <w:r>
              <w:rPr>
                <w:rFonts w:hint="default" w:ascii="Times New Roman" w:hAnsi="Times New Roman" w:eastAsia="宋体" w:cs="Times New Roman"/>
                <w:color w:val="000000"/>
                <w:kern w:val="0"/>
                <w:sz w:val="24"/>
                <w:szCs w:val="24"/>
                <w:lang w:val="en-US" w:eastAsia="zh-CN" w:bidi="ar"/>
              </w:rPr>
              <w:t>150m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合成废水预处理和</w:t>
            </w:r>
            <w:r>
              <w:rPr>
                <w:rFonts w:hint="default" w:ascii="Times New Roman" w:hAnsi="Times New Roman" w:eastAsia="宋体" w:cs="Times New Roman"/>
                <w:color w:val="000000"/>
                <w:kern w:val="0"/>
                <w:sz w:val="24"/>
                <w:szCs w:val="24"/>
                <w:lang w:val="en-US" w:eastAsia="zh-CN" w:bidi="ar"/>
              </w:rPr>
              <w:t>840m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气化废水预处理系统，预处理后的废水和其他装置生产废水、生活污水一并进入污水综合污水处理系统，污水综合污水处理系统采用调节池</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二级</w:t>
            </w:r>
            <w:r>
              <w:rPr>
                <w:rFonts w:hint="default" w:ascii="Times New Roman" w:hAnsi="Times New Roman" w:eastAsia="宋体" w:cs="Times New Roman"/>
                <w:color w:val="000000"/>
                <w:kern w:val="0"/>
                <w:sz w:val="24"/>
                <w:szCs w:val="24"/>
                <w:lang w:val="en-US" w:eastAsia="zh-CN" w:bidi="ar"/>
              </w:rPr>
              <w:t>A/O+</w:t>
            </w:r>
            <w:r>
              <w:rPr>
                <w:rFonts w:hint="eastAsia" w:ascii="宋体" w:hAnsi="宋体" w:eastAsia="宋体" w:cs="宋体"/>
                <w:color w:val="000000"/>
                <w:kern w:val="0"/>
                <w:sz w:val="24"/>
                <w:szCs w:val="24"/>
                <w:lang w:val="en-US" w:eastAsia="zh-CN" w:bidi="ar"/>
              </w:rPr>
              <w:t>二沉池</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混凝沉淀池工艺，处理规模</w:t>
            </w:r>
            <w:r>
              <w:rPr>
                <w:rFonts w:hint="default" w:ascii="Times New Roman" w:hAnsi="Times New Roman" w:eastAsia="宋体" w:cs="Times New Roman"/>
                <w:color w:val="000000"/>
                <w:kern w:val="0"/>
                <w:sz w:val="24"/>
                <w:szCs w:val="24"/>
                <w:lang w:val="en-US" w:eastAsia="zh-CN" w:bidi="ar"/>
              </w:rPr>
              <w:t>1200m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w:t>
            </w:r>
          </w:p>
          <w:p w14:paraId="410C20A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pPr>
            <w:r>
              <w:rPr>
                <w:rFonts w:hint="eastAsia" w:ascii="宋体" w:hAnsi="宋体" w:eastAsia="宋体" w:cs="宋体"/>
                <w:color w:val="000000"/>
                <w:kern w:val="0"/>
                <w:sz w:val="24"/>
                <w:szCs w:val="24"/>
                <w:lang w:val="en-US" w:eastAsia="zh-CN" w:bidi="ar"/>
              </w:rPr>
              <w:t>生化处理后的废水采用自清洗过滤器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外压式</w:t>
            </w:r>
            <w:r>
              <w:rPr>
                <w:rFonts w:hint="default" w:ascii="Times New Roman" w:hAnsi="Times New Roman" w:eastAsia="宋体" w:cs="Times New Roman"/>
                <w:color w:val="000000"/>
                <w:kern w:val="0"/>
                <w:sz w:val="24"/>
                <w:szCs w:val="24"/>
                <w:lang w:val="en-US" w:eastAsia="zh-CN" w:bidi="ar"/>
              </w:rPr>
              <w:t>UF+RO</w:t>
            </w:r>
            <w:r>
              <w:rPr>
                <w:rFonts w:hint="eastAsia" w:ascii="宋体" w:hAnsi="宋体" w:eastAsia="宋体" w:cs="宋体"/>
                <w:color w:val="000000"/>
                <w:kern w:val="0"/>
                <w:sz w:val="24"/>
                <w:szCs w:val="24"/>
                <w:lang w:val="en-US" w:eastAsia="zh-CN" w:bidi="ar"/>
              </w:rPr>
              <w:t>工艺处理后回用，处理规模</w:t>
            </w:r>
            <w:r>
              <w:rPr>
                <w:rFonts w:hint="default" w:ascii="Times New Roman" w:hAnsi="Times New Roman" w:eastAsia="宋体" w:cs="Times New Roman"/>
                <w:color w:val="000000"/>
                <w:kern w:val="0"/>
                <w:sz w:val="24"/>
                <w:szCs w:val="24"/>
                <w:lang w:val="en-US" w:eastAsia="zh-CN" w:bidi="ar"/>
              </w:rPr>
              <w:t>1200m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。清净废水（含盐废水）处理单元采用高密度沉淀池</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多介质过滤器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自清洗过滤器</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外压式</w:t>
            </w:r>
            <w:r>
              <w:rPr>
                <w:rFonts w:hint="default" w:ascii="Times New Roman" w:hAnsi="Times New Roman" w:eastAsia="宋体" w:cs="Times New Roman"/>
                <w:color w:val="000000"/>
                <w:kern w:val="0"/>
                <w:sz w:val="24"/>
                <w:szCs w:val="24"/>
                <w:lang w:val="en-US" w:eastAsia="zh-CN" w:bidi="ar"/>
              </w:rPr>
              <w:t>UF+RO</w:t>
            </w:r>
            <w:r>
              <w:rPr>
                <w:rFonts w:hint="eastAsia" w:ascii="宋体" w:hAnsi="宋体" w:eastAsia="宋体" w:cs="宋体"/>
                <w:color w:val="000000"/>
                <w:kern w:val="0"/>
                <w:sz w:val="24"/>
                <w:szCs w:val="24"/>
                <w:lang w:val="en-US" w:eastAsia="zh-CN" w:bidi="ar"/>
              </w:rPr>
              <w:t>工艺处理回用，处理规模</w:t>
            </w:r>
            <w:r>
              <w:rPr>
                <w:rFonts w:hint="default" w:ascii="Times New Roman" w:hAnsi="Times New Roman" w:eastAsia="宋体" w:cs="Times New Roman"/>
                <w:color w:val="000000"/>
                <w:kern w:val="0"/>
                <w:sz w:val="24"/>
                <w:szCs w:val="24"/>
                <w:lang w:val="en-US" w:eastAsia="zh-CN" w:bidi="ar"/>
              </w:rPr>
              <w:t>600m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。高浓</w:t>
            </w:r>
            <w:r>
              <w:rPr>
                <w:rFonts w:hint="eastAsia" w:ascii="宋体" w:hAnsi="宋体" w:cs="宋体"/>
                <w:color w:val="000000"/>
                <w:kern w:val="0"/>
                <w:sz w:val="24"/>
                <w:szCs w:val="24"/>
                <w:lang w:val="en-US" w:eastAsia="zh-CN" w:bidi="ar"/>
              </w:rPr>
              <w:t>度</w:t>
            </w:r>
            <w:r>
              <w:rPr>
                <w:rFonts w:hint="eastAsia" w:ascii="宋体" w:hAnsi="宋体" w:eastAsia="宋体" w:cs="宋体"/>
                <w:color w:val="000000"/>
                <w:kern w:val="0"/>
                <w:sz w:val="24"/>
                <w:szCs w:val="24"/>
                <w:lang w:val="en-US" w:eastAsia="zh-CN" w:bidi="ar"/>
              </w:rPr>
              <w:t>盐水采用膜浓缩（高密度沉淀池</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多介质过滤</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超滤</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树脂软化</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反渗透）、蒸发预处理（</w:t>
            </w:r>
            <w:r>
              <w:rPr>
                <w:rFonts w:hint="eastAsia" w:ascii="宋体" w:hAnsi="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EP</w:t>
            </w:r>
            <w:r>
              <w:rPr>
                <w:rFonts w:hint="eastAsia" w:ascii="宋体" w:hAnsi="宋体" w:eastAsia="宋体" w:cs="宋体"/>
                <w:color w:val="000000"/>
                <w:kern w:val="0"/>
                <w:sz w:val="24"/>
                <w:szCs w:val="24"/>
                <w:lang w:val="en-US" w:eastAsia="zh-CN" w:bidi="ar"/>
              </w:rPr>
              <w:t>纯化技术</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）、蒸发结晶（</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三效逆流蒸发</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分段结晶</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）的处理工艺，膜浓缩单元处理规模</w:t>
            </w:r>
            <w:r>
              <w:rPr>
                <w:rFonts w:hint="default" w:ascii="Times New Roman" w:hAnsi="Times New Roman" w:eastAsia="宋体" w:cs="Times New Roman"/>
                <w:color w:val="000000"/>
                <w:kern w:val="0"/>
                <w:sz w:val="24"/>
                <w:szCs w:val="24"/>
                <w:lang w:val="en-US" w:eastAsia="zh-CN" w:bidi="ar"/>
              </w:rPr>
              <w:t>560m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，蒸发预处理单元处理规模</w:t>
            </w:r>
            <w:r>
              <w:rPr>
                <w:rFonts w:hint="default" w:ascii="Times New Roman" w:hAnsi="Times New Roman" w:eastAsia="宋体" w:cs="Times New Roman"/>
                <w:color w:val="000000"/>
                <w:kern w:val="0"/>
                <w:sz w:val="24"/>
                <w:szCs w:val="24"/>
                <w:lang w:val="en-US" w:eastAsia="zh-CN" w:bidi="ar"/>
              </w:rPr>
              <w:t>82m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，蒸发结晶单元处理规模</w:t>
            </w:r>
            <w:r>
              <w:rPr>
                <w:rFonts w:hint="default" w:ascii="Times New Roman" w:hAnsi="Times New Roman" w:eastAsia="宋体" w:cs="Times New Roman"/>
                <w:color w:val="000000"/>
                <w:kern w:val="0"/>
                <w:sz w:val="24"/>
                <w:szCs w:val="24"/>
                <w:lang w:val="en-US" w:eastAsia="zh-CN" w:bidi="ar"/>
              </w:rPr>
              <w:t>82m</w:t>
            </w:r>
            <w:r>
              <w:rPr>
                <w:rFonts w:hint="eastAsia" w:ascii="Times New Roman" w:hAnsi="Times New Roman" w:eastAsia="宋体" w:cs="Times New Roman"/>
                <w:color w:val="000000"/>
                <w:kern w:val="0"/>
                <w:sz w:val="24"/>
                <w:szCs w:val="24"/>
                <w:vertAlign w:val="superscript"/>
                <w:lang w:val="en-US" w:eastAsia="zh-CN" w:bidi="ar"/>
              </w:rPr>
              <w:t>3</w:t>
            </w:r>
            <w:r>
              <w:rPr>
                <w:rFonts w:hint="default" w:ascii="Times New Roman" w:hAnsi="Times New Roman" w:eastAsia="宋体" w:cs="Times New Roman"/>
                <w:color w:val="000000"/>
                <w:kern w:val="0"/>
                <w:sz w:val="24"/>
                <w:szCs w:val="24"/>
                <w:lang w:val="en-US" w:eastAsia="zh-CN" w:bidi="ar"/>
              </w:rPr>
              <w:t>/h</w:t>
            </w:r>
            <w:r>
              <w:rPr>
                <w:rFonts w:hint="eastAsia" w:ascii="宋体" w:hAnsi="宋体" w:eastAsia="宋体" w:cs="宋体"/>
                <w:color w:val="000000"/>
                <w:kern w:val="0"/>
                <w:sz w:val="24"/>
                <w:szCs w:val="24"/>
                <w:lang w:val="en-US" w:eastAsia="zh-CN" w:bidi="ar"/>
              </w:rPr>
              <w:t>。</w:t>
            </w:r>
          </w:p>
          <w:p w14:paraId="7B623305">
            <w:pPr>
              <w:spacing w:line="360" w:lineRule="auto"/>
              <w:ind w:firstLine="480" w:firstLineChars="200"/>
              <w:rPr>
                <w:rFonts w:hint="eastAsia"/>
                <w:sz w:val="24"/>
              </w:rPr>
            </w:pPr>
            <w:r>
              <w:rPr>
                <w:rFonts w:hint="eastAsia"/>
                <w:snapToGrid w:val="0"/>
                <w:sz w:val="24"/>
                <w:lang w:val="en-US" w:eastAsia="zh-CN"/>
              </w:rPr>
              <w:t>截至目前污水处理厂的</w:t>
            </w:r>
            <w:r>
              <w:rPr>
                <w:rFonts w:hint="eastAsia"/>
                <w:snapToGrid w:val="0"/>
                <w:sz w:val="24"/>
              </w:rPr>
              <w:t>最大</w:t>
            </w:r>
            <w:r>
              <w:rPr>
                <w:rFonts w:hint="eastAsia"/>
                <w:snapToGrid w:val="0"/>
                <w:sz w:val="24"/>
                <w:lang w:val="en-US" w:eastAsia="zh-CN"/>
              </w:rPr>
              <w:t>处理量为1050</w:t>
            </w:r>
            <w:r>
              <w:rPr>
                <w:rFonts w:hint="eastAsia"/>
                <w:sz w:val="24"/>
              </w:rPr>
              <w:t>t</w:t>
            </w:r>
            <w:r>
              <w:rPr>
                <w:snapToGrid w:val="0"/>
                <w:sz w:val="24"/>
              </w:rPr>
              <w:t>/h</w:t>
            </w:r>
            <w:r>
              <w:rPr>
                <w:rFonts w:hint="eastAsia"/>
                <w:snapToGrid w:val="0"/>
                <w:sz w:val="24"/>
              </w:rPr>
              <w:t>，剩余处理能力</w:t>
            </w:r>
            <w:r>
              <w:rPr>
                <w:rFonts w:hint="eastAsia"/>
                <w:snapToGrid w:val="0"/>
                <w:sz w:val="24"/>
                <w:lang w:eastAsia="zh-CN"/>
              </w:rPr>
              <w:t>为</w:t>
            </w:r>
            <w:r>
              <w:rPr>
                <w:rFonts w:hint="eastAsia"/>
                <w:snapToGrid w:val="0"/>
                <w:sz w:val="24"/>
                <w:lang w:val="en-US" w:eastAsia="zh-CN"/>
              </w:rPr>
              <w:t>150</w:t>
            </w:r>
            <w:r>
              <w:rPr>
                <w:rFonts w:hint="eastAsia"/>
                <w:sz w:val="24"/>
              </w:rPr>
              <w:t>t</w:t>
            </w:r>
            <w:r>
              <w:rPr>
                <w:snapToGrid w:val="0"/>
                <w:sz w:val="24"/>
              </w:rPr>
              <w:t>/h</w:t>
            </w:r>
            <w:r>
              <w:rPr>
                <w:rFonts w:hint="eastAsia"/>
                <w:snapToGrid w:val="0"/>
                <w:sz w:val="24"/>
              </w:rPr>
              <w:t>，</w:t>
            </w:r>
            <w:r>
              <w:rPr>
                <w:rFonts w:hint="eastAsia"/>
                <w:sz w:val="24"/>
              </w:rPr>
              <w:t>可以满足本项目使用需求。</w:t>
            </w:r>
          </w:p>
          <w:p w14:paraId="37D567BE">
            <w:pPr>
              <w:pStyle w:val="399"/>
              <w:ind w:firstLine="480"/>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水质保证性分析</w:t>
            </w:r>
          </w:p>
          <w:p w14:paraId="25ACBD0C">
            <w:pPr>
              <w:widowControl w:val="0"/>
              <w:numPr>
                <w:ilvl w:val="0"/>
                <w:numId w:val="0"/>
              </w:numPr>
              <w:spacing w:line="360" w:lineRule="auto"/>
              <w:ind w:firstLine="480" w:firstLineChars="200"/>
              <w:jc w:val="left"/>
              <w:rPr>
                <w:rFonts w:hint="eastAsia"/>
                <w:sz w:val="24"/>
                <w:szCs w:val="24"/>
                <w:highlight w:val="none"/>
              </w:rPr>
            </w:pPr>
            <w:r>
              <w:rPr>
                <w:sz w:val="24"/>
                <w:highlight w:val="none"/>
              </w:rPr>
              <w:t>根据《内蒙古伊泰化工有限责任公司120万吨/年精细化学品项目水处理及零排放整体系统工艺优化改造工程竣工环境保护验收监测报告表》（鄂尔多斯市环境监测检验有限公司编制，2019年10月），废水处理及回用出水回用水水质满足《污水综合排放标准》（GB8978-</w:t>
            </w:r>
            <w:r>
              <w:rPr>
                <w:sz w:val="24"/>
                <w:szCs w:val="24"/>
                <w:highlight w:val="none"/>
              </w:rPr>
              <w:t>1996</w:t>
            </w:r>
            <w:r>
              <w:rPr>
                <w:sz w:val="24"/>
                <w:highlight w:val="none"/>
              </w:rPr>
              <w:t>）一级标准要求</w:t>
            </w:r>
            <w:r>
              <w:rPr>
                <w:rFonts w:hint="eastAsia"/>
                <w:sz w:val="24"/>
                <w:szCs w:val="24"/>
                <w:highlight w:val="none"/>
              </w:rPr>
              <w:t>。</w:t>
            </w:r>
          </w:p>
          <w:p w14:paraId="1B9BE38E">
            <w:pPr>
              <w:adjustRightInd w:val="0"/>
              <w:snapToGrid w:val="0"/>
              <w:jc w:val="center"/>
              <w:rPr>
                <w:rFonts w:hint="eastAsia" w:ascii="Times New Roman" w:hAnsi="Times New Roman" w:eastAsia="宋体" w:cs="Times New Roman"/>
                <w:b/>
                <w:kern w:val="0"/>
                <w:sz w:val="24"/>
                <w:highlight w:val="none"/>
                <w:lang w:val="en-US" w:eastAsia="zh-CN"/>
              </w:rPr>
            </w:pPr>
            <w:r>
              <w:rPr>
                <w:rFonts w:ascii="Times New Roman" w:hAnsi="Times New Roman" w:eastAsia="宋体" w:cs="Times New Roman"/>
                <w:b/>
                <w:kern w:val="0"/>
                <w:sz w:val="24"/>
                <w:highlight w:val="none"/>
              </w:rPr>
              <w:t>表</w:t>
            </w:r>
            <w:r>
              <w:rPr>
                <w:rFonts w:hint="eastAsia" w:ascii="Times New Roman" w:hAnsi="Times New Roman" w:eastAsia="宋体" w:cs="Times New Roman"/>
                <w:b/>
                <w:kern w:val="0"/>
                <w:sz w:val="24"/>
                <w:highlight w:val="none"/>
                <w:lang w:val="en-US" w:eastAsia="zh-CN"/>
              </w:rPr>
              <w:t>4-</w:t>
            </w:r>
            <w:r>
              <w:rPr>
                <w:rFonts w:hint="eastAsia" w:cs="Times New Roman"/>
                <w:b/>
                <w:kern w:val="0"/>
                <w:sz w:val="24"/>
                <w:highlight w:val="none"/>
                <w:lang w:val="en-US" w:eastAsia="zh-CN"/>
              </w:rPr>
              <w:t>7</w:t>
            </w:r>
            <w:r>
              <w:rPr>
                <w:rFonts w:hint="eastAsia" w:ascii="Times New Roman" w:hAnsi="Times New Roman" w:eastAsia="宋体" w:cs="Times New Roman"/>
                <w:b/>
                <w:kern w:val="0"/>
                <w:sz w:val="24"/>
                <w:highlight w:val="none"/>
                <w:lang w:val="en-US" w:eastAsia="zh-CN"/>
              </w:rPr>
              <w:t>本项目废水达标排放分析</w:t>
            </w:r>
          </w:p>
          <w:tbl>
            <w:tblPr>
              <w:tblStyle w:val="41"/>
              <w:tblW w:w="4999"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0" w:type="dxa"/>
                <w:bottom w:w="0" w:type="dxa"/>
                <w:right w:w="0" w:type="dxa"/>
              </w:tblCellMar>
            </w:tblPr>
            <w:tblGrid>
              <w:gridCol w:w="1233"/>
              <w:gridCol w:w="1238"/>
              <w:gridCol w:w="1072"/>
              <w:gridCol w:w="1238"/>
              <w:gridCol w:w="1238"/>
              <w:gridCol w:w="1238"/>
              <w:gridCol w:w="1238"/>
            </w:tblGrid>
            <w:tr w14:paraId="468C744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294" w:hRule="atLeast"/>
                <w:jc w:val="center"/>
              </w:trPr>
              <w:tc>
                <w:tcPr>
                  <w:tcW w:w="725" w:type="pct"/>
                  <w:tcBorders>
                    <w:top w:val="single" w:color="auto" w:sz="4" w:space="0"/>
                    <w:left w:val="single" w:color="auto" w:sz="0" w:space="0"/>
                  </w:tcBorders>
                  <w:noWrap w:val="0"/>
                  <w:vAlign w:val="center"/>
                </w:tcPr>
                <w:p w14:paraId="788ACA29">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 w:val="0"/>
                      <w:bCs/>
                      <w:sz w:val="21"/>
                      <w:szCs w:val="21"/>
                      <w:highlight w:val="none"/>
                      <w:lang w:val="en-US" w:eastAsia="zh-CN"/>
                    </w:rPr>
                    <w:t>污染物名称</w:t>
                  </w:r>
                </w:p>
              </w:tc>
              <w:tc>
                <w:tcPr>
                  <w:tcW w:w="728" w:type="pct"/>
                  <w:tcBorders>
                    <w:top w:val="single" w:color="auto" w:sz="4" w:space="0"/>
                  </w:tcBorders>
                  <w:noWrap w:val="0"/>
                  <w:vAlign w:val="center"/>
                </w:tcPr>
                <w:p w14:paraId="65B9BF67">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 w:val="0"/>
                      <w:bCs/>
                      <w:sz w:val="21"/>
                      <w:szCs w:val="21"/>
                      <w:highlight w:val="none"/>
                      <w:lang w:val="en-US" w:eastAsia="zh-CN"/>
                    </w:rPr>
                    <w:t>单位</w:t>
                  </w:r>
                </w:p>
              </w:tc>
              <w:tc>
                <w:tcPr>
                  <w:tcW w:w="630" w:type="pct"/>
                  <w:tcBorders>
                    <w:top w:val="single" w:color="auto" w:sz="4" w:space="0"/>
                  </w:tcBorders>
                  <w:noWrap w:val="0"/>
                  <w:vAlign w:val="center"/>
                </w:tcPr>
                <w:p w14:paraId="7BA939B0">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凝结水</w:t>
                  </w:r>
                </w:p>
              </w:tc>
              <w:tc>
                <w:tcPr>
                  <w:tcW w:w="728" w:type="pct"/>
                  <w:tcBorders>
                    <w:top w:val="single" w:color="auto" w:sz="4" w:space="0"/>
                  </w:tcBorders>
                  <w:noWrap w:val="0"/>
                  <w:vAlign w:val="center"/>
                </w:tcPr>
                <w:p w14:paraId="027BA3F7">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水洗废水</w:t>
                  </w:r>
                </w:p>
              </w:tc>
              <w:tc>
                <w:tcPr>
                  <w:tcW w:w="728" w:type="pct"/>
                  <w:tcBorders>
                    <w:top w:val="single" w:color="auto" w:sz="4" w:space="0"/>
                  </w:tcBorders>
                  <w:noWrap w:val="0"/>
                  <w:vAlign w:val="center"/>
                </w:tcPr>
                <w:p w14:paraId="364DAE10">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综合水质</w:t>
                  </w:r>
                </w:p>
              </w:tc>
              <w:tc>
                <w:tcPr>
                  <w:tcW w:w="728" w:type="pct"/>
                  <w:tcBorders>
                    <w:top w:val="single" w:color="auto" w:sz="4" w:space="0"/>
                  </w:tcBorders>
                  <w:noWrap w:val="0"/>
                  <w:vAlign w:val="center"/>
                </w:tcPr>
                <w:p w14:paraId="754E1CB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入水要求</w:t>
                  </w:r>
                </w:p>
              </w:tc>
              <w:tc>
                <w:tcPr>
                  <w:tcW w:w="728" w:type="pct"/>
                  <w:tcBorders>
                    <w:top w:val="single" w:color="auto" w:sz="4" w:space="0"/>
                    <w:right w:val="single" w:color="auto" w:sz="4" w:space="0"/>
                  </w:tcBorders>
                  <w:noWrap w:val="0"/>
                  <w:vAlign w:val="center"/>
                </w:tcPr>
                <w:p w14:paraId="5080A1E7">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符合情况</w:t>
                  </w:r>
                </w:p>
              </w:tc>
            </w:tr>
            <w:tr w14:paraId="2EDE5C5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725" w:type="pct"/>
                  <w:tcBorders>
                    <w:left w:val="single" w:color="auto" w:sz="4" w:space="0"/>
                  </w:tcBorders>
                  <w:noWrap w:val="0"/>
                  <w:vAlign w:val="center"/>
                </w:tcPr>
                <w:p w14:paraId="7390C5D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sz w:val="21"/>
                      <w:szCs w:val="21"/>
                      <w:highlight w:val="none"/>
                    </w:rPr>
                    <w:t>COD</w:t>
                  </w:r>
                  <w:r>
                    <w:rPr>
                      <w:rFonts w:hint="eastAsia"/>
                      <w:sz w:val="21"/>
                      <w:szCs w:val="21"/>
                      <w:highlight w:val="none"/>
                      <w:lang w:val="en-US" w:eastAsia="zh-CN"/>
                    </w:rPr>
                    <w:t>cr</w:t>
                  </w:r>
                </w:p>
              </w:tc>
              <w:tc>
                <w:tcPr>
                  <w:tcW w:w="728" w:type="pct"/>
                  <w:noWrap w:val="0"/>
                  <w:vAlign w:val="center"/>
                </w:tcPr>
                <w:p w14:paraId="11912D7C">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sz w:val="21"/>
                      <w:szCs w:val="21"/>
                      <w:highlight w:val="none"/>
                    </w:rPr>
                    <w:t>mg/L</w:t>
                  </w:r>
                </w:p>
              </w:tc>
              <w:tc>
                <w:tcPr>
                  <w:tcW w:w="630" w:type="pct"/>
                  <w:noWrap w:val="0"/>
                  <w:vAlign w:val="center"/>
                </w:tcPr>
                <w:p w14:paraId="39534519">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428.4</w:t>
                  </w:r>
                </w:p>
              </w:tc>
              <w:tc>
                <w:tcPr>
                  <w:tcW w:w="728" w:type="pct"/>
                  <w:noWrap w:val="0"/>
                  <w:vAlign w:val="center"/>
                </w:tcPr>
                <w:p w14:paraId="520149ED">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428.4</w:t>
                  </w:r>
                </w:p>
              </w:tc>
              <w:tc>
                <w:tcPr>
                  <w:tcW w:w="728" w:type="pct"/>
                  <w:noWrap w:val="0"/>
                  <w:vAlign w:val="center"/>
                </w:tcPr>
                <w:p w14:paraId="12C65D03">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11CDD7A9">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1300</w:t>
                  </w:r>
                </w:p>
              </w:tc>
              <w:tc>
                <w:tcPr>
                  <w:tcW w:w="728" w:type="pct"/>
                  <w:tcBorders>
                    <w:right w:val="single" w:color="auto" w:sz="4" w:space="0"/>
                  </w:tcBorders>
                  <w:noWrap w:val="0"/>
                  <w:vAlign w:val="center"/>
                </w:tcPr>
                <w:p w14:paraId="31B2B772">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符合</w:t>
                  </w:r>
                </w:p>
              </w:tc>
            </w:tr>
            <w:tr w14:paraId="0B16CFB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725" w:type="pct"/>
                  <w:tcBorders>
                    <w:left w:val="single" w:color="auto" w:sz="4" w:space="0"/>
                  </w:tcBorders>
                  <w:noWrap w:val="0"/>
                  <w:vAlign w:val="center"/>
                </w:tcPr>
                <w:p w14:paraId="64B51441">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sz w:val="21"/>
                      <w:szCs w:val="21"/>
                      <w:highlight w:val="none"/>
                    </w:rPr>
                    <w:t>SS</w:t>
                  </w:r>
                </w:p>
              </w:tc>
              <w:tc>
                <w:tcPr>
                  <w:tcW w:w="728" w:type="pct"/>
                  <w:noWrap w:val="0"/>
                  <w:vAlign w:val="center"/>
                </w:tcPr>
                <w:p w14:paraId="65A36A7A">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sz w:val="21"/>
                      <w:szCs w:val="21"/>
                      <w:highlight w:val="none"/>
                    </w:rPr>
                    <w:t>mg/L</w:t>
                  </w:r>
                </w:p>
              </w:tc>
              <w:tc>
                <w:tcPr>
                  <w:tcW w:w="630" w:type="pct"/>
                  <w:noWrap w:val="0"/>
                  <w:vAlign w:val="center"/>
                </w:tcPr>
                <w:p w14:paraId="098C07A1">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15</w:t>
                  </w:r>
                </w:p>
              </w:tc>
              <w:tc>
                <w:tcPr>
                  <w:tcW w:w="728" w:type="pct"/>
                  <w:noWrap w:val="0"/>
                  <w:vAlign w:val="center"/>
                </w:tcPr>
                <w:p w14:paraId="575C0785">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15</w:t>
                  </w:r>
                </w:p>
              </w:tc>
              <w:tc>
                <w:tcPr>
                  <w:tcW w:w="728" w:type="pct"/>
                  <w:noWrap w:val="0"/>
                  <w:vAlign w:val="center"/>
                </w:tcPr>
                <w:p w14:paraId="3D4C721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280120EB">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50</w:t>
                  </w:r>
                </w:p>
              </w:tc>
              <w:tc>
                <w:tcPr>
                  <w:tcW w:w="728" w:type="pct"/>
                  <w:tcBorders>
                    <w:right w:val="single" w:color="auto" w:sz="4" w:space="0"/>
                  </w:tcBorders>
                  <w:noWrap w:val="0"/>
                  <w:vAlign w:val="center"/>
                </w:tcPr>
                <w:p w14:paraId="2A680AAE">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25B7CB7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725" w:type="pct"/>
                  <w:tcBorders>
                    <w:left w:val="single" w:color="auto" w:sz="4" w:space="0"/>
                  </w:tcBorders>
                  <w:noWrap w:val="0"/>
                  <w:vAlign w:val="center"/>
                </w:tcPr>
                <w:p w14:paraId="0A145747">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sz w:val="21"/>
                      <w:szCs w:val="21"/>
                      <w:highlight w:val="none"/>
                    </w:rPr>
                    <w:t>石油类</w:t>
                  </w:r>
                </w:p>
              </w:tc>
              <w:tc>
                <w:tcPr>
                  <w:tcW w:w="728" w:type="pct"/>
                  <w:noWrap w:val="0"/>
                  <w:vAlign w:val="center"/>
                </w:tcPr>
                <w:p w14:paraId="552EEC91">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sz w:val="21"/>
                      <w:szCs w:val="21"/>
                      <w:highlight w:val="none"/>
                    </w:rPr>
                    <w:t>mg/L</w:t>
                  </w:r>
                </w:p>
              </w:tc>
              <w:tc>
                <w:tcPr>
                  <w:tcW w:w="630" w:type="pct"/>
                  <w:noWrap w:val="0"/>
                  <w:vAlign w:val="center"/>
                </w:tcPr>
                <w:p w14:paraId="5C55675F">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11.25</w:t>
                  </w:r>
                </w:p>
              </w:tc>
              <w:tc>
                <w:tcPr>
                  <w:tcW w:w="728" w:type="pct"/>
                  <w:noWrap w:val="0"/>
                  <w:vAlign w:val="center"/>
                </w:tcPr>
                <w:p w14:paraId="250C58B8">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11.25</w:t>
                  </w:r>
                </w:p>
              </w:tc>
              <w:tc>
                <w:tcPr>
                  <w:tcW w:w="728" w:type="pct"/>
                  <w:noWrap w:val="0"/>
                  <w:vAlign w:val="center"/>
                </w:tcPr>
                <w:p w14:paraId="14A1F7C5">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617D545D">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50</w:t>
                  </w:r>
                </w:p>
              </w:tc>
              <w:tc>
                <w:tcPr>
                  <w:tcW w:w="728" w:type="pct"/>
                  <w:tcBorders>
                    <w:right w:val="single" w:color="auto" w:sz="4" w:space="0"/>
                  </w:tcBorders>
                  <w:noWrap w:val="0"/>
                  <w:vAlign w:val="center"/>
                </w:tcPr>
                <w:p w14:paraId="37521DFA">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39E6F33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725" w:type="pct"/>
                  <w:tcBorders>
                    <w:left w:val="single" w:color="auto" w:sz="4" w:space="0"/>
                  </w:tcBorders>
                  <w:noWrap w:val="0"/>
                  <w:vAlign w:val="center"/>
                </w:tcPr>
                <w:p w14:paraId="6EBA2CCF">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rPr>
                    <w:t>BOD</w:t>
                  </w:r>
                  <w:r>
                    <w:rPr>
                      <w:sz w:val="21"/>
                      <w:szCs w:val="21"/>
                      <w:vertAlign w:val="subscript"/>
                    </w:rPr>
                    <w:t>5</w:t>
                  </w:r>
                </w:p>
              </w:tc>
              <w:tc>
                <w:tcPr>
                  <w:tcW w:w="728" w:type="pct"/>
                  <w:noWrap w:val="0"/>
                  <w:vAlign w:val="center"/>
                </w:tcPr>
                <w:p w14:paraId="1D82497B">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mg/L</w:t>
                  </w:r>
                </w:p>
              </w:tc>
              <w:tc>
                <w:tcPr>
                  <w:tcW w:w="630" w:type="pct"/>
                  <w:noWrap w:val="0"/>
                  <w:vAlign w:val="center"/>
                </w:tcPr>
                <w:p w14:paraId="336E069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01EAED53">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4B0722A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7E183C42">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500</w:t>
                  </w:r>
                </w:p>
              </w:tc>
              <w:tc>
                <w:tcPr>
                  <w:tcW w:w="728" w:type="pct"/>
                  <w:tcBorders>
                    <w:right w:val="single" w:color="auto" w:sz="4" w:space="0"/>
                  </w:tcBorders>
                  <w:noWrap w:val="0"/>
                  <w:vAlign w:val="center"/>
                </w:tcPr>
                <w:p w14:paraId="45C3A8B7">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36D476E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283" w:hRule="atLeast"/>
                <w:jc w:val="center"/>
              </w:trPr>
              <w:tc>
                <w:tcPr>
                  <w:tcW w:w="725" w:type="pct"/>
                  <w:tcBorders>
                    <w:left w:val="single" w:color="auto" w:sz="4" w:space="0"/>
                  </w:tcBorders>
                  <w:noWrap w:val="0"/>
                  <w:vAlign w:val="center"/>
                </w:tcPr>
                <w:p w14:paraId="33D8ECA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sz w:val="21"/>
                      <w:szCs w:val="21"/>
                      <w:highlight w:val="none"/>
                      <w:lang w:val="en-US" w:eastAsia="zh-CN"/>
                    </w:rPr>
                    <w:t>氨氮</w:t>
                  </w:r>
                </w:p>
              </w:tc>
              <w:tc>
                <w:tcPr>
                  <w:tcW w:w="728" w:type="pct"/>
                  <w:noWrap w:val="0"/>
                  <w:vAlign w:val="center"/>
                </w:tcPr>
                <w:p w14:paraId="1402B8BC">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mg/L</w:t>
                  </w:r>
                </w:p>
              </w:tc>
              <w:tc>
                <w:tcPr>
                  <w:tcW w:w="630" w:type="pct"/>
                  <w:noWrap w:val="0"/>
                  <w:vAlign w:val="center"/>
                </w:tcPr>
                <w:p w14:paraId="4920E171">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513F8A99">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5A43B3F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471EB5B3">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165</w:t>
                  </w:r>
                </w:p>
              </w:tc>
              <w:tc>
                <w:tcPr>
                  <w:tcW w:w="728" w:type="pct"/>
                  <w:tcBorders>
                    <w:right w:val="single" w:color="auto" w:sz="4" w:space="0"/>
                  </w:tcBorders>
                  <w:noWrap w:val="0"/>
                  <w:vAlign w:val="center"/>
                </w:tcPr>
                <w:p w14:paraId="24358171">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69F0385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15" w:hRule="atLeast"/>
                <w:jc w:val="center"/>
              </w:trPr>
              <w:tc>
                <w:tcPr>
                  <w:tcW w:w="725" w:type="pct"/>
                  <w:tcBorders>
                    <w:left w:val="single" w:color="auto" w:sz="4" w:space="0"/>
                  </w:tcBorders>
                  <w:noWrap w:val="0"/>
                  <w:vAlign w:val="center"/>
                </w:tcPr>
                <w:p w14:paraId="081D7296">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sz w:val="21"/>
                      <w:szCs w:val="21"/>
                      <w:highlight w:val="none"/>
                      <w:lang w:val="en-US" w:eastAsia="zh-CN"/>
                    </w:rPr>
                    <w:t>总氮</w:t>
                  </w:r>
                </w:p>
              </w:tc>
              <w:tc>
                <w:tcPr>
                  <w:tcW w:w="728" w:type="pct"/>
                  <w:noWrap w:val="0"/>
                  <w:vAlign w:val="center"/>
                </w:tcPr>
                <w:p w14:paraId="0BF158FB">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mg/L</w:t>
                  </w:r>
                </w:p>
              </w:tc>
              <w:tc>
                <w:tcPr>
                  <w:tcW w:w="630" w:type="pct"/>
                  <w:noWrap w:val="0"/>
                  <w:vAlign w:val="center"/>
                </w:tcPr>
                <w:p w14:paraId="1ADDBE9C">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2D56EAA5">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7EB8BF8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641CE29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200</w:t>
                  </w:r>
                </w:p>
              </w:tc>
              <w:tc>
                <w:tcPr>
                  <w:tcW w:w="728" w:type="pct"/>
                  <w:tcBorders>
                    <w:right w:val="single" w:color="auto" w:sz="4" w:space="0"/>
                  </w:tcBorders>
                  <w:noWrap w:val="0"/>
                  <w:vAlign w:val="center"/>
                </w:tcPr>
                <w:p w14:paraId="4CF1F85F">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54DCF16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15" w:hRule="atLeast"/>
                <w:jc w:val="center"/>
              </w:trPr>
              <w:tc>
                <w:tcPr>
                  <w:tcW w:w="725" w:type="pct"/>
                  <w:tcBorders>
                    <w:left w:val="single" w:color="auto" w:sz="4" w:space="0"/>
                  </w:tcBorders>
                  <w:noWrap w:val="0"/>
                  <w:vAlign w:val="center"/>
                </w:tcPr>
                <w:p w14:paraId="744FBF61">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sz w:val="21"/>
                      <w:szCs w:val="21"/>
                      <w:highlight w:val="none"/>
                      <w:lang w:val="en-US" w:eastAsia="zh-CN"/>
                    </w:rPr>
                  </w:pPr>
                  <w:r>
                    <w:rPr>
                      <w:rFonts w:hint="eastAsia"/>
                      <w:sz w:val="21"/>
                      <w:szCs w:val="21"/>
                      <w:highlight w:val="none"/>
                      <w:lang w:val="en-US" w:eastAsia="zh-CN"/>
                    </w:rPr>
                    <w:t>pH</w:t>
                  </w:r>
                </w:p>
              </w:tc>
              <w:tc>
                <w:tcPr>
                  <w:tcW w:w="728" w:type="pct"/>
                  <w:noWrap w:val="0"/>
                  <w:vAlign w:val="center"/>
                </w:tcPr>
                <w:p w14:paraId="28E274CF">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sz w:val="21"/>
                      <w:szCs w:val="21"/>
                      <w:highlight w:val="none"/>
                      <w:lang w:val="en-US" w:eastAsia="zh-CN"/>
                    </w:rPr>
                    <w:t>-</w:t>
                  </w:r>
                </w:p>
              </w:tc>
              <w:tc>
                <w:tcPr>
                  <w:tcW w:w="630" w:type="pct"/>
                  <w:noWrap w:val="0"/>
                  <w:vAlign w:val="center"/>
                </w:tcPr>
                <w:p w14:paraId="7982D21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49A3F544">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0DD858E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2FD53EE2">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7~9</w:t>
                  </w:r>
                </w:p>
              </w:tc>
              <w:tc>
                <w:tcPr>
                  <w:tcW w:w="728" w:type="pct"/>
                  <w:tcBorders>
                    <w:right w:val="single" w:color="auto" w:sz="4" w:space="0"/>
                  </w:tcBorders>
                  <w:noWrap w:val="0"/>
                  <w:vAlign w:val="center"/>
                </w:tcPr>
                <w:p w14:paraId="03E42723">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7A0774A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15" w:hRule="atLeast"/>
                <w:jc w:val="center"/>
              </w:trPr>
              <w:tc>
                <w:tcPr>
                  <w:tcW w:w="725" w:type="pct"/>
                  <w:tcBorders>
                    <w:left w:val="single" w:color="auto" w:sz="4" w:space="0"/>
                  </w:tcBorders>
                  <w:noWrap w:val="0"/>
                  <w:vAlign w:val="center"/>
                </w:tcPr>
                <w:p w14:paraId="3C4949A8">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sz w:val="21"/>
                      <w:szCs w:val="21"/>
                      <w:highlight w:val="none"/>
                      <w:lang w:val="en-US" w:eastAsia="zh-CN"/>
                    </w:rPr>
                    <w:t>TDS</w:t>
                  </w:r>
                </w:p>
              </w:tc>
              <w:tc>
                <w:tcPr>
                  <w:tcW w:w="728" w:type="pct"/>
                  <w:noWrap w:val="0"/>
                  <w:vAlign w:val="center"/>
                </w:tcPr>
                <w:p w14:paraId="1F4C8243">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mg/L</w:t>
                  </w:r>
                </w:p>
              </w:tc>
              <w:tc>
                <w:tcPr>
                  <w:tcW w:w="630" w:type="pct"/>
                  <w:noWrap w:val="0"/>
                  <w:vAlign w:val="center"/>
                </w:tcPr>
                <w:p w14:paraId="491911B5">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4062E4C7">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7743108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noWrap w:val="0"/>
                  <w:vAlign w:val="center"/>
                </w:tcPr>
                <w:p w14:paraId="31BAC679">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2400</w:t>
                  </w:r>
                </w:p>
              </w:tc>
              <w:tc>
                <w:tcPr>
                  <w:tcW w:w="728" w:type="pct"/>
                  <w:tcBorders>
                    <w:right w:val="single" w:color="auto" w:sz="4" w:space="0"/>
                  </w:tcBorders>
                  <w:noWrap w:val="0"/>
                  <w:vAlign w:val="center"/>
                </w:tcPr>
                <w:p w14:paraId="2D82C0E8">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r w14:paraId="438F370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0" w:type="dxa"/>
                  <w:bottom w:w="0" w:type="dxa"/>
                  <w:right w:w="0" w:type="dxa"/>
                </w:tblCellMar>
              </w:tblPrEx>
              <w:trPr>
                <w:trHeight w:val="315" w:hRule="atLeast"/>
                <w:jc w:val="center"/>
              </w:trPr>
              <w:tc>
                <w:tcPr>
                  <w:tcW w:w="725" w:type="pct"/>
                  <w:tcBorders>
                    <w:left w:val="single" w:color="auto" w:sz="4" w:space="0"/>
                    <w:bottom w:val="single" w:color="auto" w:sz="4" w:space="0"/>
                  </w:tcBorders>
                  <w:noWrap w:val="0"/>
                  <w:vAlign w:val="center"/>
                </w:tcPr>
                <w:p w14:paraId="2D6B938F">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sz w:val="21"/>
                      <w:szCs w:val="21"/>
                      <w:highlight w:val="none"/>
                      <w:lang w:val="en-US" w:eastAsia="zh-CN"/>
                    </w:rPr>
                  </w:pPr>
                  <w:r>
                    <w:rPr>
                      <w:rFonts w:hint="eastAsia"/>
                      <w:sz w:val="21"/>
                      <w:szCs w:val="21"/>
                      <w:highlight w:val="none"/>
                      <w:lang w:val="en-US" w:eastAsia="zh-CN"/>
                    </w:rPr>
                    <w:t>TP</w:t>
                  </w:r>
                </w:p>
              </w:tc>
              <w:tc>
                <w:tcPr>
                  <w:tcW w:w="728" w:type="pct"/>
                  <w:tcBorders>
                    <w:bottom w:val="single" w:color="auto" w:sz="4" w:space="0"/>
                  </w:tcBorders>
                  <w:noWrap w:val="0"/>
                  <w:vAlign w:val="center"/>
                </w:tcPr>
                <w:p w14:paraId="4E6F3C31">
                  <w:pPr>
                    <w:keepNext w:val="0"/>
                    <w:keepLines w:val="0"/>
                    <w:pageBreakBefore w:val="0"/>
                    <w:widowControl w:val="0"/>
                    <w:kinsoku/>
                    <w:wordWrap/>
                    <w:overflowPunct/>
                    <w:topLinePunct w:val="0"/>
                    <w:autoSpaceDE/>
                    <w:autoSpaceDN/>
                    <w:bidi w:val="0"/>
                    <w:adjustRightInd/>
                    <w:snapToGrid/>
                    <w:jc w:val="center"/>
                    <w:textAlignment w:val="auto"/>
                    <w:rPr>
                      <w:sz w:val="21"/>
                      <w:szCs w:val="21"/>
                      <w:highlight w:val="none"/>
                    </w:rPr>
                  </w:pPr>
                  <w:r>
                    <w:rPr>
                      <w:sz w:val="21"/>
                      <w:szCs w:val="21"/>
                      <w:highlight w:val="none"/>
                    </w:rPr>
                    <w:t>mg/L</w:t>
                  </w:r>
                </w:p>
              </w:tc>
              <w:tc>
                <w:tcPr>
                  <w:tcW w:w="630" w:type="pct"/>
                  <w:tcBorders>
                    <w:bottom w:val="single" w:color="auto" w:sz="4" w:space="0"/>
                  </w:tcBorders>
                  <w:noWrap w:val="0"/>
                  <w:vAlign w:val="center"/>
                </w:tcPr>
                <w:p w14:paraId="7DBA90FB">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tcBorders>
                    <w:bottom w:val="single" w:color="auto" w:sz="4" w:space="0"/>
                  </w:tcBorders>
                  <w:noWrap w:val="0"/>
                  <w:vAlign w:val="center"/>
                </w:tcPr>
                <w:p w14:paraId="64E019D5">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tcBorders>
                    <w:bottom w:val="single" w:color="auto" w:sz="4" w:space="0"/>
                  </w:tcBorders>
                  <w:noWrap w:val="0"/>
                  <w:vAlign w:val="center"/>
                </w:tcPr>
                <w:p w14:paraId="4071A08E">
                  <w:pPr>
                    <w:keepNext w:val="0"/>
                    <w:keepLines w:val="0"/>
                    <w:pageBreakBefore w:val="0"/>
                    <w:widowControl w:val="0"/>
                    <w:kinsoku/>
                    <w:wordWrap/>
                    <w:overflowPunct/>
                    <w:topLinePunct w:val="0"/>
                    <w:autoSpaceDE/>
                    <w:autoSpaceDN/>
                    <w:bidi w:val="0"/>
                    <w:adjustRightInd/>
                    <w:snapToGrid/>
                    <w:jc w:val="center"/>
                    <w:textAlignment w:val="auto"/>
                    <w:rPr>
                      <w:rFonts w:hint="eastAsia" w:eastAsia="宋体"/>
                      <w:bCs/>
                      <w:sz w:val="21"/>
                      <w:szCs w:val="21"/>
                      <w:highlight w:val="none"/>
                      <w:lang w:val="en-US" w:eastAsia="zh-CN"/>
                    </w:rPr>
                  </w:pPr>
                  <w:r>
                    <w:rPr>
                      <w:rFonts w:hint="eastAsia"/>
                      <w:bCs/>
                      <w:sz w:val="21"/>
                      <w:szCs w:val="21"/>
                      <w:highlight w:val="none"/>
                      <w:lang w:val="en-US" w:eastAsia="zh-CN"/>
                    </w:rPr>
                    <w:t>/</w:t>
                  </w:r>
                </w:p>
              </w:tc>
              <w:tc>
                <w:tcPr>
                  <w:tcW w:w="728" w:type="pct"/>
                  <w:tcBorders>
                    <w:bottom w:val="single" w:color="auto" w:sz="4" w:space="0"/>
                  </w:tcBorders>
                  <w:noWrap w:val="0"/>
                  <w:vAlign w:val="center"/>
                </w:tcPr>
                <w:p w14:paraId="02A17CD6">
                  <w:pPr>
                    <w:keepNext w:val="0"/>
                    <w:keepLines w:val="0"/>
                    <w:pageBreakBefore w:val="0"/>
                    <w:widowControl w:val="0"/>
                    <w:kinsoku/>
                    <w:wordWrap/>
                    <w:overflowPunct/>
                    <w:topLinePunct w:val="0"/>
                    <w:autoSpaceDE/>
                    <w:autoSpaceDN/>
                    <w:bidi w:val="0"/>
                    <w:adjustRightInd/>
                    <w:snapToGrid/>
                    <w:jc w:val="center"/>
                    <w:textAlignment w:val="auto"/>
                    <w:rPr>
                      <w:rFonts w:hint="default" w:eastAsia="宋体"/>
                      <w:bCs/>
                      <w:sz w:val="21"/>
                      <w:szCs w:val="21"/>
                      <w:highlight w:val="none"/>
                      <w:lang w:val="en-US" w:eastAsia="zh-CN"/>
                    </w:rPr>
                  </w:pPr>
                  <w:r>
                    <w:rPr>
                      <w:rFonts w:hint="eastAsia"/>
                      <w:bCs/>
                      <w:sz w:val="21"/>
                      <w:szCs w:val="21"/>
                      <w:highlight w:val="none"/>
                      <w:lang w:val="en-US" w:eastAsia="zh-CN"/>
                    </w:rPr>
                    <w:t>0.14</w:t>
                  </w:r>
                </w:p>
              </w:tc>
              <w:tc>
                <w:tcPr>
                  <w:tcW w:w="728" w:type="pct"/>
                  <w:tcBorders>
                    <w:bottom w:val="single" w:color="auto" w:sz="4" w:space="0"/>
                    <w:right w:val="single" w:color="auto" w:sz="4" w:space="0"/>
                  </w:tcBorders>
                  <w:noWrap w:val="0"/>
                  <w:vAlign w:val="center"/>
                </w:tcPr>
                <w:p w14:paraId="7088DEC1">
                  <w:pPr>
                    <w:keepNext w:val="0"/>
                    <w:keepLines w:val="0"/>
                    <w:pageBreakBefore w:val="0"/>
                    <w:widowControl w:val="0"/>
                    <w:kinsoku/>
                    <w:wordWrap/>
                    <w:overflowPunct/>
                    <w:topLinePunct w:val="0"/>
                    <w:autoSpaceDE/>
                    <w:autoSpaceDN/>
                    <w:bidi w:val="0"/>
                    <w:adjustRightInd/>
                    <w:snapToGrid/>
                    <w:jc w:val="center"/>
                    <w:textAlignment w:val="auto"/>
                    <w:rPr>
                      <w:bCs/>
                      <w:sz w:val="21"/>
                      <w:szCs w:val="21"/>
                      <w:highlight w:val="none"/>
                    </w:rPr>
                  </w:pPr>
                  <w:r>
                    <w:rPr>
                      <w:rFonts w:hint="eastAsia"/>
                      <w:bCs/>
                      <w:sz w:val="21"/>
                      <w:szCs w:val="21"/>
                      <w:highlight w:val="none"/>
                      <w:lang w:val="en-US" w:eastAsia="zh-CN"/>
                    </w:rPr>
                    <w:t>符合</w:t>
                  </w:r>
                </w:p>
              </w:tc>
            </w:tr>
          </w:tbl>
          <w:p w14:paraId="2529F49D">
            <w:pPr>
              <w:adjustRightInd w:val="0"/>
              <w:snapToGrid w:val="0"/>
              <w:jc w:val="center"/>
              <w:rPr>
                <w:rFonts w:hint="eastAsia" w:ascii="Times New Roman" w:hAnsi="Times New Roman" w:eastAsia="宋体" w:cs="Times New Roman"/>
                <w:b/>
                <w:kern w:val="0"/>
                <w:sz w:val="24"/>
                <w:highlight w:val="none"/>
                <w:lang w:val="en-US" w:eastAsia="zh-CN"/>
              </w:rPr>
            </w:pPr>
          </w:p>
          <w:p w14:paraId="1AE66498">
            <w:pPr>
              <w:spacing w:line="360" w:lineRule="auto"/>
              <w:ind w:firstLine="480" w:firstLineChars="200"/>
              <w:rPr>
                <w:rFonts w:hint="eastAsia" w:eastAsia="宋体"/>
                <w:sz w:val="24"/>
                <w:highlight w:val="none"/>
                <w:lang w:eastAsia="zh-CN"/>
              </w:rPr>
            </w:pPr>
            <w:r>
              <w:rPr>
                <w:rFonts w:hint="eastAsia" w:eastAsia="宋体"/>
                <w:sz w:val="24"/>
                <w:highlight w:val="none"/>
              </w:rPr>
              <w:t>综上，从水质、水量上分析本项目</w:t>
            </w:r>
            <w:r>
              <w:rPr>
                <w:rFonts w:hint="eastAsia"/>
                <w:sz w:val="24"/>
                <w:highlight w:val="none"/>
                <w:lang w:eastAsia="zh-CN"/>
              </w:rPr>
              <w:t>废水</w:t>
            </w:r>
            <w:r>
              <w:rPr>
                <w:rFonts w:hint="eastAsia" w:eastAsia="宋体"/>
                <w:sz w:val="24"/>
                <w:highlight w:val="none"/>
              </w:rPr>
              <w:t>依托</w:t>
            </w:r>
            <w:r>
              <w:rPr>
                <w:rFonts w:hint="eastAsia"/>
                <w:sz w:val="24"/>
                <w:highlight w:val="none"/>
                <w:lang w:eastAsia="zh-CN"/>
              </w:rPr>
              <w:t>处理</w:t>
            </w:r>
            <w:r>
              <w:rPr>
                <w:rFonts w:hint="eastAsia" w:eastAsia="宋体"/>
                <w:sz w:val="24"/>
                <w:highlight w:val="none"/>
              </w:rPr>
              <w:t>可行</w:t>
            </w:r>
            <w:r>
              <w:rPr>
                <w:rFonts w:hint="eastAsia" w:eastAsia="宋体"/>
                <w:sz w:val="24"/>
                <w:highlight w:val="none"/>
                <w:lang w:eastAsia="zh-CN"/>
              </w:rPr>
              <w:t>。</w:t>
            </w:r>
          </w:p>
          <w:p w14:paraId="13426017">
            <w:pPr>
              <w:spacing w:line="360" w:lineRule="auto"/>
              <w:ind w:firstLine="480" w:firstLineChars="200"/>
              <w:rPr>
                <w:rFonts w:hint="eastAsia" w:eastAsia="宋体"/>
                <w:sz w:val="24"/>
                <w:highlight w:val="none"/>
                <w:lang w:val="en-US" w:eastAsia="zh-CN"/>
              </w:rPr>
            </w:pPr>
            <w:r>
              <w:rPr>
                <w:rFonts w:hint="eastAsia"/>
                <w:sz w:val="24"/>
                <w:highlight w:val="none"/>
                <w:lang w:val="en-US" w:eastAsia="zh-CN"/>
              </w:rPr>
              <w:t>（3）</w:t>
            </w:r>
            <w:r>
              <w:rPr>
                <w:rFonts w:hint="eastAsia" w:eastAsia="宋体"/>
                <w:sz w:val="24"/>
                <w:highlight w:val="none"/>
                <w:lang w:val="en-US" w:eastAsia="zh-CN"/>
              </w:rPr>
              <w:t>监测计划</w:t>
            </w:r>
          </w:p>
          <w:p w14:paraId="16C16A4E">
            <w:pPr>
              <w:spacing w:line="360" w:lineRule="auto"/>
              <w:ind w:firstLine="480" w:firstLineChars="200"/>
              <w:rPr>
                <w:rFonts w:hint="default" w:eastAsia="宋体"/>
                <w:sz w:val="24"/>
                <w:highlight w:val="none"/>
                <w:lang w:val="en-US" w:eastAsia="zh-CN"/>
              </w:rPr>
            </w:pPr>
            <w:r>
              <w:rPr>
                <w:rFonts w:hint="eastAsia" w:eastAsia="宋体"/>
                <w:sz w:val="24"/>
                <w:highlight w:val="none"/>
                <w:lang w:val="en-US" w:eastAsia="zh-CN"/>
              </w:rPr>
              <w:t>本项目废水监测计划依托现有工程，不单独进行</w:t>
            </w:r>
            <w:r>
              <w:rPr>
                <w:rFonts w:hint="eastAsia"/>
                <w:sz w:val="24"/>
                <w:highlight w:val="none"/>
                <w:lang w:val="en-US" w:eastAsia="zh-CN"/>
              </w:rPr>
              <w:t>废水</w:t>
            </w:r>
            <w:r>
              <w:rPr>
                <w:rFonts w:hint="eastAsia" w:eastAsia="宋体"/>
                <w:sz w:val="24"/>
                <w:highlight w:val="none"/>
                <w:lang w:val="en-US" w:eastAsia="zh-CN"/>
              </w:rPr>
              <w:t>监测。</w:t>
            </w:r>
          </w:p>
          <w:p w14:paraId="1563A58A">
            <w:pPr>
              <w:spacing w:line="360" w:lineRule="auto"/>
              <w:rPr>
                <w:b/>
                <w:sz w:val="24"/>
                <w:szCs w:val="20"/>
              </w:rPr>
            </w:pPr>
            <w:r>
              <w:rPr>
                <w:b/>
                <w:sz w:val="24"/>
                <w:szCs w:val="20"/>
              </w:rPr>
              <w:t>3</w:t>
            </w:r>
            <w:r>
              <w:rPr>
                <w:rFonts w:hint="eastAsia"/>
                <w:b/>
                <w:sz w:val="24"/>
                <w:szCs w:val="20"/>
              </w:rPr>
              <w:t>.</w:t>
            </w:r>
            <w:r>
              <w:rPr>
                <w:b/>
                <w:sz w:val="24"/>
                <w:szCs w:val="20"/>
              </w:rPr>
              <w:t>声环境影响分析及防治措施</w:t>
            </w:r>
          </w:p>
          <w:p w14:paraId="3F3A52DA">
            <w:pPr>
              <w:spacing w:line="360" w:lineRule="auto"/>
              <w:ind w:firstLine="480" w:firstLineChars="200"/>
              <w:rPr>
                <w:rFonts w:hint="eastAsia"/>
                <w:sz w:val="24"/>
                <w:szCs w:val="20"/>
              </w:rPr>
            </w:pPr>
            <w:r>
              <w:rPr>
                <w:sz w:val="24"/>
                <w:szCs w:val="20"/>
              </w:rPr>
              <w:t>本项目噪声源主要为泵类等，设备均为中小型，声源声压级为</w:t>
            </w:r>
            <w:r>
              <w:rPr>
                <w:rFonts w:hint="eastAsia"/>
                <w:sz w:val="24"/>
                <w:szCs w:val="20"/>
                <w:lang w:val="en-US" w:eastAsia="zh-CN"/>
              </w:rPr>
              <w:t>85</w:t>
            </w:r>
            <w:r>
              <w:rPr>
                <w:sz w:val="24"/>
                <w:szCs w:val="20"/>
              </w:rPr>
              <w:t>dB（A），采取隔声、减</w:t>
            </w:r>
            <w:r>
              <w:rPr>
                <w:rFonts w:hint="eastAsia"/>
                <w:sz w:val="24"/>
                <w:szCs w:val="20"/>
                <w:lang w:val="en-US" w:eastAsia="zh-CN"/>
              </w:rPr>
              <w:t>振</w:t>
            </w:r>
            <w:r>
              <w:rPr>
                <w:sz w:val="24"/>
                <w:szCs w:val="20"/>
              </w:rPr>
              <w:t>措施后，源强可削减至</w:t>
            </w:r>
            <w:r>
              <w:rPr>
                <w:rFonts w:hint="eastAsia"/>
                <w:sz w:val="24"/>
                <w:szCs w:val="20"/>
                <w:lang w:val="en-US" w:eastAsia="zh-CN"/>
              </w:rPr>
              <w:t>70</w:t>
            </w:r>
            <w:r>
              <w:rPr>
                <w:sz w:val="24"/>
                <w:szCs w:val="20"/>
              </w:rPr>
              <w:t>dB（A）。</w:t>
            </w:r>
          </w:p>
          <w:p w14:paraId="577A2BB6">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b/>
                <w:spacing w:val="10"/>
                <w:kern w:val="0"/>
                <w:sz w:val="24"/>
              </w:rPr>
            </w:pPr>
            <w:r>
              <w:rPr>
                <w:b/>
                <w:spacing w:val="10"/>
                <w:kern w:val="0"/>
                <w:sz w:val="24"/>
              </w:rPr>
              <w:t>表4-</w:t>
            </w:r>
            <w:r>
              <w:rPr>
                <w:rFonts w:hint="eastAsia"/>
                <w:b/>
                <w:spacing w:val="10"/>
                <w:kern w:val="0"/>
                <w:sz w:val="24"/>
                <w:lang w:val="en-US" w:eastAsia="zh-CN"/>
              </w:rPr>
              <w:t>8：</w:t>
            </w:r>
            <w:r>
              <w:rPr>
                <w:rFonts w:hint="eastAsia"/>
                <w:b/>
                <w:spacing w:val="10"/>
                <w:kern w:val="0"/>
                <w:sz w:val="24"/>
              </w:rPr>
              <w:t>项目噪声源强调查清单（室外源强）</w:t>
            </w:r>
          </w:p>
          <w:tbl>
            <w:tblPr>
              <w:tblStyle w:val="41"/>
              <w:tblW w:w="8511"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74"/>
              <w:gridCol w:w="1165"/>
              <w:gridCol w:w="290"/>
              <w:gridCol w:w="480"/>
              <w:gridCol w:w="562"/>
              <w:gridCol w:w="775"/>
              <w:gridCol w:w="744"/>
              <w:gridCol w:w="949"/>
              <w:gridCol w:w="2210"/>
              <w:gridCol w:w="1062"/>
            </w:tblGrid>
            <w:tr w14:paraId="6410F0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161" w:type="pct"/>
                  <w:vMerge w:val="restart"/>
                  <w:tcBorders>
                    <w:top w:val="single" w:color="auto" w:sz="4" w:space="0"/>
                    <w:left w:val="single" w:color="auto" w:sz="0" w:space="0"/>
                  </w:tcBorders>
                  <w:noWrap w:val="0"/>
                  <w:vAlign w:val="center"/>
                </w:tcPr>
                <w:p w14:paraId="3B2FFB1C">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序号</w:t>
                  </w:r>
                </w:p>
              </w:tc>
              <w:tc>
                <w:tcPr>
                  <w:tcW w:w="684" w:type="pct"/>
                  <w:vMerge w:val="restart"/>
                  <w:tcBorders>
                    <w:top w:val="single" w:color="auto" w:sz="4" w:space="0"/>
                  </w:tcBorders>
                  <w:noWrap w:val="0"/>
                  <w:vAlign w:val="center"/>
                </w:tcPr>
                <w:p w14:paraId="19517020">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声源名称</w:t>
                  </w:r>
                </w:p>
              </w:tc>
              <w:tc>
                <w:tcPr>
                  <w:tcW w:w="170" w:type="pct"/>
                  <w:vMerge w:val="restart"/>
                  <w:tcBorders>
                    <w:top w:val="single" w:color="auto" w:sz="4" w:space="0"/>
                  </w:tcBorders>
                  <w:noWrap w:val="0"/>
                  <w:vAlign w:val="center"/>
                </w:tcPr>
                <w:p w14:paraId="60F394E8">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单位</w:t>
                  </w:r>
                </w:p>
              </w:tc>
              <w:tc>
                <w:tcPr>
                  <w:tcW w:w="1067" w:type="pct"/>
                  <w:gridSpan w:val="3"/>
                  <w:tcBorders>
                    <w:top w:val="single" w:color="auto" w:sz="4" w:space="0"/>
                  </w:tcBorders>
                  <w:noWrap w:val="0"/>
                  <w:vAlign w:val="center"/>
                </w:tcPr>
                <w:p w14:paraId="210FB255">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位置</w:t>
                  </w:r>
                </w:p>
              </w:tc>
              <w:tc>
                <w:tcPr>
                  <w:tcW w:w="437" w:type="pct"/>
                  <w:vMerge w:val="restart"/>
                  <w:tcBorders>
                    <w:top w:val="single" w:color="auto" w:sz="4" w:space="0"/>
                  </w:tcBorders>
                  <w:noWrap w:val="0"/>
                  <w:vAlign w:val="center"/>
                </w:tcPr>
                <w:p w14:paraId="35EF882A">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数量</w:t>
                  </w:r>
                </w:p>
              </w:tc>
              <w:tc>
                <w:tcPr>
                  <w:tcW w:w="557" w:type="pct"/>
                  <w:vMerge w:val="restart"/>
                  <w:tcBorders>
                    <w:top w:val="single" w:color="auto" w:sz="4" w:space="0"/>
                  </w:tcBorders>
                  <w:noWrap w:val="0"/>
                  <w:vAlign w:val="center"/>
                </w:tcPr>
                <w:p w14:paraId="5B00AC63">
                  <w:pPr>
                    <w:adjustRightInd w:val="0"/>
                    <w:snapToGrid w:val="0"/>
                    <w:jc w:val="center"/>
                    <w:rPr>
                      <w:rFonts w:hint="eastAsia"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rPr>
                    <w:t>源强/dB</w:t>
                  </w:r>
                  <w:r>
                    <w:rPr>
                      <w:rFonts w:hint="eastAsia" w:cs="Times New Roman"/>
                      <w:bCs/>
                      <w:sz w:val="21"/>
                      <w:szCs w:val="21"/>
                      <w:highlight w:val="none"/>
                      <w:lang w:eastAsia="zh-CN"/>
                    </w:rPr>
                    <w:t>（</w:t>
                  </w:r>
                  <w:r>
                    <w:rPr>
                      <w:rFonts w:hint="default" w:ascii="Times New Roman" w:hAnsi="Times New Roman" w:eastAsia="宋体" w:cs="Times New Roman"/>
                      <w:bCs/>
                      <w:sz w:val="21"/>
                      <w:szCs w:val="21"/>
                      <w:highlight w:val="none"/>
                    </w:rPr>
                    <w:t>A</w:t>
                  </w:r>
                  <w:r>
                    <w:rPr>
                      <w:rFonts w:hint="eastAsia" w:cs="Times New Roman"/>
                      <w:bCs/>
                      <w:sz w:val="21"/>
                      <w:szCs w:val="21"/>
                      <w:highlight w:val="none"/>
                      <w:lang w:eastAsia="zh-CN"/>
                    </w:rPr>
                    <w:t>）</w:t>
                  </w:r>
                </w:p>
              </w:tc>
              <w:tc>
                <w:tcPr>
                  <w:tcW w:w="1297" w:type="pct"/>
                  <w:vMerge w:val="restart"/>
                  <w:tcBorders>
                    <w:top w:val="single" w:color="auto" w:sz="4" w:space="0"/>
                  </w:tcBorders>
                  <w:noWrap w:val="0"/>
                  <w:vAlign w:val="center"/>
                </w:tcPr>
                <w:p w14:paraId="375AB6D6">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声源控制措施</w:t>
                  </w:r>
                </w:p>
              </w:tc>
              <w:tc>
                <w:tcPr>
                  <w:tcW w:w="623" w:type="pct"/>
                  <w:vMerge w:val="restart"/>
                  <w:tcBorders>
                    <w:top w:val="single" w:color="auto" w:sz="4" w:space="0"/>
                    <w:right w:val="single" w:color="auto" w:sz="4" w:space="0"/>
                  </w:tcBorders>
                  <w:noWrap w:val="0"/>
                  <w:vAlign w:val="center"/>
                </w:tcPr>
                <w:p w14:paraId="52880F1C">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运行时段</w:t>
                  </w:r>
                </w:p>
              </w:tc>
            </w:tr>
            <w:tr w14:paraId="26CDF4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1" w:hRule="atLeast"/>
                <w:jc w:val="center"/>
              </w:trPr>
              <w:tc>
                <w:tcPr>
                  <w:tcW w:w="161" w:type="pct"/>
                  <w:vMerge w:val="continue"/>
                  <w:tcBorders>
                    <w:left w:val="single" w:color="auto" w:sz="4" w:space="0"/>
                  </w:tcBorders>
                  <w:noWrap w:val="0"/>
                  <w:vAlign w:val="center"/>
                </w:tcPr>
                <w:p w14:paraId="6B1FD9A0">
                  <w:pPr>
                    <w:adjustRightInd w:val="0"/>
                    <w:snapToGrid w:val="0"/>
                    <w:jc w:val="center"/>
                    <w:rPr>
                      <w:rFonts w:hint="default" w:ascii="Times New Roman" w:hAnsi="Times New Roman" w:eastAsia="宋体" w:cs="Times New Roman"/>
                      <w:sz w:val="21"/>
                      <w:szCs w:val="21"/>
                    </w:rPr>
                  </w:pPr>
                </w:p>
              </w:tc>
              <w:tc>
                <w:tcPr>
                  <w:tcW w:w="684" w:type="pct"/>
                  <w:vMerge w:val="continue"/>
                  <w:noWrap w:val="0"/>
                  <w:vAlign w:val="center"/>
                </w:tcPr>
                <w:p w14:paraId="62D97A7A">
                  <w:pPr>
                    <w:adjustRightInd w:val="0"/>
                    <w:snapToGrid w:val="0"/>
                    <w:jc w:val="center"/>
                    <w:rPr>
                      <w:rFonts w:hint="default" w:ascii="Times New Roman" w:hAnsi="Times New Roman" w:eastAsia="宋体" w:cs="Times New Roman"/>
                      <w:sz w:val="21"/>
                      <w:szCs w:val="21"/>
                    </w:rPr>
                  </w:pPr>
                </w:p>
              </w:tc>
              <w:tc>
                <w:tcPr>
                  <w:tcW w:w="170" w:type="pct"/>
                  <w:vMerge w:val="continue"/>
                  <w:noWrap w:val="0"/>
                  <w:vAlign w:val="center"/>
                </w:tcPr>
                <w:p w14:paraId="0F3C47BA">
                  <w:pPr>
                    <w:adjustRightInd w:val="0"/>
                    <w:snapToGrid w:val="0"/>
                    <w:jc w:val="center"/>
                    <w:rPr>
                      <w:rFonts w:hint="default" w:ascii="Times New Roman" w:hAnsi="Times New Roman" w:eastAsia="宋体" w:cs="Times New Roman"/>
                      <w:sz w:val="21"/>
                      <w:szCs w:val="21"/>
                    </w:rPr>
                  </w:pPr>
                </w:p>
              </w:tc>
              <w:tc>
                <w:tcPr>
                  <w:tcW w:w="282" w:type="pct"/>
                  <w:noWrap w:val="0"/>
                  <w:vAlign w:val="center"/>
                </w:tcPr>
                <w:p w14:paraId="7A73B635">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X</w:t>
                  </w:r>
                </w:p>
              </w:tc>
              <w:tc>
                <w:tcPr>
                  <w:tcW w:w="330" w:type="pct"/>
                  <w:noWrap w:val="0"/>
                  <w:vAlign w:val="center"/>
                </w:tcPr>
                <w:p w14:paraId="708B1BEB">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Y</w:t>
                  </w:r>
                </w:p>
              </w:tc>
              <w:tc>
                <w:tcPr>
                  <w:tcW w:w="454" w:type="pct"/>
                  <w:noWrap w:val="0"/>
                  <w:vAlign w:val="center"/>
                </w:tcPr>
                <w:p w14:paraId="76282F84">
                  <w:pPr>
                    <w:adjustRightInd w:val="0"/>
                    <w:snapToGrid w:val="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Z</w:t>
                  </w:r>
                </w:p>
              </w:tc>
              <w:tc>
                <w:tcPr>
                  <w:tcW w:w="437" w:type="pct"/>
                  <w:vMerge w:val="continue"/>
                  <w:noWrap w:val="0"/>
                  <w:vAlign w:val="center"/>
                </w:tcPr>
                <w:p w14:paraId="4102A217">
                  <w:pPr>
                    <w:adjustRightInd w:val="0"/>
                    <w:snapToGrid w:val="0"/>
                    <w:jc w:val="center"/>
                    <w:rPr>
                      <w:rFonts w:hint="default" w:ascii="Times New Roman" w:hAnsi="Times New Roman" w:eastAsia="宋体" w:cs="Times New Roman"/>
                      <w:sz w:val="21"/>
                      <w:szCs w:val="21"/>
                    </w:rPr>
                  </w:pPr>
                </w:p>
              </w:tc>
              <w:tc>
                <w:tcPr>
                  <w:tcW w:w="557" w:type="pct"/>
                  <w:vMerge w:val="continue"/>
                  <w:noWrap w:val="0"/>
                  <w:vAlign w:val="center"/>
                </w:tcPr>
                <w:p w14:paraId="3C252FDF">
                  <w:pPr>
                    <w:adjustRightInd w:val="0"/>
                    <w:snapToGrid w:val="0"/>
                    <w:jc w:val="center"/>
                    <w:rPr>
                      <w:rFonts w:hint="default" w:ascii="Times New Roman" w:hAnsi="Times New Roman" w:eastAsia="宋体" w:cs="Times New Roman"/>
                      <w:sz w:val="21"/>
                      <w:szCs w:val="21"/>
                    </w:rPr>
                  </w:pPr>
                </w:p>
              </w:tc>
              <w:tc>
                <w:tcPr>
                  <w:tcW w:w="1297" w:type="pct"/>
                  <w:vMerge w:val="continue"/>
                  <w:noWrap w:val="0"/>
                  <w:vAlign w:val="center"/>
                </w:tcPr>
                <w:p w14:paraId="747215B1">
                  <w:pPr>
                    <w:adjustRightInd w:val="0"/>
                    <w:snapToGrid w:val="0"/>
                    <w:jc w:val="center"/>
                    <w:rPr>
                      <w:rFonts w:hint="default" w:ascii="Times New Roman" w:hAnsi="Times New Roman" w:eastAsia="宋体" w:cs="Times New Roman"/>
                      <w:sz w:val="21"/>
                      <w:szCs w:val="21"/>
                    </w:rPr>
                  </w:pPr>
                </w:p>
              </w:tc>
              <w:tc>
                <w:tcPr>
                  <w:tcW w:w="623" w:type="pct"/>
                  <w:vMerge w:val="continue"/>
                  <w:tcBorders>
                    <w:right w:val="single" w:color="auto" w:sz="4" w:space="0"/>
                  </w:tcBorders>
                  <w:noWrap w:val="0"/>
                  <w:vAlign w:val="center"/>
                </w:tcPr>
                <w:p w14:paraId="7C4D82DF">
                  <w:pPr>
                    <w:adjustRightInd w:val="0"/>
                    <w:snapToGrid w:val="0"/>
                    <w:jc w:val="center"/>
                    <w:rPr>
                      <w:rFonts w:hint="default" w:ascii="Times New Roman" w:hAnsi="Times New Roman" w:eastAsia="宋体" w:cs="Times New Roman"/>
                      <w:sz w:val="21"/>
                      <w:szCs w:val="21"/>
                    </w:rPr>
                  </w:pPr>
                </w:p>
              </w:tc>
            </w:tr>
            <w:tr w14:paraId="1E534B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161" w:type="pct"/>
                  <w:tcBorders>
                    <w:left w:val="single" w:color="auto" w:sz="4" w:space="0"/>
                  </w:tcBorders>
                  <w:noWrap w:val="0"/>
                  <w:vAlign w:val="center"/>
                </w:tcPr>
                <w:p w14:paraId="6A8B516C">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rPr>
                    <w:t>1</w:t>
                  </w:r>
                </w:p>
              </w:tc>
              <w:tc>
                <w:tcPr>
                  <w:tcW w:w="684" w:type="pct"/>
                  <w:noWrap w:val="0"/>
                  <w:vAlign w:val="center"/>
                </w:tcPr>
                <w:p w14:paraId="65C8BA2A">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脱重塔</w:t>
                  </w:r>
                </w:p>
              </w:tc>
              <w:tc>
                <w:tcPr>
                  <w:tcW w:w="170" w:type="pct"/>
                  <w:noWrap w:val="0"/>
                  <w:vAlign w:val="center"/>
                </w:tcPr>
                <w:p w14:paraId="579BEF01">
                  <w:pPr>
                    <w:spacing w:line="240" w:lineRule="exact"/>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282" w:type="pct"/>
                  <w:noWrap w:val="0"/>
                  <w:vAlign w:val="center"/>
                </w:tcPr>
                <w:p w14:paraId="0B43B130">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458</w:t>
                  </w:r>
                </w:p>
              </w:tc>
              <w:tc>
                <w:tcPr>
                  <w:tcW w:w="330" w:type="pct"/>
                  <w:noWrap w:val="0"/>
                  <w:vAlign w:val="center"/>
                </w:tcPr>
                <w:p w14:paraId="6AF23396">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559</w:t>
                  </w:r>
                </w:p>
              </w:tc>
              <w:tc>
                <w:tcPr>
                  <w:tcW w:w="454" w:type="pct"/>
                  <w:noWrap w:val="0"/>
                  <w:vAlign w:val="center"/>
                </w:tcPr>
                <w:p w14:paraId="1F511CCF">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rPr>
                    <w:t>139</w:t>
                  </w:r>
                  <w:r>
                    <w:rPr>
                      <w:rFonts w:hint="default" w:ascii="Times New Roman" w:hAnsi="Times New Roman" w:eastAsia="宋体" w:cs="Times New Roman"/>
                      <w:bCs/>
                      <w:sz w:val="21"/>
                      <w:szCs w:val="21"/>
                      <w:highlight w:val="none"/>
                      <w:lang w:val="en-US" w:eastAsia="zh-CN"/>
                    </w:rPr>
                    <w:t>4.82</w:t>
                  </w:r>
                </w:p>
              </w:tc>
              <w:tc>
                <w:tcPr>
                  <w:tcW w:w="437" w:type="pct"/>
                  <w:noWrap w:val="0"/>
                  <w:vAlign w:val="center"/>
                </w:tcPr>
                <w:p w14:paraId="0D3B50B7">
                  <w:pPr>
                    <w:spacing w:line="240" w:lineRule="exact"/>
                    <w:jc w:val="center"/>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557" w:type="pct"/>
                  <w:noWrap w:val="0"/>
                  <w:vAlign w:val="center"/>
                </w:tcPr>
                <w:p w14:paraId="475286AD">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80</w:t>
                  </w:r>
                </w:p>
              </w:tc>
              <w:tc>
                <w:tcPr>
                  <w:tcW w:w="1297" w:type="pct"/>
                  <w:vMerge w:val="restart"/>
                  <w:noWrap w:val="0"/>
                  <w:vAlign w:val="center"/>
                </w:tcPr>
                <w:p w14:paraId="0AB0D1D7">
                  <w:pPr>
                    <w:adjustRightInd w:val="0"/>
                    <w:snapToGrid w:val="0"/>
                    <w:jc w:val="center"/>
                    <w:rPr>
                      <w:rFonts w:hint="eastAsia"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rPr>
                    <w:t>选用</w:t>
                  </w:r>
                  <w:r>
                    <w:rPr>
                      <w:rFonts w:hint="default" w:ascii="Times New Roman" w:hAnsi="Times New Roman" w:eastAsia="宋体" w:cs="Times New Roman"/>
                      <w:bCs/>
                      <w:sz w:val="21"/>
                      <w:szCs w:val="21"/>
                      <w:highlight w:val="none"/>
                      <w:lang w:val="en-US" w:eastAsia="zh-CN"/>
                    </w:rPr>
                    <w:t>购买</w:t>
                  </w:r>
                  <w:r>
                    <w:rPr>
                      <w:rFonts w:hint="default" w:ascii="Times New Roman" w:hAnsi="Times New Roman" w:eastAsia="宋体" w:cs="Times New Roman"/>
                      <w:bCs/>
                      <w:sz w:val="21"/>
                      <w:szCs w:val="21"/>
                      <w:highlight w:val="none"/>
                    </w:rPr>
                    <w:t>低噪声</w:t>
                  </w:r>
                  <w:r>
                    <w:rPr>
                      <w:rFonts w:hint="default" w:ascii="Times New Roman" w:hAnsi="Times New Roman" w:eastAsia="宋体" w:cs="Times New Roman"/>
                      <w:bCs/>
                      <w:sz w:val="21"/>
                      <w:szCs w:val="21"/>
                      <w:highlight w:val="none"/>
                      <w:lang w:val="en-US" w:eastAsia="zh-CN"/>
                    </w:rPr>
                    <w:t>设备</w:t>
                  </w:r>
                  <w:r>
                    <w:rPr>
                      <w:rFonts w:hint="default" w:ascii="Times New Roman" w:hAnsi="Times New Roman" w:eastAsia="宋体" w:cs="Times New Roman"/>
                      <w:bCs/>
                      <w:sz w:val="21"/>
                      <w:szCs w:val="21"/>
                      <w:highlight w:val="none"/>
                    </w:rPr>
                    <w:t>，增加隔声罩等减振、隔声措施，同时提高机械装配精度，减少机械振动和摩擦产生的噪声</w:t>
                  </w:r>
                  <w:r>
                    <w:rPr>
                      <w:rFonts w:hint="eastAsia" w:cs="Times New Roman"/>
                      <w:bCs/>
                      <w:sz w:val="21"/>
                      <w:szCs w:val="21"/>
                      <w:highlight w:val="none"/>
                      <w:lang w:eastAsia="zh-CN"/>
                    </w:rPr>
                    <w:t>。</w:t>
                  </w:r>
                </w:p>
              </w:tc>
              <w:tc>
                <w:tcPr>
                  <w:tcW w:w="623" w:type="pct"/>
                  <w:vMerge w:val="restart"/>
                  <w:tcBorders>
                    <w:right w:val="single" w:color="auto" w:sz="4" w:space="0"/>
                  </w:tcBorders>
                  <w:noWrap w:val="0"/>
                  <w:vAlign w:val="center"/>
                </w:tcPr>
                <w:p w14:paraId="09DACAB6">
                  <w:pPr>
                    <w:adjustRightInd w:val="0"/>
                    <w:snapToGrid w:val="0"/>
                    <w:jc w:val="center"/>
                    <w:rPr>
                      <w:rFonts w:hint="eastAsia" w:ascii="Times New Roman" w:hAnsi="Times New Roman" w:eastAsia="宋体" w:cs="Times New Roman"/>
                      <w:bCs/>
                      <w:sz w:val="21"/>
                      <w:szCs w:val="21"/>
                      <w:highlight w:val="none"/>
                      <w:lang w:eastAsia="zh-CN"/>
                    </w:rPr>
                  </w:pPr>
                  <w:r>
                    <w:rPr>
                      <w:rFonts w:hint="default" w:ascii="Times New Roman" w:hAnsi="Times New Roman" w:eastAsia="宋体" w:cs="Times New Roman"/>
                      <w:bCs/>
                      <w:sz w:val="21"/>
                      <w:szCs w:val="21"/>
                      <w:highlight w:val="none"/>
                    </w:rPr>
                    <w:t>昼间、夜间连续运行</w:t>
                  </w:r>
                  <w:r>
                    <w:rPr>
                      <w:rFonts w:hint="eastAsia" w:cs="Times New Roman"/>
                      <w:bCs/>
                      <w:sz w:val="21"/>
                      <w:szCs w:val="21"/>
                      <w:highlight w:val="none"/>
                      <w:lang w:eastAsia="zh-CN"/>
                    </w:rPr>
                    <w:t>。</w:t>
                  </w:r>
                </w:p>
              </w:tc>
            </w:tr>
            <w:tr w14:paraId="70847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32031C9D">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lang w:val="en-US" w:eastAsia="zh-CN"/>
                    </w:rPr>
                    <w:t>2</w:t>
                  </w:r>
                </w:p>
              </w:tc>
              <w:tc>
                <w:tcPr>
                  <w:tcW w:w="684" w:type="pct"/>
                  <w:noWrap w:val="0"/>
                  <w:vAlign w:val="center"/>
                </w:tcPr>
                <w:p w14:paraId="449FB2E7">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C5精馏塔</w:t>
                  </w:r>
                </w:p>
              </w:tc>
              <w:tc>
                <w:tcPr>
                  <w:tcW w:w="170" w:type="pct"/>
                  <w:noWrap w:val="0"/>
                  <w:vAlign w:val="center"/>
                </w:tcPr>
                <w:p w14:paraId="1DDDFF23">
                  <w:pPr>
                    <w:spacing w:line="240" w:lineRule="exact"/>
                    <w:jc w:val="center"/>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w:t>
                  </w:r>
                </w:p>
              </w:tc>
              <w:tc>
                <w:tcPr>
                  <w:tcW w:w="282" w:type="pct"/>
                  <w:noWrap w:val="0"/>
                  <w:vAlign w:val="center"/>
                </w:tcPr>
                <w:p w14:paraId="090884D9">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431</w:t>
                  </w:r>
                </w:p>
              </w:tc>
              <w:tc>
                <w:tcPr>
                  <w:tcW w:w="330" w:type="pct"/>
                  <w:noWrap w:val="0"/>
                  <w:vAlign w:val="center"/>
                </w:tcPr>
                <w:p w14:paraId="616C53A0">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567</w:t>
                  </w:r>
                </w:p>
              </w:tc>
              <w:tc>
                <w:tcPr>
                  <w:tcW w:w="454" w:type="pct"/>
                  <w:noWrap w:val="0"/>
                  <w:vAlign w:val="center"/>
                </w:tcPr>
                <w:p w14:paraId="72EB26D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1394.7</w:t>
                  </w:r>
                </w:p>
              </w:tc>
              <w:tc>
                <w:tcPr>
                  <w:tcW w:w="437" w:type="pct"/>
                  <w:noWrap w:val="0"/>
                  <w:vAlign w:val="center"/>
                </w:tcPr>
                <w:p w14:paraId="14398A05">
                  <w:pPr>
                    <w:spacing w:line="240" w:lineRule="exact"/>
                    <w:jc w:val="center"/>
                    <w:rPr>
                      <w:rFonts w:hint="eastAsia" w:ascii="Times New Roman" w:hAnsi="Times New Roman" w:eastAsia="宋体" w:cs="Times New Roman"/>
                      <w:sz w:val="21"/>
                      <w:szCs w:val="21"/>
                      <w:highlight w:val="none"/>
                      <w:lang w:val="en-US" w:eastAsia="zh-CN"/>
                    </w:rPr>
                  </w:pPr>
                  <w:r>
                    <w:rPr>
                      <w:rFonts w:hint="eastAsia"/>
                      <w:lang w:val="en-US" w:eastAsia="zh-CN"/>
                    </w:rPr>
                    <w:t>1</w:t>
                  </w:r>
                </w:p>
              </w:tc>
              <w:tc>
                <w:tcPr>
                  <w:tcW w:w="557" w:type="pct"/>
                  <w:noWrap w:val="0"/>
                  <w:vAlign w:val="center"/>
                </w:tcPr>
                <w:p w14:paraId="5334AEE5">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80</w:t>
                  </w:r>
                </w:p>
              </w:tc>
              <w:tc>
                <w:tcPr>
                  <w:tcW w:w="1297" w:type="pct"/>
                  <w:vMerge w:val="continue"/>
                  <w:noWrap w:val="0"/>
                  <w:vAlign w:val="center"/>
                </w:tcPr>
                <w:p w14:paraId="41AF4E7D">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7CEE722A">
                  <w:pPr>
                    <w:adjustRightInd w:val="0"/>
                    <w:snapToGrid w:val="0"/>
                    <w:jc w:val="center"/>
                    <w:rPr>
                      <w:rFonts w:hint="default" w:ascii="Times New Roman" w:hAnsi="Times New Roman" w:eastAsia="宋体" w:cs="Times New Roman"/>
                      <w:bCs/>
                      <w:sz w:val="21"/>
                      <w:szCs w:val="21"/>
                      <w:highlight w:val="none"/>
                    </w:rPr>
                  </w:pPr>
                </w:p>
              </w:tc>
            </w:tr>
            <w:tr w14:paraId="363A13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07758B35">
                  <w:pPr>
                    <w:adjustRightInd w:val="0"/>
                    <w:snapToGrid w:val="0"/>
                    <w:jc w:val="center"/>
                    <w:rPr>
                      <w:rFonts w:hint="default" w:ascii="Times New Roman" w:hAnsi="Times New Roman" w:eastAsia="宋体" w:cs="Times New Roman"/>
                      <w:bCs/>
                      <w:sz w:val="21"/>
                      <w:szCs w:val="21"/>
                      <w:highlight w:val="none"/>
                    </w:rPr>
                  </w:pPr>
                  <w:r>
                    <w:rPr>
                      <w:rFonts w:hint="default" w:ascii="Times New Roman" w:hAnsi="Times New Roman" w:eastAsia="宋体" w:cs="Times New Roman"/>
                      <w:bCs/>
                      <w:sz w:val="21"/>
                      <w:szCs w:val="21"/>
                      <w:highlight w:val="none"/>
                      <w:lang w:val="en-US" w:eastAsia="zh-CN"/>
                    </w:rPr>
                    <w:t>3</w:t>
                  </w:r>
                </w:p>
              </w:tc>
              <w:tc>
                <w:tcPr>
                  <w:tcW w:w="684" w:type="pct"/>
                  <w:noWrap w:val="0"/>
                  <w:vAlign w:val="center"/>
                </w:tcPr>
                <w:p w14:paraId="414A28C6">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脱重塔顶回流泵</w:t>
                  </w:r>
                </w:p>
              </w:tc>
              <w:tc>
                <w:tcPr>
                  <w:tcW w:w="170" w:type="pct"/>
                  <w:noWrap w:val="0"/>
                  <w:vAlign w:val="center"/>
                </w:tcPr>
                <w:p w14:paraId="07EB34D1">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28EA3DFE">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330" w:type="pct"/>
                  <w:noWrap w:val="0"/>
                  <w:vAlign w:val="center"/>
                </w:tcPr>
                <w:p w14:paraId="6C789C4D">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559</w:t>
                  </w:r>
                </w:p>
              </w:tc>
              <w:tc>
                <w:tcPr>
                  <w:tcW w:w="454" w:type="pct"/>
                  <w:noWrap w:val="0"/>
                  <w:vAlign w:val="center"/>
                </w:tcPr>
                <w:p w14:paraId="0A0467AE">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1394.3</w:t>
                  </w:r>
                </w:p>
              </w:tc>
              <w:tc>
                <w:tcPr>
                  <w:tcW w:w="437" w:type="pct"/>
                  <w:noWrap w:val="0"/>
                  <w:vAlign w:val="center"/>
                </w:tcPr>
                <w:p w14:paraId="055076C3">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2</w:t>
                  </w:r>
                </w:p>
              </w:tc>
              <w:tc>
                <w:tcPr>
                  <w:tcW w:w="557" w:type="pct"/>
                  <w:noWrap w:val="0"/>
                  <w:vAlign w:val="center"/>
                </w:tcPr>
                <w:p w14:paraId="78B9DCD8">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1736EE32">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2547C7EF">
                  <w:pPr>
                    <w:adjustRightInd w:val="0"/>
                    <w:snapToGrid w:val="0"/>
                    <w:jc w:val="center"/>
                    <w:rPr>
                      <w:rFonts w:hint="default" w:ascii="Times New Roman" w:hAnsi="Times New Roman" w:eastAsia="宋体" w:cs="Times New Roman"/>
                      <w:bCs/>
                      <w:sz w:val="21"/>
                      <w:szCs w:val="21"/>
                      <w:highlight w:val="none"/>
                    </w:rPr>
                  </w:pPr>
                </w:p>
              </w:tc>
            </w:tr>
            <w:tr w14:paraId="3C6D7D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1DB8B8DB">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4</w:t>
                  </w:r>
                </w:p>
              </w:tc>
              <w:tc>
                <w:tcPr>
                  <w:tcW w:w="684" w:type="pct"/>
                  <w:noWrap w:val="0"/>
                  <w:vAlign w:val="center"/>
                </w:tcPr>
                <w:p w14:paraId="63C01D2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乙二醇出料泵</w:t>
                  </w:r>
                </w:p>
              </w:tc>
              <w:tc>
                <w:tcPr>
                  <w:tcW w:w="170" w:type="pct"/>
                  <w:noWrap w:val="0"/>
                  <w:vAlign w:val="center"/>
                </w:tcPr>
                <w:p w14:paraId="75002FE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56630657">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330" w:type="pct"/>
                  <w:noWrap w:val="0"/>
                  <w:vAlign w:val="center"/>
                </w:tcPr>
                <w:p w14:paraId="73FC9002">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566</w:t>
                  </w:r>
                </w:p>
              </w:tc>
              <w:tc>
                <w:tcPr>
                  <w:tcW w:w="454" w:type="pct"/>
                  <w:noWrap w:val="0"/>
                  <w:vAlign w:val="center"/>
                </w:tcPr>
                <w:p w14:paraId="19086CD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1394.59</w:t>
                  </w:r>
                </w:p>
              </w:tc>
              <w:tc>
                <w:tcPr>
                  <w:tcW w:w="437" w:type="pct"/>
                  <w:noWrap w:val="0"/>
                  <w:vAlign w:val="center"/>
                </w:tcPr>
                <w:p w14:paraId="29D35D13">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2</w:t>
                  </w:r>
                </w:p>
              </w:tc>
              <w:tc>
                <w:tcPr>
                  <w:tcW w:w="557" w:type="pct"/>
                  <w:noWrap w:val="0"/>
                  <w:vAlign w:val="center"/>
                </w:tcPr>
                <w:p w14:paraId="6DA047D1">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066542A8">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27D8447E">
                  <w:pPr>
                    <w:adjustRightInd w:val="0"/>
                    <w:snapToGrid w:val="0"/>
                    <w:jc w:val="center"/>
                    <w:rPr>
                      <w:rFonts w:hint="default" w:ascii="Times New Roman" w:hAnsi="Times New Roman" w:eastAsia="宋体" w:cs="Times New Roman"/>
                      <w:bCs/>
                      <w:sz w:val="21"/>
                      <w:szCs w:val="21"/>
                      <w:highlight w:val="none"/>
                    </w:rPr>
                  </w:pPr>
                </w:p>
              </w:tc>
            </w:tr>
            <w:tr w14:paraId="67C95B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19830454">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5</w:t>
                  </w:r>
                </w:p>
              </w:tc>
              <w:tc>
                <w:tcPr>
                  <w:tcW w:w="684" w:type="pct"/>
                  <w:noWrap w:val="0"/>
                  <w:vAlign w:val="center"/>
                </w:tcPr>
                <w:p w14:paraId="37D6A77A">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碱洗水泵</w:t>
                  </w:r>
                </w:p>
              </w:tc>
              <w:tc>
                <w:tcPr>
                  <w:tcW w:w="170" w:type="pct"/>
                  <w:noWrap w:val="0"/>
                  <w:vAlign w:val="center"/>
                </w:tcPr>
                <w:p w14:paraId="7AB5FDD6">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53F5A7C1">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330" w:type="pct"/>
                  <w:noWrap w:val="0"/>
                  <w:vAlign w:val="center"/>
                </w:tcPr>
                <w:p w14:paraId="15B4C212">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566</w:t>
                  </w:r>
                </w:p>
              </w:tc>
              <w:tc>
                <w:tcPr>
                  <w:tcW w:w="454" w:type="pct"/>
                  <w:noWrap w:val="0"/>
                  <w:vAlign w:val="center"/>
                </w:tcPr>
                <w:p w14:paraId="55031B05">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1394.59</w:t>
                  </w:r>
                </w:p>
              </w:tc>
              <w:tc>
                <w:tcPr>
                  <w:tcW w:w="437" w:type="pct"/>
                  <w:noWrap w:val="0"/>
                  <w:vAlign w:val="center"/>
                </w:tcPr>
                <w:p w14:paraId="3CBD1363">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4E48370A">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0391DB28">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56C804CA">
                  <w:pPr>
                    <w:adjustRightInd w:val="0"/>
                    <w:snapToGrid w:val="0"/>
                    <w:jc w:val="center"/>
                    <w:rPr>
                      <w:rFonts w:hint="default" w:ascii="Times New Roman" w:hAnsi="Times New Roman" w:eastAsia="宋体" w:cs="Times New Roman"/>
                      <w:bCs/>
                      <w:sz w:val="21"/>
                      <w:szCs w:val="21"/>
                      <w:highlight w:val="none"/>
                    </w:rPr>
                  </w:pPr>
                </w:p>
              </w:tc>
            </w:tr>
            <w:tr w14:paraId="3C9088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54E8C76A">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6</w:t>
                  </w:r>
                </w:p>
              </w:tc>
              <w:tc>
                <w:tcPr>
                  <w:tcW w:w="684" w:type="pct"/>
                  <w:noWrap w:val="0"/>
                  <w:vAlign w:val="center"/>
                </w:tcPr>
                <w:p w14:paraId="1C878B8D">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碱洗泵</w:t>
                  </w:r>
                </w:p>
              </w:tc>
              <w:tc>
                <w:tcPr>
                  <w:tcW w:w="170" w:type="pct"/>
                  <w:noWrap w:val="0"/>
                  <w:vAlign w:val="center"/>
                </w:tcPr>
                <w:p w14:paraId="100D816C">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3412D40C">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330" w:type="pct"/>
                  <w:noWrap w:val="0"/>
                  <w:vAlign w:val="center"/>
                </w:tcPr>
                <w:p w14:paraId="2E83B1CF">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543</w:t>
                  </w:r>
                </w:p>
              </w:tc>
              <w:tc>
                <w:tcPr>
                  <w:tcW w:w="454" w:type="pct"/>
                  <w:noWrap w:val="0"/>
                  <w:vAlign w:val="center"/>
                </w:tcPr>
                <w:p w14:paraId="291FF37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1393.68</w:t>
                  </w:r>
                </w:p>
              </w:tc>
              <w:tc>
                <w:tcPr>
                  <w:tcW w:w="437" w:type="pct"/>
                  <w:noWrap w:val="0"/>
                  <w:vAlign w:val="center"/>
                </w:tcPr>
                <w:p w14:paraId="322CF69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2E42E35B">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4F2937CE">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41AA5824">
                  <w:pPr>
                    <w:adjustRightInd w:val="0"/>
                    <w:snapToGrid w:val="0"/>
                    <w:jc w:val="center"/>
                    <w:rPr>
                      <w:rFonts w:hint="default" w:ascii="Times New Roman" w:hAnsi="Times New Roman" w:eastAsia="宋体" w:cs="Times New Roman"/>
                      <w:bCs/>
                      <w:sz w:val="21"/>
                      <w:szCs w:val="21"/>
                      <w:highlight w:val="none"/>
                    </w:rPr>
                  </w:pPr>
                </w:p>
              </w:tc>
            </w:tr>
            <w:tr w14:paraId="56784C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21F1E2D9">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7</w:t>
                  </w:r>
                </w:p>
              </w:tc>
              <w:tc>
                <w:tcPr>
                  <w:tcW w:w="684" w:type="pct"/>
                  <w:noWrap w:val="0"/>
                  <w:vAlign w:val="center"/>
                </w:tcPr>
                <w:p w14:paraId="1871330B">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水洗水泵</w:t>
                  </w:r>
                </w:p>
              </w:tc>
              <w:tc>
                <w:tcPr>
                  <w:tcW w:w="170" w:type="pct"/>
                  <w:noWrap w:val="0"/>
                  <w:vAlign w:val="center"/>
                </w:tcPr>
                <w:p w14:paraId="399D6D85">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66D6D742">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330" w:type="pct"/>
                  <w:noWrap w:val="0"/>
                  <w:vAlign w:val="center"/>
                </w:tcPr>
                <w:p w14:paraId="6CDA68BA">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537</w:t>
                  </w:r>
                </w:p>
              </w:tc>
              <w:tc>
                <w:tcPr>
                  <w:tcW w:w="454" w:type="pct"/>
                  <w:noWrap w:val="0"/>
                  <w:vAlign w:val="center"/>
                </w:tcPr>
                <w:p w14:paraId="297B0298">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1393.52</w:t>
                  </w:r>
                </w:p>
              </w:tc>
              <w:tc>
                <w:tcPr>
                  <w:tcW w:w="437" w:type="pct"/>
                  <w:noWrap w:val="0"/>
                  <w:vAlign w:val="center"/>
                </w:tcPr>
                <w:p w14:paraId="1699384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76158B58">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5B16DC98">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0CAF6293">
                  <w:pPr>
                    <w:adjustRightInd w:val="0"/>
                    <w:snapToGrid w:val="0"/>
                    <w:jc w:val="center"/>
                    <w:rPr>
                      <w:rFonts w:hint="default" w:ascii="Times New Roman" w:hAnsi="Times New Roman" w:eastAsia="宋体" w:cs="Times New Roman"/>
                      <w:bCs/>
                      <w:sz w:val="21"/>
                      <w:szCs w:val="21"/>
                      <w:highlight w:val="none"/>
                    </w:rPr>
                  </w:pPr>
                </w:p>
              </w:tc>
            </w:tr>
            <w:tr w14:paraId="7BECC8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69060603">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w:t>
                  </w:r>
                </w:p>
              </w:tc>
              <w:tc>
                <w:tcPr>
                  <w:tcW w:w="684" w:type="pct"/>
                  <w:noWrap w:val="0"/>
                  <w:vAlign w:val="center"/>
                </w:tcPr>
                <w:p w14:paraId="32245EBB">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水洗泵</w:t>
                  </w:r>
                </w:p>
              </w:tc>
              <w:tc>
                <w:tcPr>
                  <w:tcW w:w="170" w:type="pct"/>
                  <w:noWrap w:val="0"/>
                  <w:vAlign w:val="center"/>
                </w:tcPr>
                <w:p w14:paraId="3AEC66B8">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1A6ACFE3">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432</w:t>
                  </w:r>
                </w:p>
              </w:tc>
              <w:tc>
                <w:tcPr>
                  <w:tcW w:w="330" w:type="pct"/>
                  <w:noWrap w:val="0"/>
                  <w:vAlign w:val="center"/>
                </w:tcPr>
                <w:p w14:paraId="1505D541">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535</w:t>
                  </w:r>
                </w:p>
              </w:tc>
              <w:tc>
                <w:tcPr>
                  <w:tcW w:w="454" w:type="pct"/>
                  <w:noWrap w:val="0"/>
                  <w:vAlign w:val="center"/>
                </w:tcPr>
                <w:p w14:paraId="2A30E810">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1393.46</w:t>
                  </w:r>
                </w:p>
              </w:tc>
              <w:tc>
                <w:tcPr>
                  <w:tcW w:w="437" w:type="pct"/>
                  <w:noWrap w:val="0"/>
                  <w:vAlign w:val="center"/>
                </w:tcPr>
                <w:p w14:paraId="5B577A7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1C8EE8C6">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3CF54598">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460197D6">
                  <w:pPr>
                    <w:adjustRightInd w:val="0"/>
                    <w:snapToGrid w:val="0"/>
                    <w:jc w:val="center"/>
                    <w:rPr>
                      <w:rFonts w:hint="default" w:ascii="Times New Roman" w:hAnsi="Times New Roman" w:eastAsia="宋体" w:cs="Times New Roman"/>
                      <w:bCs/>
                      <w:sz w:val="21"/>
                      <w:szCs w:val="21"/>
                      <w:highlight w:val="none"/>
                    </w:rPr>
                  </w:pPr>
                </w:p>
              </w:tc>
            </w:tr>
            <w:tr w14:paraId="713F4E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53122764">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9</w:t>
                  </w:r>
                </w:p>
              </w:tc>
              <w:tc>
                <w:tcPr>
                  <w:tcW w:w="684" w:type="pct"/>
                  <w:noWrap w:val="0"/>
                  <w:vAlign w:val="center"/>
                </w:tcPr>
                <w:p w14:paraId="03401DC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脱重塔底泵</w:t>
                  </w:r>
                </w:p>
              </w:tc>
              <w:tc>
                <w:tcPr>
                  <w:tcW w:w="170" w:type="pct"/>
                  <w:noWrap w:val="0"/>
                  <w:vAlign w:val="center"/>
                </w:tcPr>
                <w:p w14:paraId="26C31109">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43160B78">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330" w:type="pct"/>
                  <w:noWrap w:val="0"/>
                  <w:vAlign w:val="center"/>
                </w:tcPr>
                <w:p w14:paraId="47AD217F">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527</w:t>
                  </w:r>
                </w:p>
              </w:tc>
              <w:tc>
                <w:tcPr>
                  <w:tcW w:w="454" w:type="pct"/>
                  <w:noWrap w:val="0"/>
                  <w:vAlign w:val="center"/>
                </w:tcPr>
                <w:p w14:paraId="0C1ACAA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1393.29</w:t>
                  </w:r>
                </w:p>
              </w:tc>
              <w:tc>
                <w:tcPr>
                  <w:tcW w:w="437" w:type="pct"/>
                  <w:noWrap w:val="0"/>
                  <w:vAlign w:val="center"/>
                </w:tcPr>
                <w:p w14:paraId="6DF352BE">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050EEFCB">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711C39AC">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4E139FF4">
                  <w:pPr>
                    <w:adjustRightInd w:val="0"/>
                    <w:snapToGrid w:val="0"/>
                    <w:jc w:val="center"/>
                    <w:rPr>
                      <w:rFonts w:hint="default" w:ascii="Times New Roman" w:hAnsi="Times New Roman" w:eastAsia="宋体" w:cs="Times New Roman"/>
                      <w:bCs/>
                      <w:sz w:val="21"/>
                      <w:szCs w:val="21"/>
                      <w:highlight w:val="none"/>
                    </w:rPr>
                  </w:pPr>
                </w:p>
              </w:tc>
            </w:tr>
            <w:tr w14:paraId="7067DA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23CE0EF5">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10</w:t>
                  </w:r>
                </w:p>
              </w:tc>
              <w:tc>
                <w:tcPr>
                  <w:tcW w:w="684" w:type="pct"/>
                  <w:noWrap w:val="0"/>
                  <w:vAlign w:val="center"/>
                </w:tcPr>
                <w:p w14:paraId="7F058728">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C5烷烯烃产品泵</w:t>
                  </w:r>
                </w:p>
              </w:tc>
              <w:tc>
                <w:tcPr>
                  <w:tcW w:w="170" w:type="pct"/>
                  <w:noWrap w:val="0"/>
                  <w:vAlign w:val="center"/>
                </w:tcPr>
                <w:p w14:paraId="4D50F996">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744BCD7D">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423</w:t>
                  </w:r>
                </w:p>
              </w:tc>
              <w:tc>
                <w:tcPr>
                  <w:tcW w:w="330" w:type="pct"/>
                  <w:noWrap w:val="0"/>
                  <w:vAlign w:val="center"/>
                </w:tcPr>
                <w:p w14:paraId="50912702">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528</w:t>
                  </w:r>
                </w:p>
              </w:tc>
              <w:tc>
                <w:tcPr>
                  <w:tcW w:w="454" w:type="pct"/>
                  <w:noWrap w:val="0"/>
                  <w:vAlign w:val="center"/>
                </w:tcPr>
                <w:p w14:paraId="091D1DC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1393.3</w:t>
                  </w:r>
                </w:p>
              </w:tc>
              <w:tc>
                <w:tcPr>
                  <w:tcW w:w="437" w:type="pct"/>
                  <w:noWrap w:val="0"/>
                  <w:vAlign w:val="center"/>
                </w:tcPr>
                <w:p w14:paraId="2B7981A1">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5D10DF11">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0651E612">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579FCC33">
                  <w:pPr>
                    <w:adjustRightInd w:val="0"/>
                    <w:snapToGrid w:val="0"/>
                    <w:jc w:val="center"/>
                    <w:rPr>
                      <w:rFonts w:hint="default" w:ascii="Times New Roman" w:hAnsi="Times New Roman" w:eastAsia="宋体" w:cs="Times New Roman"/>
                      <w:bCs/>
                      <w:sz w:val="21"/>
                      <w:szCs w:val="21"/>
                      <w:highlight w:val="none"/>
                    </w:rPr>
                  </w:pPr>
                </w:p>
              </w:tc>
            </w:tr>
            <w:tr w14:paraId="57C8F6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51B67570">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11</w:t>
                  </w:r>
                </w:p>
              </w:tc>
              <w:tc>
                <w:tcPr>
                  <w:tcW w:w="684" w:type="pct"/>
                  <w:noWrap w:val="0"/>
                  <w:vAlign w:val="center"/>
                </w:tcPr>
                <w:p w14:paraId="7BA2F118">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C5精馏塔顶回流泵</w:t>
                  </w:r>
                </w:p>
              </w:tc>
              <w:tc>
                <w:tcPr>
                  <w:tcW w:w="170" w:type="pct"/>
                  <w:noWrap w:val="0"/>
                  <w:vAlign w:val="center"/>
                </w:tcPr>
                <w:p w14:paraId="54D92B33">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5B2848CE">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425</w:t>
                  </w:r>
                </w:p>
              </w:tc>
              <w:tc>
                <w:tcPr>
                  <w:tcW w:w="330" w:type="pct"/>
                  <w:noWrap w:val="0"/>
                  <w:vAlign w:val="center"/>
                </w:tcPr>
                <w:p w14:paraId="2142E847">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527</w:t>
                  </w:r>
                </w:p>
              </w:tc>
              <w:tc>
                <w:tcPr>
                  <w:tcW w:w="454" w:type="pct"/>
                  <w:noWrap w:val="0"/>
                  <w:vAlign w:val="center"/>
                </w:tcPr>
                <w:p w14:paraId="45C9159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1393.29</w:t>
                  </w:r>
                </w:p>
              </w:tc>
              <w:tc>
                <w:tcPr>
                  <w:tcW w:w="437" w:type="pct"/>
                  <w:noWrap w:val="0"/>
                  <w:vAlign w:val="center"/>
                </w:tcPr>
                <w:p w14:paraId="3C183799">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616A4A4E">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63D3BE9E">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5B5D5609">
                  <w:pPr>
                    <w:adjustRightInd w:val="0"/>
                    <w:snapToGrid w:val="0"/>
                    <w:jc w:val="center"/>
                    <w:rPr>
                      <w:rFonts w:hint="default" w:ascii="Times New Roman" w:hAnsi="Times New Roman" w:eastAsia="宋体" w:cs="Times New Roman"/>
                      <w:bCs/>
                      <w:sz w:val="21"/>
                      <w:szCs w:val="21"/>
                      <w:highlight w:val="none"/>
                    </w:rPr>
                  </w:pPr>
                </w:p>
              </w:tc>
            </w:tr>
            <w:tr w14:paraId="205C65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61F0F37D">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12</w:t>
                  </w:r>
                </w:p>
              </w:tc>
              <w:tc>
                <w:tcPr>
                  <w:tcW w:w="684" w:type="pct"/>
                  <w:noWrap w:val="0"/>
                  <w:vAlign w:val="center"/>
                </w:tcPr>
                <w:p w14:paraId="2E472C9F">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脱重塔进料泵</w:t>
                  </w:r>
                </w:p>
              </w:tc>
              <w:tc>
                <w:tcPr>
                  <w:tcW w:w="170" w:type="pct"/>
                  <w:noWrap w:val="0"/>
                  <w:vAlign w:val="center"/>
                </w:tcPr>
                <w:p w14:paraId="36E1DA2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台</w:t>
                  </w:r>
                </w:p>
              </w:tc>
              <w:tc>
                <w:tcPr>
                  <w:tcW w:w="282" w:type="pct"/>
                  <w:noWrap w:val="0"/>
                  <w:vAlign w:val="center"/>
                </w:tcPr>
                <w:p w14:paraId="43664801">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330" w:type="pct"/>
                  <w:noWrap w:val="0"/>
                  <w:vAlign w:val="center"/>
                </w:tcPr>
                <w:p w14:paraId="3B918CF3">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501</w:t>
                  </w:r>
                </w:p>
              </w:tc>
              <w:tc>
                <w:tcPr>
                  <w:tcW w:w="454" w:type="pct"/>
                  <w:noWrap w:val="0"/>
                  <w:vAlign w:val="center"/>
                </w:tcPr>
                <w:p w14:paraId="318E24E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1392.92</w:t>
                  </w:r>
                </w:p>
              </w:tc>
              <w:tc>
                <w:tcPr>
                  <w:tcW w:w="437" w:type="pct"/>
                  <w:noWrap w:val="0"/>
                  <w:vAlign w:val="center"/>
                </w:tcPr>
                <w:p w14:paraId="1944DE51">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0CFFC8F3">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566BBAC3">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79F096DF">
                  <w:pPr>
                    <w:adjustRightInd w:val="0"/>
                    <w:snapToGrid w:val="0"/>
                    <w:jc w:val="center"/>
                    <w:rPr>
                      <w:rFonts w:hint="default" w:ascii="Times New Roman" w:hAnsi="Times New Roman" w:eastAsia="宋体" w:cs="Times New Roman"/>
                      <w:bCs/>
                      <w:sz w:val="21"/>
                      <w:szCs w:val="21"/>
                      <w:highlight w:val="none"/>
                    </w:rPr>
                  </w:pPr>
                </w:p>
              </w:tc>
            </w:tr>
            <w:tr w14:paraId="7ECBB8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5FB1C632">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13</w:t>
                  </w:r>
                </w:p>
              </w:tc>
              <w:tc>
                <w:tcPr>
                  <w:tcW w:w="684" w:type="pct"/>
                  <w:noWrap w:val="0"/>
                  <w:vAlign w:val="center"/>
                </w:tcPr>
                <w:p w14:paraId="08F1F748">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C6+轻质油空冷器</w:t>
                  </w:r>
                </w:p>
              </w:tc>
              <w:tc>
                <w:tcPr>
                  <w:tcW w:w="170" w:type="pct"/>
                  <w:noWrap w:val="0"/>
                  <w:vAlign w:val="center"/>
                </w:tcPr>
                <w:p w14:paraId="34BA1A67">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48C11BDC">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330" w:type="pct"/>
                  <w:noWrap w:val="0"/>
                  <w:vAlign w:val="center"/>
                </w:tcPr>
                <w:p w14:paraId="2D27617F">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501</w:t>
                  </w:r>
                </w:p>
              </w:tc>
              <w:tc>
                <w:tcPr>
                  <w:tcW w:w="454" w:type="pct"/>
                  <w:noWrap w:val="0"/>
                  <w:vAlign w:val="center"/>
                </w:tcPr>
                <w:p w14:paraId="0BFB2D0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1392.94</w:t>
                  </w:r>
                </w:p>
              </w:tc>
              <w:tc>
                <w:tcPr>
                  <w:tcW w:w="437" w:type="pct"/>
                  <w:noWrap w:val="0"/>
                  <w:vAlign w:val="center"/>
                </w:tcPr>
                <w:p w14:paraId="48FC3969">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23AF47BC">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073733E8">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72C4A015">
                  <w:pPr>
                    <w:adjustRightInd w:val="0"/>
                    <w:snapToGrid w:val="0"/>
                    <w:jc w:val="center"/>
                    <w:rPr>
                      <w:rFonts w:hint="default" w:ascii="Times New Roman" w:hAnsi="Times New Roman" w:eastAsia="宋体" w:cs="Times New Roman"/>
                      <w:bCs/>
                      <w:sz w:val="21"/>
                      <w:szCs w:val="21"/>
                      <w:highlight w:val="none"/>
                    </w:rPr>
                  </w:pPr>
                </w:p>
              </w:tc>
            </w:tr>
            <w:tr w14:paraId="42B464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306DB37C">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14</w:t>
                  </w:r>
                </w:p>
              </w:tc>
              <w:tc>
                <w:tcPr>
                  <w:tcW w:w="684" w:type="pct"/>
                  <w:noWrap w:val="0"/>
                  <w:vAlign w:val="center"/>
                </w:tcPr>
                <w:p w14:paraId="6DF284A9">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脱重塔顶空冷器</w:t>
                  </w:r>
                </w:p>
              </w:tc>
              <w:tc>
                <w:tcPr>
                  <w:tcW w:w="170" w:type="pct"/>
                  <w:noWrap w:val="0"/>
                  <w:vAlign w:val="center"/>
                </w:tcPr>
                <w:p w14:paraId="3F5772C1">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0BE8ED5D">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458</w:t>
                  </w:r>
                </w:p>
              </w:tc>
              <w:tc>
                <w:tcPr>
                  <w:tcW w:w="330" w:type="pct"/>
                  <w:noWrap w:val="0"/>
                  <w:vAlign w:val="center"/>
                </w:tcPr>
                <w:p w14:paraId="0FD5C885">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i w:val="0"/>
                      <w:iCs w:val="0"/>
                      <w:color w:val="000000"/>
                      <w:kern w:val="0"/>
                      <w:sz w:val="21"/>
                      <w:szCs w:val="21"/>
                      <w:u w:val="none"/>
                      <w:lang w:val="en-US" w:eastAsia="zh-CN" w:bidi="ar"/>
                    </w:rPr>
                    <w:t>560</w:t>
                  </w:r>
                </w:p>
              </w:tc>
              <w:tc>
                <w:tcPr>
                  <w:tcW w:w="454" w:type="pct"/>
                  <w:noWrap w:val="0"/>
                  <w:vAlign w:val="center"/>
                </w:tcPr>
                <w:p w14:paraId="22C74FF1">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rPr>
                    <w:t>139</w:t>
                  </w:r>
                  <w:r>
                    <w:rPr>
                      <w:rFonts w:hint="default" w:ascii="Times New Roman" w:hAnsi="Times New Roman" w:eastAsia="宋体" w:cs="Times New Roman"/>
                      <w:bCs/>
                      <w:sz w:val="21"/>
                      <w:szCs w:val="21"/>
                      <w:highlight w:val="none"/>
                      <w:lang w:val="en-US" w:eastAsia="zh-CN"/>
                    </w:rPr>
                    <w:t>4.82</w:t>
                  </w:r>
                </w:p>
              </w:tc>
              <w:tc>
                <w:tcPr>
                  <w:tcW w:w="437" w:type="pct"/>
                  <w:noWrap w:val="0"/>
                  <w:vAlign w:val="center"/>
                </w:tcPr>
                <w:p w14:paraId="0E0318FC">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08B1447B">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7714CB98">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2E133FA5">
                  <w:pPr>
                    <w:adjustRightInd w:val="0"/>
                    <w:snapToGrid w:val="0"/>
                    <w:jc w:val="center"/>
                    <w:rPr>
                      <w:rFonts w:hint="default" w:ascii="Times New Roman" w:hAnsi="Times New Roman" w:eastAsia="宋体" w:cs="Times New Roman"/>
                      <w:bCs/>
                      <w:sz w:val="21"/>
                      <w:szCs w:val="21"/>
                      <w:highlight w:val="none"/>
                    </w:rPr>
                  </w:pPr>
                </w:p>
              </w:tc>
            </w:tr>
            <w:tr w14:paraId="2517A2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699809AE">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15</w:t>
                  </w:r>
                </w:p>
              </w:tc>
              <w:tc>
                <w:tcPr>
                  <w:tcW w:w="684" w:type="pct"/>
                  <w:noWrap w:val="0"/>
                  <w:vAlign w:val="center"/>
                </w:tcPr>
                <w:p w14:paraId="77587ED8">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原料-脱重塔底油换热器</w:t>
                  </w:r>
                </w:p>
              </w:tc>
              <w:tc>
                <w:tcPr>
                  <w:tcW w:w="170" w:type="pct"/>
                  <w:noWrap w:val="0"/>
                  <w:vAlign w:val="center"/>
                </w:tcPr>
                <w:p w14:paraId="2CD20BE5">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6414C8A0">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431</w:t>
                  </w:r>
                </w:p>
              </w:tc>
              <w:tc>
                <w:tcPr>
                  <w:tcW w:w="330" w:type="pct"/>
                  <w:noWrap w:val="0"/>
                  <w:vAlign w:val="center"/>
                </w:tcPr>
                <w:p w14:paraId="72D1D6D0">
                  <w:pPr>
                    <w:keepNext w:val="0"/>
                    <w:keepLines w:val="0"/>
                    <w:widowControl/>
                    <w:suppressLineNumbers w:val="0"/>
                    <w:jc w:val="center"/>
                    <w:textAlignment w:val="center"/>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i w:val="0"/>
                      <w:iCs w:val="0"/>
                      <w:color w:val="000000"/>
                      <w:kern w:val="0"/>
                      <w:sz w:val="21"/>
                      <w:szCs w:val="21"/>
                      <w:u w:val="none"/>
                      <w:lang w:val="en-US" w:eastAsia="zh-CN" w:bidi="ar"/>
                    </w:rPr>
                    <w:t>560</w:t>
                  </w:r>
                </w:p>
              </w:tc>
              <w:tc>
                <w:tcPr>
                  <w:tcW w:w="454" w:type="pct"/>
                  <w:noWrap w:val="0"/>
                  <w:vAlign w:val="center"/>
                </w:tcPr>
                <w:p w14:paraId="089F435B">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1394.7</w:t>
                  </w:r>
                </w:p>
              </w:tc>
              <w:tc>
                <w:tcPr>
                  <w:tcW w:w="437" w:type="pct"/>
                  <w:noWrap w:val="0"/>
                  <w:vAlign w:val="center"/>
                </w:tcPr>
                <w:p w14:paraId="706B068A">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18052485">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3BB3BC4D">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0EEF357A">
                  <w:pPr>
                    <w:adjustRightInd w:val="0"/>
                    <w:snapToGrid w:val="0"/>
                    <w:jc w:val="center"/>
                    <w:rPr>
                      <w:rFonts w:hint="default" w:ascii="Times New Roman" w:hAnsi="Times New Roman" w:eastAsia="宋体" w:cs="Times New Roman"/>
                      <w:bCs/>
                      <w:sz w:val="21"/>
                      <w:szCs w:val="21"/>
                      <w:highlight w:val="none"/>
                    </w:rPr>
                  </w:pPr>
                </w:p>
              </w:tc>
            </w:tr>
            <w:tr w14:paraId="2460B6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4B498782">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16</w:t>
                  </w:r>
                </w:p>
              </w:tc>
              <w:tc>
                <w:tcPr>
                  <w:tcW w:w="684" w:type="pct"/>
                  <w:noWrap w:val="0"/>
                  <w:vAlign w:val="center"/>
                </w:tcPr>
                <w:p w14:paraId="39E09FEE">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脱重塔底重沸器</w:t>
                  </w:r>
                </w:p>
              </w:tc>
              <w:tc>
                <w:tcPr>
                  <w:tcW w:w="170" w:type="pct"/>
                  <w:noWrap w:val="0"/>
                  <w:vAlign w:val="center"/>
                </w:tcPr>
                <w:p w14:paraId="3950F52C">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65CC34F9">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330" w:type="pct"/>
                  <w:noWrap w:val="0"/>
                  <w:vAlign w:val="center"/>
                </w:tcPr>
                <w:p w14:paraId="48BF7E5E">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559</w:t>
                  </w:r>
                </w:p>
              </w:tc>
              <w:tc>
                <w:tcPr>
                  <w:tcW w:w="454" w:type="pct"/>
                  <w:noWrap w:val="0"/>
                  <w:vAlign w:val="center"/>
                </w:tcPr>
                <w:p w14:paraId="2103623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1394.3</w:t>
                  </w:r>
                </w:p>
              </w:tc>
              <w:tc>
                <w:tcPr>
                  <w:tcW w:w="437" w:type="pct"/>
                  <w:noWrap w:val="0"/>
                  <w:vAlign w:val="center"/>
                </w:tcPr>
                <w:p w14:paraId="5894E415">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56910889">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1ACD542E">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278A4BD5">
                  <w:pPr>
                    <w:adjustRightInd w:val="0"/>
                    <w:snapToGrid w:val="0"/>
                    <w:jc w:val="center"/>
                    <w:rPr>
                      <w:rFonts w:hint="default" w:ascii="Times New Roman" w:hAnsi="Times New Roman" w:eastAsia="宋体" w:cs="Times New Roman"/>
                      <w:bCs/>
                      <w:sz w:val="21"/>
                      <w:szCs w:val="21"/>
                      <w:highlight w:val="none"/>
                    </w:rPr>
                  </w:pPr>
                </w:p>
              </w:tc>
            </w:tr>
            <w:tr w14:paraId="6A5FD2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4990B1C5">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17</w:t>
                  </w:r>
                </w:p>
              </w:tc>
              <w:tc>
                <w:tcPr>
                  <w:tcW w:w="684" w:type="pct"/>
                  <w:noWrap w:val="0"/>
                  <w:vAlign w:val="center"/>
                </w:tcPr>
                <w:p w14:paraId="35FEC2F7">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C5精馏塔顶水冷器</w:t>
                  </w:r>
                </w:p>
              </w:tc>
              <w:tc>
                <w:tcPr>
                  <w:tcW w:w="170" w:type="pct"/>
                  <w:noWrap w:val="0"/>
                  <w:vAlign w:val="center"/>
                </w:tcPr>
                <w:p w14:paraId="5F4826F9">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192C7305">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429</w:t>
                  </w:r>
                </w:p>
              </w:tc>
              <w:tc>
                <w:tcPr>
                  <w:tcW w:w="330" w:type="pct"/>
                  <w:noWrap w:val="0"/>
                  <w:vAlign w:val="center"/>
                </w:tcPr>
                <w:p w14:paraId="08B9EEF8">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566</w:t>
                  </w:r>
                </w:p>
              </w:tc>
              <w:tc>
                <w:tcPr>
                  <w:tcW w:w="454" w:type="pct"/>
                  <w:noWrap w:val="0"/>
                  <w:vAlign w:val="center"/>
                </w:tcPr>
                <w:p w14:paraId="6E301F74">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1394.59</w:t>
                  </w:r>
                </w:p>
              </w:tc>
              <w:tc>
                <w:tcPr>
                  <w:tcW w:w="437" w:type="pct"/>
                  <w:noWrap w:val="0"/>
                  <w:vAlign w:val="center"/>
                </w:tcPr>
                <w:p w14:paraId="7ADB4003">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672955C3">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4489AF9F">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4CFCDB4F">
                  <w:pPr>
                    <w:adjustRightInd w:val="0"/>
                    <w:snapToGrid w:val="0"/>
                    <w:jc w:val="center"/>
                    <w:rPr>
                      <w:rFonts w:hint="default" w:ascii="Times New Roman" w:hAnsi="Times New Roman" w:eastAsia="宋体" w:cs="Times New Roman"/>
                      <w:bCs/>
                      <w:sz w:val="21"/>
                      <w:szCs w:val="21"/>
                      <w:highlight w:val="none"/>
                    </w:rPr>
                  </w:pPr>
                </w:p>
              </w:tc>
            </w:tr>
            <w:tr w14:paraId="6C406F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0FD8BBEB">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18</w:t>
                  </w:r>
                </w:p>
              </w:tc>
              <w:tc>
                <w:tcPr>
                  <w:tcW w:w="684" w:type="pct"/>
                  <w:noWrap w:val="0"/>
                  <w:vAlign w:val="center"/>
                </w:tcPr>
                <w:p w14:paraId="3A01B6B1">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C5精馏塔底重沸器</w:t>
                  </w:r>
                </w:p>
              </w:tc>
              <w:tc>
                <w:tcPr>
                  <w:tcW w:w="170" w:type="pct"/>
                  <w:noWrap w:val="0"/>
                  <w:vAlign w:val="center"/>
                </w:tcPr>
                <w:p w14:paraId="41CA2462">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52E23A2B">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330" w:type="pct"/>
                  <w:noWrap w:val="0"/>
                  <w:vAlign w:val="center"/>
                </w:tcPr>
                <w:p w14:paraId="154D1785">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566</w:t>
                  </w:r>
                </w:p>
              </w:tc>
              <w:tc>
                <w:tcPr>
                  <w:tcW w:w="454" w:type="pct"/>
                  <w:noWrap w:val="0"/>
                  <w:vAlign w:val="center"/>
                </w:tcPr>
                <w:p w14:paraId="1501439A">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1394.59</w:t>
                  </w:r>
                </w:p>
              </w:tc>
              <w:tc>
                <w:tcPr>
                  <w:tcW w:w="437" w:type="pct"/>
                  <w:noWrap w:val="0"/>
                  <w:vAlign w:val="center"/>
                </w:tcPr>
                <w:p w14:paraId="470F41EE">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53E4A5A2">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12234304">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648E0BEA">
                  <w:pPr>
                    <w:adjustRightInd w:val="0"/>
                    <w:snapToGrid w:val="0"/>
                    <w:jc w:val="center"/>
                    <w:rPr>
                      <w:rFonts w:hint="default" w:ascii="Times New Roman" w:hAnsi="Times New Roman" w:eastAsia="宋体" w:cs="Times New Roman"/>
                      <w:bCs/>
                      <w:sz w:val="21"/>
                      <w:szCs w:val="21"/>
                      <w:highlight w:val="none"/>
                    </w:rPr>
                  </w:pPr>
                </w:p>
              </w:tc>
            </w:tr>
            <w:tr w14:paraId="37E5DA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6AD84729">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19</w:t>
                  </w:r>
                </w:p>
              </w:tc>
              <w:tc>
                <w:tcPr>
                  <w:tcW w:w="684" w:type="pct"/>
                  <w:noWrap w:val="0"/>
                  <w:vAlign w:val="center"/>
                </w:tcPr>
                <w:p w14:paraId="45B73590">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C5烷烯水冷器</w:t>
                  </w:r>
                </w:p>
              </w:tc>
              <w:tc>
                <w:tcPr>
                  <w:tcW w:w="170" w:type="pct"/>
                  <w:noWrap w:val="0"/>
                  <w:vAlign w:val="center"/>
                </w:tcPr>
                <w:p w14:paraId="388DA4B7">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0C2AB006">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427</w:t>
                  </w:r>
                </w:p>
              </w:tc>
              <w:tc>
                <w:tcPr>
                  <w:tcW w:w="330" w:type="pct"/>
                  <w:noWrap w:val="0"/>
                  <w:vAlign w:val="center"/>
                </w:tcPr>
                <w:p w14:paraId="1693493B">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543</w:t>
                  </w:r>
                </w:p>
              </w:tc>
              <w:tc>
                <w:tcPr>
                  <w:tcW w:w="454" w:type="pct"/>
                  <w:noWrap w:val="0"/>
                  <w:vAlign w:val="center"/>
                </w:tcPr>
                <w:p w14:paraId="61F1EA02">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1393.68</w:t>
                  </w:r>
                </w:p>
              </w:tc>
              <w:tc>
                <w:tcPr>
                  <w:tcW w:w="437" w:type="pct"/>
                  <w:noWrap w:val="0"/>
                  <w:vAlign w:val="center"/>
                </w:tcPr>
                <w:p w14:paraId="19805475">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25811C7E">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58DCB3B3">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35311EC6">
                  <w:pPr>
                    <w:adjustRightInd w:val="0"/>
                    <w:snapToGrid w:val="0"/>
                    <w:jc w:val="center"/>
                    <w:rPr>
                      <w:rFonts w:hint="default" w:ascii="Times New Roman" w:hAnsi="Times New Roman" w:eastAsia="宋体" w:cs="Times New Roman"/>
                      <w:bCs/>
                      <w:sz w:val="21"/>
                      <w:szCs w:val="21"/>
                      <w:highlight w:val="none"/>
                    </w:rPr>
                  </w:pPr>
                </w:p>
              </w:tc>
            </w:tr>
            <w:tr w14:paraId="6185BE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tcBorders>
                  <w:noWrap w:val="0"/>
                  <w:vAlign w:val="center"/>
                </w:tcPr>
                <w:p w14:paraId="07471580">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20</w:t>
                  </w:r>
                </w:p>
              </w:tc>
              <w:tc>
                <w:tcPr>
                  <w:tcW w:w="684" w:type="pct"/>
                  <w:noWrap w:val="0"/>
                  <w:vAlign w:val="center"/>
                </w:tcPr>
                <w:p w14:paraId="06EABFD4">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脱重塔塔顶水冷器</w:t>
                  </w:r>
                </w:p>
              </w:tc>
              <w:tc>
                <w:tcPr>
                  <w:tcW w:w="170" w:type="pct"/>
                  <w:noWrap w:val="0"/>
                  <w:vAlign w:val="center"/>
                </w:tcPr>
                <w:p w14:paraId="1DDC3EF6">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noWrap w:val="0"/>
                  <w:vAlign w:val="center"/>
                </w:tcPr>
                <w:p w14:paraId="372AC2E5">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330" w:type="pct"/>
                  <w:noWrap w:val="0"/>
                  <w:vAlign w:val="center"/>
                </w:tcPr>
                <w:p w14:paraId="1E5D3AF9">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537</w:t>
                  </w:r>
                </w:p>
              </w:tc>
              <w:tc>
                <w:tcPr>
                  <w:tcW w:w="454" w:type="pct"/>
                  <w:noWrap w:val="0"/>
                  <w:vAlign w:val="center"/>
                </w:tcPr>
                <w:p w14:paraId="4EDECF1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1393.52</w:t>
                  </w:r>
                </w:p>
              </w:tc>
              <w:tc>
                <w:tcPr>
                  <w:tcW w:w="437" w:type="pct"/>
                  <w:noWrap w:val="0"/>
                  <w:vAlign w:val="center"/>
                </w:tcPr>
                <w:p w14:paraId="5A4AE033">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noWrap w:val="0"/>
                  <w:vAlign w:val="center"/>
                </w:tcPr>
                <w:p w14:paraId="0AAB41E9">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73BFC34E">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1D126CF9">
                  <w:pPr>
                    <w:adjustRightInd w:val="0"/>
                    <w:snapToGrid w:val="0"/>
                    <w:jc w:val="center"/>
                    <w:rPr>
                      <w:rFonts w:hint="default" w:ascii="Times New Roman" w:hAnsi="Times New Roman" w:eastAsia="宋体" w:cs="Times New Roman"/>
                      <w:bCs/>
                      <w:sz w:val="21"/>
                      <w:szCs w:val="21"/>
                      <w:highlight w:val="none"/>
                    </w:rPr>
                  </w:pPr>
                </w:p>
              </w:tc>
            </w:tr>
            <w:tr w14:paraId="5C03C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61" w:type="pct"/>
                  <w:tcBorders>
                    <w:left w:val="single" w:color="auto" w:sz="4" w:space="0"/>
                    <w:bottom w:val="single" w:color="auto" w:sz="4" w:space="0"/>
                  </w:tcBorders>
                  <w:noWrap w:val="0"/>
                  <w:vAlign w:val="center"/>
                </w:tcPr>
                <w:p w14:paraId="61E55286">
                  <w:pPr>
                    <w:adjustRightInd w:val="0"/>
                    <w:snapToGrid w:val="0"/>
                    <w:jc w:val="center"/>
                    <w:rPr>
                      <w:rFonts w:hint="default" w:ascii="Times New Roman" w:hAnsi="Times New Roman" w:eastAsia="宋体" w:cs="Times New Roman"/>
                      <w:bCs/>
                      <w:sz w:val="21"/>
                      <w:szCs w:val="21"/>
                      <w:highlight w:val="none"/>
                      <w:lang w:val="en-US" w:eastAsia="zh-CN"/>
                    </w:rPr>
                  </w:pPr>
                  <w:r>
                    <w:rPr>
                      <w:rFonts w:hint="eastAsia" w:cs="Times New Roman"/>
                      <w:bCs/>
                      <w:sz w:val="21"/>
                      <w:szCs w:val="21"/>
                      <w:highlight w:val="none"/>
                      <w:lang w:val="en-US" w:eastAsia="zh-CN"/>
                    </w:rPr>
                    <w:t>21</w:t>
                  </w:r>
                </w:p>
              </w:tc>
              <w:tc>
                <w:tcPr>
                  <w:tcW w:w="684" w:type="pct"/>
                  <w:tcBorders>
                    <w:bottom w:val="single" w:color="auto" w:sz="4" w:space="0"/>
                  </w:tcBorders>
                  <w:noWrap w:val="0"/>
                  <w:vAlign w:val="center"/>
                </w:tcPr>
                <w:p w14:paraId="770E7DD6">
                  <w:pPr>
                    <w:spacing w:line="240" w:lineRule="exact"/>
                    <w:jc w:val="center"/>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b w:val="0"/>
                      <w:color w:val="auto"/>
                      <w:sz w:val="21"/>
                      <w:szCs w:val="21"/>
                      <w:lang w:val="en-US" w:eastAsia="zh-CN"/>
                    </w:rPr>
                    <w:t>脱重塔底水冷器</w:t>
                  </w:r>
                </w:p>
              </w:tc>
              <w:tc>
                <w:tcPr>
                  <w:tcW w:w="170" w:type="pct"/>
                  <w:tcBorders>
                    <w:bottom w:val="single" w:color="auto" w:sz="4" w:space="0"/>
                  </w:tcBorders>
                  <w:noWrap w:val="0"/>
                  <w:vAlign w:val="center"/>
                </w:tcPr>
                <w:p w14:paraId="12621938">
                  <w:pPr>
                    <w:spacing w:line="240" w:lineRule="exact"/>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台</w:t>
                  </w:r>
                </w:p>
              </w:tc>
              <w:tc>
                <w:tcPr>
                  <w:tcW w:w="282" w:type="pct"/>
                  <w:tcBorders>
                    <w:bottom w:val="single" w:color="auto" w:sz="4" w:space="0"/>
                  </w:tcBorders>
                  <w:noWrap w:val="0"/>
                  <w:vAlign w:val="center"/>
                </w:tcPr>
                <w:p w14:paraId="75F46DE3">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432</w:t>
                  </w:r>
                </w:p>
              </w:tc>
              <w:tc>
                <w:tcPr>
                  <w:tcW w:w="330" w:type="pct"/>
                  <w:tcBorders>
                    <w:bottom w:val="single" w:color="auto" w:sz="4" w:space="0"/>
                  </w:tcBorders>
                  <w:noWrap w:val="0"/>
                  <w:vAlign w:val="center"/>
                </w:tcPr>
                <w:p w14:paraId="690649A1">
                  <w:pPr>
                    <w:keepNext w:val="0"/>
                    <w:keepLines w:val="0"/>
                    <w:widowControl/>
                    <w:suppressLineNumbers w:val="0"/>
                    <w:jc w:val="center"/>
                    <w:textAlignment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535</w:t>
                  </w:r>
                </w:p>
              </w:tc>
              <w:tc>
                <w:tcPr>
                  <w:tcW w:w="454" w:type="pct"/>
                  <w:tcBorders>
                    <w:bottom w:val="single" w:color="auto" w:sz="4" w:space="0"/>
                  </w:tcBorders>
                  <w:noWrap w:val="0"/>
                  <w:vAlign w:val="center"/>
                </w:tcPr>
                <w:p w14:paraId="0A35226C">
                  <w:pPr>
                    <w:adjustRightInd w:val="0"/>
                    <w:snapToGrid w:val="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bCs/>
                      <w:sz w:val="21"/>
                      <w:szCs w:val="21"/>
                      <w:highlight w:val="none"/>
                      <w:lang w:val="en-US" w:eastAsia="zh-CN"/>
                    </w:rPr>
                    <w:t>1393.46</w:t>
                  </w:r>
                </w:p>
              </w:tc>
              <w:tc>
                <w:tcPr>
                  <w:tcW w:w="437" w:type="pct"/>
                  <w:tcBorders>
                    <w:bottom w:val="single" w:color="auto" w:sz="4" w:space="0"/>
                  </w:tcBorders>
                  <w:noWrap w:val="0"/>
                  <w:vAlign w:val="center"/>
                </w:tcPr>
                <w:p w14:paraId="5A66B39D">
                  <w:pPr>
                    <w:spacing w:line="240" w:lineRule="exact"/>
                    <w:jc w:val="center"/>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557" w:type="pct"/>
                  <w:tcBorders>
                    <w:bottom w:val="single" w:color="auto" w:sz="4" w:space="0"/>
                  </w:tcBorders>
                  <w:noWrap w:val="0"/>
                  <w:vAlign w:val="center"/>
                </w:tcPr>
                <w:p w14:paraId="7A715D8A">
                  <w:pPr>
                    <w:adjustRightInd w:val="0"/>
                    <w:snapToGrid w:val="0"/>
                    <w:jc w:val="center"/>
                    <w:rPr>
                      <w:rFonts w:hint="default" w:ascii="Times New Roman" w:hAnsi="Times New Roman" w:eastAsia="宋体" w:cs="Times New Roman"/>
                      <w:bCs/>
                      <w:sz w:val="21"/>
                      <w:szCs w:val="21"/>
                      <w:highlight w:val="none"/>
                      <w:lang w:val="en-US" w:eastAsia="zh-CN"/>
                    </w:rPr>
                  </w:pPr>
                  <w:r>
                    <w:rPr>
                      <w:rFonts w:hint="default" w:ascii="Times New Roman" w:hAnsi="Times New Roman" w:eastAsia="宋体" w:cs="Times New Roman"/>
                      <w:bCs/>
                      <w:sz w:val="21"/>
                      <w:szCs w:val="21"/>
                      <w:highlight w:val="none"/>
                      <w:lang w:val="en-US" w:eastAsia="zh-CN"/>
                    </w:rPr>
                    <w:t>85</w:t>
                  </w:r>
                </w:p>
              </w:tc>
              <w:tc>
                <w:tcPr>
                  <w:tcW w:w="1297" w:type="pct"/>
                  <w:vMerge w:val="continue"/>
                  <w:noWrap w:val="0"/>
                  <w:vAlign w:val="center"/>
                </w:tcPr>
                <w:p w14:paraId="4E74B656">
                  <w:pPr>
                    <w:adjustRightInd w:val="0"/>
                    <w:snapToGrid w:val="0"/>
                    <w:jc w:val="center"/>
                    <w:rPr>
                      <w:rFonts w:hint="default" w:ascii="Times New Roman" w:hAnsi="Times New Roman" w:eastAsia="宋体" w:cs="Times New Roman"/>
                      <w:bCs/>
                      <w:sz w:val="21"/>
                      <w:szCs w:val="21"/>
                      <w:highlight w:val="none"/>
                    </w:rPr>
                  </w:pPr>
                </w:p>
              </w:tc>
              <w:tc>
                <w:tcPr>
                  <w:tcW w:w="623" w:type="pct"/>
                  <w:vMerge w:val="continue"/>
                  <w:tcBorders>
                    <w:right w:val="single" w:color="auto" w:sz="4" w:space="0"/>
                  </w:tcBorders>
                  <w:noWrap w:val="0"/>
                  <w:vAlign w:val="center"/>
                </w:tcPr>
                <w:p w14:paraId="6051D6C4">
                  <w:pPr>
                    <w:adjustRightInd w:val="0"/>
                    <w:snapToGrid w:val="0"/>
                    <w:jc w:val="center"/>
                    <w:rPr>
                      <w:rFonts w:hint="default" w:ascii="Times New Roman" w:hAnsi="Times New Roman" w:eastAsia="宋体" w:cs="Times New Roman"/>
                      <w:bCs/>
                      <w:sz w:val="21"/>
                      <w:szCs w:val="21"/>
                      <w:highlight w:val="none"/>
                    </w:rPr>
                  </w:pPr>
                </w:p>
              </w:tc>
            </w:tr>
          </w:tbl>
          <w:p w14:paraId="740A3F47">
            <w:pPr>
              <w:spacing w:line="360" w:lineRule="auto"/>
              <w:ind w:firstLine="482" w:firstLineChars="200"/>
              <w:rPr>
                <w:b/>
                <w:sz w:val="24"/>
              </w:rPr>
            </w:pPr>
            <w:r>
              <w:rPr>
                <w:rFonts w:hint="eastAsia"/>
                <w:b/>
                <w:sz w:val="24"/>
                <w:lang w:eastAsia="zh-CN"/>
              </w:rPr>
              <w:t>（</w:t>
            </w:r>
            <w:r>
              <w:rPr>
                <w:rFonts w:hint="eastAsia"/>
                <w:b/>
                <w:sz w:val="24"/>
                <w:lang w:val="en-US" w:eastAsia="zh-CN"/>
              </w:rPr>
              <w:t>1</w:t>
            </w:r>
            <w:r>
              <w:rPr>
                <w:rFonts w:hint="eastAsia"/>
                <w:b/>
                <w:sz w:val="24"/>
                <w:lang w:eastAsia="zh-CN"/>
              </w:rPr>
              <w:t>）</w:t>
            </w:r>
            <w:r>
              <w:rPr>
                <w:b/>
                <w:bCs/>
                <w:sz w:val="24"/>
              </w:rPr>
              <w:t>预测模式</w:t>
            </w:r>
          </w:p>
          <w:p w14:paraId="703BE8BE">
            <w:pPr>
              <w:topLinePunct/>
              <w:adjustRightInd w:val="0"/>
              <w:snapToGrid w:val="0"/>
              <w:spacing w:line="360" w:lineRule="auto"/>
              <w:ind w:firstLine="480" w:firstLineChars="200"/>
              <w:jc w:val="left"/>
              <w:rPr>
                <w:sz w:val="24"/>
              </w:rPr>
            </w:pPr>
            <w:r>
              <w:rPr>
                <w:sz w:val="24"/>
              </w:rPr>
              <w:t>根据《环境影响评价技术导则声环境》（HJ2.4-2021）附录A、B，预测模式如下：</w:t>
            </w:r>
          </w:p>
          <w:p w14:paraId="5317B246">
            <w:pPr>
              <w:adjustRightInd w:val="0"/>
              <w:snapToGrid w:val="0"/>
              <w:spacing w:line="360" w:lineRule="auto"/>
              <w:ind w:firstLine="480" w:firstLineChars="200"/>
              <w:jc w:val="left"/>
              <w:rPr>
                <w:sz w:val="24"/>
              </w:rPr>
            </w:pPr>
            <w:r>
              <w:rPr>
                <w:rFonts w:hint="eastAsia"/>
                <w:sz w:val="24"/>
              </w:rPr>
              <w:t>①</w:t>
            </w:r>
            <w:r>
              <w:rPr>
                <w:sz w:val="24"/>
              </w:rPr>
              <w:t>室内声源</w:t>
            </w:r>
          </w:p>
          <w:p w14:paraId="45D74FCB">
            <w:pPr>
              <w:adjustRightInd w:val="0"/>
              <w:snapToGrid w:val="0"/>
              <w:spacing w:line="360" w:lineRule="auto"/>
              <w:ind w:firstLine="480" w:firstLineChars="200"/>
              <w:jc w:val="left"/>
              <w:rPr>
                <w:rFonts w:hint="eastAsia"/>
                <w:sz w:val="24"/>
              </w:rPr>
            </w:pPr>
            <w:r>
              <w:rPr>
                <w:sz w:val="24"/>
              </w:rPr>
              <w:t>a</w:t>
            </w:r>
            <w:r>
              <w:rPr>
                <w:rFonts w:hint="eastAsia"/>
                <w:sz w:val="24"/>
              </w:rPr>
              <w:t>、计算车间室内声源靠近围护结构处产生的声压级：</w:t>
            </w:r>
          </w:p>
          <w:p w14:paraId="44BF0F8D">
            <w:pPr>
              <w:spacing w:after="120" w:line="480" w:lineRule="auto"/>
              <w:jc w:val="center"/>
              <w:rPr>
                <w:szCs w:val="21"/>
              </w:rPr>
            </w:pPr>
            <w:r>
              <w:rPr>
                <w:szCs w:val="21"/>
              </w:rPr>
              <w:drawing>
                <wp:inline distT="0" distB="0" distL="114300" distR="114300">
                  <wp:extent cx="2667000" cy="666750"/>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8"/>
                          <a:stretch>
                            <a:fillRect/>
                          </a:stretch>
                        </pic:blipFill>
                        <pic:spPr>
                          <a:xfrm>
                            <a:off x="0" y="0"/>
                            <a:ext cx="2667000" cy="666750"/>
                          </a:xfrm>
                          <a:prstGeom prst="rect">
                            <a:avLst/>
                          </a:prstGeom>
                          <a:noFill/>
                          <a:ln>
                            <a:noFill/>
                          </a:ln>
                        </pic:spPr>
                      </pic:pic>
                    </a:graphicData>
                  </a:graphic>
                </wp:inline>
              </w:drawing>
            </w:r>
          </w:p>
          <w:p w14:paraId="074E12D3">
            <w:pPr>
              <w:adjustRightInd w:val="0"/>
              <w:snapToGrid w:val="0"/>
              <w:spacing w:line="360" w:lineRule="auto"/>
              <w:ind w:firstLine="480" w:firstLineChars="200"/>
              <w:jc w:val="left"/>
              <w:rPr>
                <w:rFonts w:hint="eastAsia"/>
                <w:sz w:val="24"/>
              </w:rPr>
            </w:pPr>
            <w:r>
              <w:rPr>
                <w:rFonts w:hint="eastAsia"/>
                <w:sz w:val="24"/>
              </w:rPr>
              <w:t>式中：Q—指向性因子；</w:t>
            </w:r>
          </w:p>
          <w:p w14:paraId="7A3F7FD8">
            <w:pPr>
              <w:adjustRightInd w:val="0"/>
              <w:snapToGrid w:val="0"/>
              <w:spacing w:line="360" w:lineRule="auto"/>
              <w:ind w:firstLine="1200" w:firstLineChars="500"/>
              <w:jc w:val="left"/>
              <w:rPr>
                <w:rFonts w:hint="eastAsia"/>
                <w:sz w:val="24"/>
              </w:rPr>
            </w:pPr>
            <w:r>
              <w:rPr>
                <w:rFonts w:hint="eastAsia"/>
                <w:sz w:val="24"/>
              </w:rPr>
              <w:t>L</w:t>
            </w:r>
            <w:r>
              <w:rPr>
                <w:rFonts w:hint="eastAsia"/>
                <w:sz w:val="24"/>
                <w:vertAlign w:val="subscript"/>
              </w:rPr>
              <w:t>W</w:t>
            </w:r>
            <w:r>
              <w:rPr>
                <w:rFonts w:hint="eastAsia"/>
                <w:sz w:val="24"/>
              </w:rPr>
              <w:t>—室内声源声功率级，dB（A）；</w:t>
            </w:r>
          </w:p>
          <w:p w14:paraId="3682E89D">
            <w:pPr>
              <w:adjustRightInd w:val="0"/>
              <w:snapToGrid w:val="0"/>
              <w:spacing w:line="360" w:lineRule="auto"/>
              <w:ind w:firstLine="1200" w:firstLineChars="500"/>
              <w:jc w:val="left"/>
              <w:rPr>
                <w:rFonts w:hint="eastAsia"/>
                <w:sz w:val="24"/>
              </w:rPr>
            </w:pPr>
            <w:r>
              <w:rPr>
                <w:rFonts w:hint="eastAsia"/>
                <w:sz w:val="24"/>
              </w:rPr>
              <w:t>R—房间常数；</w:t>
            </w:r>
          </w:p>
          <w:p w14:paraId="37BF9C43">
            <w:pPr>
              <w:adjustRightInd w:val="0"/>
              <w:snapToGrid w:val="0"/>
              <w:spacing w:line="360" w:lineRule="auto"/>
              <w:ind w:firstLine="1200" w:firstLineChars="500"/>
              <w:jc w:val="left"/>
              <w:rPr>
                <w:sz w:val="24"/>
              </w:rPr>
            </w:pPr>
            <w:r>
              <w:rPr>
                <w:rFonts w:hint="eastAsia"/>
                <w:sz w:val="24"/>
              </w:rPr>
              <w:t>1r—声源到靠近围护结构某点处的距离，m。</w:t>
            </w:r>
          </w:p>
          <w:p w14:paraId="3391449D">
            <w:pPr>
              <w:adjustRightInd w:val="0"/>
              <w:snapToGrid w:val="0"/>
              <w:spacing w:line="360" w:lineRule="auto"/>
              <w:ind w:firstLine="480" w:firstLineChars="200"/>
              <w:jc w:val="left"/>
              <w:rPr>
                <w:rFonts w:hint="eastAsia"/>
                <w:sz w:val="24"/>
              </w:rPr>
            </w:pPr>
            <w:r>
              <w:rPr>
                <w:rFonts w:hint="eastAsia"/>
                <w:sz w:val="24"/>
              </w:rPr>
              <w:t>b、计算所有室内声源在围护结构处产生的叠加声压级：</w:t>
            </w:r>
          </w:p>
          <w:p w14:paraId="7404FFC9">
            <w:pPr>
              <w:adjustRightInd w:val="0"/>
              <w:snapToGrid w:val="0"/>
              <w:spacing w:line="360" w:lineRule="auto"/>
              <w:ind w:firstLine="420" w:firstLineChars="200"/>
              <w:jc w:val="center"/>
              <w:rPr>
                <w:rFonts w:hint="eastAsia"/>
                <w:sz w:val="24"/>
              </w:rPr>
            </w:pPr>
            <w:r>
              <w:drawing>
                <wp:inline distT="0" distB="0" distL="114300" distR="114300">
                  <wp:extent cx="2526030" cy="545465"/>
                  <wp:effectExtent l="0" t="0" r="7620"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9"/>
                          <a:stretch>
                            <a:fillRect/>
                          </a:stretch>
                        </pic:blipFill>
                        <pic:spPr>
                          <a:xfrm>
                            <a:off x="0" y="0"/>
                            <a:ext cx="2526030" cy="545465"/>
                          </a:xfrm>
                          <a:prstGeom prst="rect">
                            <a:avLst/>
                          </a:prstGeom>
                          <a:noFill/>
                          <a:ln>
                            <a:noFill/>
                          </a:ln>
                        </pic:spPr>
                      </pic:pic>
                    </a:graphicData>
                  </a:graphic>
                </wp:inline>
              </w:drawing>
            </w:r>
          </w:p>
          <w:p w14:paraId="5BDAD992">
            <w:pPr>
              <w:adjustRightInd w:val="0"/>
              <w:snapToGrid w:val="0"/>
              <w:spacing w:line="360" w:lineRule="auto"/>
              <w:ind w:firstLine="720" w:firstLineChars="300"/>
              <w:jc w:val="left"/>
              <w:rPr>
                <w:rFonts w:hint="eastAsia"/>
                <w:sz w:val="24"/>
              </w:rPr>
            </w:pPr>
            <w:r>
              <w:rPr>
                <w:rFonts w:hint="eastAsia"/>
                <w:sz w:val="24"/>
              </w:rPr>
              <w:t>式中：Lp1（T）—靠近围护结构处室内N个声源的叠加声压级，dB（A）；</w:t>
            </w:r>
          </w:p>
          <w:p w14:paraId="503467FF">
            <w:pPr>
              <w:adjustRightInd w:val="0"/>
              <w:snapToGrid w:val="0"/>
              <w:spacing w:line="360" w:lineRule="auto"/>
              <w:ind w:firstLine="1440" w:firstLineChars="600"/>
              <w:jc w:val="left"/>
              <w:rPr>
                <w:rFonts w:hint="eastAsia"/>
                <w:sz w:val="24"/>
              </w:rPr>
            </w:pPr>
            <w:r>
              <w:rPr>
                <w:rFonts w:hint="eastAsia"/>
                <w:sz w:val="24"/>
              </w:rPr>
              <w:t>Lp1j（T）—室内j声源声压级，dB（A）；</w:t>
            </w:r>
          </w:p>
          <w:p w14:paraId="47200AB8">
            <w:pPr>
              <w:adjustRightInd w:val="0"/>
              <w:snapToGrid w:val="0"/>
              <w:spacing w:line="360" w:lineRule="auto"/>
              <w:ind w:firstLine="1440" w:firstLineChars="600"/>
              <w:jc w:val="left"/>
              <w:rPr>
                <w:rFonts w:hint="eastAsia"/>
                <w:sz w:val="24"/>
              </w:rPr>
            </w:pPr>
            <w:r>
              <w:rPr>
                <w:rFonts w:hint="eastAsia"/>
                <w:sz w:val="24"/>
              </w:rPr>
              <w:t>N—室内声源总数。</w:t>
            </w:r>
          </w:p>
          <w:p w14:paraId="244E776E">
            <w:pPr>
              <w:adjustRightInd w:val="0"/>
              <w:snapToGrid w:val="0"/>
              <w:spacing w:line="360" w:lineRule="auto"/>
              <w:ind w:firstLine="480" w:firstLineChars="200"/>
              <w:jc w:val="left"/>
              <w:rPr>
                <w:rFonts w:hint="eastAsia"/>
                <w:sz w:val="24"/>
              </w:rPr>
            </w:pPr>
            <w:r>
              <w:rPr>
                <w:rFonts w:hint="eastAsia"/>
                <w:sz w:val="24"/>
              </w:rPr>
              <w:t>c、计算靠近室外维护结构处的声压级：</w:t>
            </w:r>
          </w:p>
          <w:p w14:paraId="2AD822BF">
            <w:pPr>
              <w:adjustRightInd w:val="0"/>
              <w:snapToGrid w:val="0"/>
              <w:spacing w:line="360" w:lineRule="auto"/>
              <w:ind w:firstLine="420" w:firstLineChars="200"/>
              <w:jc w:val="center"/>
              <w:rPr>
                <w:rFonts w:hint="eastAsia"/>
                <w:sz w:val="24"/>
              </w:rPr>
            </w:pPr>
            <w:r>
              <w:drawing>
                <wp:inline distT="0" distB="0" distL="114300" distR="114300">
                  <wp:extent cx="1913255" cy="469900"/>
                  <wp:effectExtent l="0" t="0" r="10795" b="635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30"/>
                          <a:stretch>
                            <a:fillRect/>
                          </a:stretch>
                        </pic:blipFill>
                        <pic:spPr>
                          <a:xfrm>
                            <a:off x="0" y="0"/>
                            <a:ext cx="1913255" cy="469900"/>
                          </a:xfrm>
                          <a:prstGeom prst="rect">
                            <a:avLst/>
                          </a:prstGeom>
                          <a:noFill/>
                          <a:ln>
                            <a:noFill/>
                          </a:ln>
                        </pic:spPr>
                      </pic:pic>
                    </a:graphicData>
                  </a:graphic>
                </wp:inline>
              </w:drawing>
            </w:r>
          </w:p>
          <w:p w14:paraId="743D26A8">
            <w:pPr>
              <w:adjustRightInd w:val="0"/>
              <w:snapToGrid w:val="0"/>
              <w:spacing w:line="360" w:lineRule="auto"/>
              <w:ind w:firstLine="480" w:firstLineChars="200"/>
              <w:jc w:val="left"/>
              <w:rPr>
                <w:rFonts w:hint="eastAsia"/>
                <w:sz w:val="24"/>
              </w:rPr>
            </w:pPr>
            <w:r>
              <w:rPr>
                <w:rFonts w:hint="eastAsia"/>
                <w:sz w:val="24"/>
              </w:rPr>
              <w:t>式中：</w:t>
            </w:r>
            <w:r>
              <w:rPr>
                <w:rFonts w:hint="eastAsia"/>
                <w:sz w:val="24"/>
                <w:vertAlign w:val="subscript"/>
              </w:rPr>
              <w:t>Lp2i（T）</w:t>
            </w:r>
            <w:r>
              <w:rPr>
                <w:rFonts w:hint="eastAsia"/>
                <w:sz w:val="24"/>
              </w:rPr>
              <w:t>—靠近围护结构处室内N个声源的叠加声压级，dB（A）；</w:t>
            </w:r>
          </w:p>
          <w:p w14:paraId="0DE6249E">
            <w:pPr>
              <w:adjustRightInd w:val="0"/>
              <w:snapToGrid w:val="0"/>
              <w:spacing w:line="360" w:lineRule="auto"/>
              <w:ind w:firstLine="1200" w:firstLineChars="500"/>
              <w:jc w:val="left"/>
              <w:rPr>
                <w:sz w:val="24"/>
              </w:rPr>
            </w:pPr>
            <w:r>
              <w:rPr>
                <w:rFonts w:hint="eastAsia"/>
                <w:sz w:val="24"/>
              </w:rPr>
              <w:t>TL—围护结构窗户的隔声量，dB（A）；本项目厂房为混凝土砌块墙双面粉刷，TL为20dB（A）。</w:t>
            </w:r>
          </w:p>
          <w:p w14:paraId="43351C71">
            <w:pPr>
              <w:adjustRightInd w:val="0"/>
              <w:snapToGrid w:val="0"/>
              <w:spacing w:line="360" w:lineRule="auto"/>
              <w:ind w:firstLine="480" w:firstLineChars="200"/>
              <w:jc w:val="left"/>
              <w:rPr>
                <w:sz w:val="24"/>
              </w:rPr>
            </w:pPr>
            <w:r>
              <w:rPr>
                <w:rFonts w:hint="eastAsia"/>
                <w:sz w:val="24"/>
              </w:rPr>
              <w:t>d、将室外声源的声压级和透</w:t>
            </w:r>
            <w:r>
              <w:rPr>
                <w:rFonts w:hint="eastAsia"/>
                <w:sz w:val="24"/>
                <w:lang w:eastAsia="zh-CN"/>
              </w:rPr>
              <w:t>声</w:t>
            </w:r>
            <w:r>
              <w:rPr>
                <w:rFonts w:hint="eastAsia"/>
                <w:sz w:val="24"/>
              </w:rPr>
              <w:t>面积换算成等效的室外声源，计算中心位置位于透声面积处的等效声源的声功率级</w:t>
            </w:r>
            <w:r>
              <w:rPr>
                <w:sz w:val="24"/>
              </w:rPr>
              <w:t>：</w:t>
            </w:r>
          </w:p>
          <w:p w14:paraId="4ED6B212">
            <w:pPr>
              <w:adjustRightInd w:val="0"/>
              <w:snapToGrid w:val="0"/>
              <w:spacing w:line="360" w:lineRule="auto"/>
              <w:ind w:firstLine="420" w:firstLineChars="200"/>
              <w:jc w:val="center"/>
              <w:rPr>
                <w:sz w:val="24"/>
              </w:rPr>
            </w:pPr>
            <w:r>
              <w:drawing>
                <wp:inline distT="0" distB="0" distL="114300" distR="114300">
                  <wp:extent cx="2410460" cy="398145"/>
                  <wp:effectExtent l="0" t="0" r="8890" b="190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1"/>
                          <a:stretch>
                            <a:fillRect/>
                          </a:stretch>
                        </pic:blipFill>
                        <pic:spPr>
                          <a:xfrm>
                            <a:off x="0" y="0"/>
                            <a:ext cx="2410460" cy="398145"/>
                          </a:xfrm>
                          <a:prstGeom prst="rect">
                            <a:avLst/>
                          </a:prstGeom>
                          <a:noFill/>
                          <a:ln>
                            <a:noFill/>
                          </a:ln>
                        </pic:spPr>
                      </pic:pic>
                    </a:graphicData>
                  </a:graphic>
                </wp:inline>
              </w:drawing>
            </w:r>
          </w:p>
          <w:p w14:paraId="79168090">
            <w:pPr>
              <w:adjustRightInd w:val="0"/>
              <w:snapToGrid w:val="0"/>
              <w:spacing w:line="360" w:lineRule="auto"/>
              <w:ind w:firstLine="480" w:firstLineChars="200"/>
              <w:jc w:val="left"/>
              <w:rPr>
                <w:sz w:val="24"/>
              </w:rPr>
            </w:pPr>
            <w:r>
              <w:rPr>
                <w:rFonts w:hint="eastAsia"/>
                <w:sz w:val="24"/>
              </w:rPr>
              <w:t>②室外点源</w:t>
            </w:r>
          </w:p>
          <w:p w14:paraId="24665EC9">
            <w:pPr>
              <w:adjustRightInd w:val="0"/>
              <w:snapToGrid w:val="0"/>
              <w:spacing w:line="360" w:lineRule="auto"/>
              <w:ind w:firstLine="480" w:firstLineChars="200"/>
              <w:jc w:val="left"/>
              <w:rPr>
                <w:rFonts w:hint="eastAsia"/>
                <w:sz w:val="24"/>
              </w:rPr>
            </w:pPr>
            <w:r>
              <w:rPr>
                <w:rFonts w:hint="eastAsia"/>
                <w:sz w:val="24"/>
              </w:rPr>
              <w:t>采用的衰减公式为</w:t>
            </w:r>
          </w:p>
          <w:p w14:paraId="6C292E00">
            <w:pPr>
              <w:adjustRightInd w:val="0"/>
              <w:snapToGrid w:val="0"/>
              <w:spacing w:line="360" w:lineRule="auto"/>
              <w:ind w:firstLine="420" w:firstLineChars="200"/>
              <w:jc w:val="center"/>
              <w:rPr>
                <w:rFonts w:hint="eastAsia"/>
                <w:sz w:val="24"/>
              </w:rPr>
            </w:pPr>
            <w:r>
              <w:drawing>
                <wp:inline distT="0" distB="0" distL="114300" distR="114300">
                  <wp:extent cx="1684020" cy="402590"/>
                  <wp:effectExtent l="0" t="0" r="11430" b="1651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2"/>
                          <a:stretch>
                            <a:fillRect/>
                          </a:stretch>
                        </pic:blipFill>
                        <pic:spPr>
                          <a:xfrm>
                            <a:off x="0" y="0"/>
                            <a:ext cx="1684020" cy="402590"/>
                          </a:xfrm>
                          <a:prstGeom prst="rect">
                            <a:avLst/>
                          </a:prstGeom>
                          <a:noFill/>
                          <a:ln>
                            <a:noFill/>
                          </a:ln>
                        </pic:spPr>
                      </pic:pic>
                    </a:graphicData>
                  </a:graphic>
                </wp:inline>
              </w:drawing>
            </w:r>
          </w:p>
          <w:p w14:paraId="22129C14">
            <w:pPr>
              <w:adjustRightInd w:val="0"/>
              <w:snapToGrid w:val="0"/>
              <w:spacing w:line="360" w:lineRule="auto"/>
              <w:ind w:firstLine="480" w:firstLineChars="200"/>
              <w:jc w:val="left"/>
              <w:rPr>
                <w:rFonts w:hint="eastAsia"/>
                <w:sz w:val="24"/>
              </w:rPr>
            </w:pPr>
            <w:r>
              <w:rPr>
                <w:rFonts w:hint="eastAsia"/>
                <w:sz w:val="24"/>
              </w:rPr>
              <w:t>式中：L（r）—距离噪声源r处的声压级，dB（A）；</w:t>
            </w:r>
          </w:p>
          <w:p w14:paraId="41E554CF">
            <w:pPr>
              <w:adjustRightInd w:val="0"/>
              <w:snapToGrid w:val="0"/>
              <w:spacing w:line="360" w:lineRule="auto"/>
              <w:ind w:firstLine="1200" w:firstLineChars="500"/>
              <w:jc w:val="left"/>
              <w:rPr>
                <w:rFonts w:hint="eastAsia"/>
                <w:sz w:val="24"/>
              </w:rPr>
            </w:pPr>
            <w:r>
              <w:rPr>
                <w:rFonts w:hint="eastAsia"/>
                <w:sz w:val="24"/>
              </w:rPr>
              <w:t>r—预测点距离噪声源的距离，m；</w:t>
            </w:r>
          </w:p>
          <w:p w14:paraId="17E537C2">
            <w:pPr>
              <w:adjustRightInd w:val="0"/>
              <w:snapToGrid w:val="0"/>
              <w:spacing w:line="360" w:lineRule="auto"/>
              <w:ind w:firstLine="1200" w:firstLineChars="500"/>
              <w:jc w:val="left"/>
              <w:rPr>
                <w:sz w:val="24"/>
              </w:rPr>
            </w:pPr>
            <w:r>
              <w:rPr>
                <w:rFonts w:hint="eastAsia"/>
                <w:sz w:val="24"/>
              </w:rPr>
              <w:t>r</w:t>
            </w:r>
            <w:r>
              <w:rPr>
                <w:rFonts w:hint="eastAsia"/>
                <w:sz w:val="24"/>
                <w:vertAlign w:val="subscript"/>
              </w:rPr>
              <w:t>0</w:t>
            </w:r>
            <w:r>
              <w:rPr>
                <w:rFonts w:hint="eastAsia"/>
                <w:sz w:val="24"/>
              </w:rPr>
              <w:t>—参考位置距离噪声源的距离，m</w:t>
            </w:r>
            <w:r>
              <w:rPr>
                <w:sz w:val="24"/>
              </w:rPr>
              <w:t>。</w:t>
            </w:r>
          </w:p>
          <w:p w14:paraId="266E800B">
            <w:pPr>
              <w:spacing w:line="360" w:lineRule="auto"/>
              <w:ind w:firstLine="482" w:firstLineChars="200"/>
              <w:rPr>
                <w:b/>
                <w:kern w:val="0"/>
                <w:sz w:val="24"/>
                <w:lang w:bidi="ar"/>
              </w:rPr>
            </w:pPr>
            <w:r>
              <w:rPr>
                <w:rFonts w:hint="eastAsia"/>
                <w:b/>
                <w:kern w:val="0"/>
                <w:sz w:val="24"/>
                <w:lang w:eastAsia="zh-CN" w:bidi="ar"/>
              </w:rPr>
              <w:t>（</w:t>
            </w:r>
            <w:r>
              <w:rPr>
                <w:rFonts w:hint="eastAsia"/>
                <w:b/>
                <w:kern w:val="0"/>
                <w:sz w:val="24"/>
                <w:lang w:val="en-US" w:eastAsia="zh-CN" w:bidi="ar"/>
              </w:rPr>
              <w:t>2</w:t>
            </w:r>
            <w:r>
              <w:rPr>
                <w:rFonts w:hint="eastAsia"/>
                <w:b/>
                <w:kern w:val="0"/>
                <w:sz w:val="24"/>
                <w:lang w:eastAsia="zh-CN" w:bidi="ar"/>
              </w:rPr>
              <w:t>）</w:t>
            </w:r>
            <w:r>
              <w:rPr>
                <w:b/>
                <w:bCs/>
                <w:kern w:val="0"/>
                <w:sz w:val="24"/>
                <w:lang w:bidi="ar"/>
              </w:rPr>
              <w:t>预测结果及防治措施</w:t>
            </w:r>
          </w:p>
          <w:p w14:paraId="58EC5E23">
            <w:pPr>
              <w:pStyle w:val="111"/>
              <w:ind w:firstLine="480"/>
              <w:jc w:val="both"/>
              <w:rPr>
                <w:rFonts w:hint="eastAsia"/>
                <w:szCs w:val="24"/>
                <w:lang w:bidi="ar"/>
              </w:rPr>
            </w:pPr>
            <w:r>
              <w:rPr>
                <w:szCs w:val="24"/>
                <w:lang w:bidi="ar"/>
              </w:rPr>
              <w:t>根据预测模式，计算出厂界噪声预测结果见表4-</w:t>
            </w:r>
            <w:r>
              <w:rPr>
                <w:rFonts w:hint="eastAsia"/>
                <w:szCs w:val="24"/>
                <w:lang w:val="en-US" w:eastAsia="zh-CN" w:bidi="ar"/>
              </w:rPr>
              <w:t>9</w:t>
            </w:r>
            <w:r>
              <w:rPr>
                <w:szCs w:val="24"/>
                <w:lang w:bidi="ar"/>
              </w:rPr>
              <w:t>。</w:t>
            </w:r>
          </w:p>
          <w:p w14:paraId="4E5A0A6E">
            <w:pPr>
              <w:pStyle w:val="111"/>
              <w:snapToGrid w:val="0"/>
              <w:spacing w:line="240" w:lineRule="auto"/>
              <w:ind w:left="0" w:leftChars="0" w:firstLine="0" w:firstLineChars="0"/>
              <w:jc w:val="center"/>
              <w:rPr>
                <w:szCs w:val="24"/>
              </w:rPr>
            </w:pPr>
            <w:r>
              <w:rPr>
                <w:b/>
                <w:bCs/>
                <w:szCs w:val="24"/>
              </w:rPr>
              <w:t>表4-</w:t>
            </w:r>
            <w:r>
              <w:rPr>
                <w:rFonts w:hint="eastAsia"/>
                <w:b/>
                <w:bCs/>
                <w:szCs w:val="24"/>
                <w:lang w:val="en-US" w:eastAsia="zh-CN"/>
              </w:rPr>
              <w:t>9</w:t>
            </w:r>
            <w:r>
              <w:rPr>
                <w:b/>
                <w:bCs/>
                <w:szCs w:val="24"/>
              </w:rPr>
              <w:t>噪声预测结果单位：</w:t>
            </w:r>
            <w:r>
              <w:rPr>
                <w:rFonts w:eastAsia="Times New Roman"/>
                <w:b/>
                <w:bCs/>
                <w:szCs w:val="24"/>
              </w:rPr>
              <w:t>dB</w:t>
            </w:r>
            <w:r>
              <w:rPr>
                <w:b/>
                <w:bCs/>
                <w:szCs w:val="24"/>
              </w:rPr>
              <w:t>（</w:t>
            </w:r>
            <w:r>
              <w:rPr>
                <w:rFonts w:eastAsia="Times New Roman"/>
                <w:b/>
                <w:bCs/>
                <w:szCs w:val="24"/>
              </w:rPr>
              <w:t>A</w:t>
            </w:r>
            <w:r>
              <w:rPr>
                <w:b/>
                <w:bCs/>
                <w:szCs w:val="24"/>
              </w:rPr>
              <w:t>）</w:t>
            </w:r>
          </w:p>
          <w:tbl>
            <w:tblPr>
              <w:tblStyle w:val="41"/>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167"/>
              <w:gridCol w:w="1171"/>
              <w:gridCol w:w="1171"/>
              <w:gridCol w:w="1171"/>
              <w:gridCol w:w="880"/>
              <w:gridCol w:w="880"/>
              <w:gridCol w:w="1464"/>
            </w:tblGrid>
            <w:tr w14:paraId="2096F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33" w:type="pct"/>
                  <w:gridSpan w:val="2"/>
                  <w:vMerge w:val="restart"/>
                  <w:tcBorders>
                    <w:top w:val="single" w:color="auto" w:sz="4" w:space="0"/>
                    <w:left w:val="single" w:color="auto" w:sz="0" w:space="0"/>
                    <w:tl2br w:val="nil"/>
                    <w:tr2bl w:val="nil"/>
                  </w:tcBorders>
                  <w:noWrap w:val="0"/>
                  <w:vAlign w:val="center"/>
                </w:tcPr>
                <w:p w14:paraId="07671C73">
                  <w:pPr>
                    <w:adjustRightInd w:val="0"/>
                    <w:snapToGrid w:val="0"/>
                    <w:jc w:val="center"/>
                    <w:rPr>
                      <w:b/>
                      <w:bCs/>
                      <w:sz w:val="21"/>
                      <w:szCs w:val="21"/>
                    </w:rPr>
                  </w:pPr>
                  <w:r>
                    <w:rPr>
                      <w:b/>
                      <w:bCs/>
                      <w:sz w:val="21"/>
                      <w:szCs w:val="21"/>
                    </w:rPr>
                    <w:t>位置</w:t>
                  </w:r>
                </w:p>
              </w:tc>
              <w:tc>
                <w:tcPr>
                  <w:tcW w:w="689" w:type="pct"/>
                  <w:vMerge w:val="restart"/>
                  <w:tcBorders>
                    <w:top w:val="single" w:color="auto" w:sz="4" w:space="0"/>
                    <w:tl2br w:val="nil"/>
                    <w:tr2bl w:val="nil"/>
                  </w:tcBorders>
                  <w:noWrap w:val="0"/>
                  <w:vAlign w:val="center"/>
                </w:tcPr>
                <w:p w14:paraId="1AC49986">
                  <w:pPr>
                    <w:adjustRightInd w:val="0"/>
                    <w:snapToGrid w:val="0"/>
                    <w:jc w:val="center"/>
                    <w:rPr>
                      <w:b/>
                      <w:bCs/>
                      <w:sz w:val="21"/>
                      <w:szCs w:val="21"/>
                    </w:rPr>
                  </w:pPr>
                  <w:r>
                    <w:rPr>
                      <w:b/>
                      <w:bCs/>
                      <w:sz w:val="21"/>
                      <w:szCs w:val="21"/>
                    </w:rPr>
                    <w:t>贡献值</w:t>
                  </w:r>
                </w:p>
              </w:tc>
              <w:tc>
                <w:tcPr>
                  <w:tcW w:w="689" w:type="pct"/>
                  <w:vMerge w:val="restart"/>
                  <w:tcBorders>
                    <w:top w:val="single" w:color="auto" w:sz="4" w:space="0"/>
                    <w:tl2br w:val="nil"/>
                    <w:tr2bl w:val="nil"/>
                  </w:tcBorders>
                  <w:noWrap w:val="0"/>
                  <w:vAlign w:val="center"/>
                </w:tcPr>
                <w:p w14:paraId="0599CD99">
                  <w:pPr>
                    <w:adjustRightInd w:val="0"/>
                    <w:snapToGrid w:val="0"/>
                    <w:jc w:val="center"/>
                    <w:rPr>
                      <w:rFonts w:hint="eastAsia" w:eastAsia="宋体"/>
                      <w:b/>
                      <w:bCs/>
                      <w:sz w:val="21"/>
                      <w:szCs w:val="21"/>
                      <w:lang w:val="en-US" w:eastAsia="zh-CN"/>
                    </w:rPr>
                  </w:pPr>
                  <w:r>
                    <w:rPr>
                      <w:rFonts w:hint="eastAsia"/>
                      <w:b/>
                      <w:bCs/>
                      <w:sz w:val="21"/>
                      <w:szCs w:val="21"/>
                      <w:lang w:val="en-US" w:eastAsia="zh-CN"/>
                    </w:rPr>
                    <w:t>背景值</w:t>
                  </w:r>
                </w:p>
              </w:tc>
              <w:tc>
                <w:tcPr>
                  <w:tcW w:w="689" w:type="pct"/>
                  <w:vMerge w:val="restart"/>
                  <w:tcBorders>
                    <w:top w:val="single" w:color="auto" w:sz="4" w:space="0"/>
                    <w:tl2br w:val="nil"/>
                    <w:tr2bl w:val="nil"/>
                  </w:tcBorders>
                  <w:noWrap w:val="0"/>
                  <w:vAlign w:val="center"/>
                </w:tcPr>
                <w:p w14:paraId="5D7A112F">
                  <w:pPr>
                    <w:adjustRightInd w:val="0"/>
                    <w:snapToGrid w:val="0"/>
                    <w:jc w:val="center"/>
                    <w:rPr>
                      <w:rFonts w:hint="eastAsia" w:eastAsia="宋体"/>
                      <w:b/>
                      <w:bCs/>
                      <w:sz w:val="21"/>
                      <w:szCs w:val="21"/>
                      <w:lang w:val="en-US" w:eastAsia="zh-CN"/>
                    </w:rPr>
                  </w:pPr>
                  <w:r>
                    <w:rPr>
                      <w:rFonts w:hint="eastAsia"/>
                      <w:b/>
                      <w:bCs/>
                      <w:sz w:val="21"/>
                      <w:szCs w:val="21"/>
                      <w:lang w:val="en-US" w:eastAsia="zh-CN"/>
                    </w:rPr>
                    <w:t>预测值</w:t>
                  </w:r>
                </w:p>
              </w:tc>
              <w:tc>
                <w:tcPr>
                  <w:tcW w:w="1036" w:type="pct"/>
                  <w:gridSpan w:val="2"/>
                  <w:tcBorders>
                    <w:top w:val="single" w:color="auto" w:sz="4" w:space="0"/>
                    <w:tl2br w:val="nil"/>
                    <w:tr2bl w:val="nil"/>
                  </w:tcBorders>
                  <w:noWrap w:val="0"/>
                  <w:vAlign w:val="center"/>
                </w:tcPr>
                <w:p w14:paraId="7804DBBC">
                  <w:pPr>
                    <w:adjustRightInd w:val="0"/>
                    <w:snapToGrid w:val="0"/>
                    <w:jc w:val="center"/>
                    <w:rPr>
                      <w:b/>
                      <w:bCs/>
                      <w:sz w:val="21"/>
                      <w:szCs w:val="21"/>
                    </w:rPr>
                  </w:pPr>
                  <w:r>
                    <w:rPr>
                      <w:b/>
                      <w:bCs/>
                      <w:sz w:val="21"/>
                      <w:szCs w:val="21"/>
                    </w:rPr>
                    <w:t>标准</w:t>
                  </w:r>
                </w:p>
              </w:tc>
              <w:tc>
                <w:tcPr>
                  <w:tcW w:w="861" w:type="pct"/>
                  <w:vMerge w:val="restart"/>
                  <w:tcBorders>
                    <w:top w:val="single" w:color="auto" w:sz="4" w:space="0"/>
                    <w:right w:val="single" w:color="auto" w:sz="4" w:space="0"/>
                    <w:tl2br w:val="nil"/>
                    <w:tr2bl w:val="nil"/>
                  </w:tcBorders>
                  <w:noWrap w:val="0"/>
                  <w:vAlign w:val="center"/>
                </w:tcPr>
                <w:p w14:paraId="5456B80F">
                  <w:pPr>
                    <w:adjustRightInd w:val="0"/>
                    <w:snapToGrid w:val="0"/>
                    <w:jc w:val="center"/>
                    <w:rPr>
                      <w:b/>
                      <w:bCs/>
                      <w:sz w:val="21"/>
                      <w:szCs w:val="21"/>
                    </w:rPr>
                  </w:pPr>
                  <w:r>
                    <w:rPr>
                      <w:b/>
                      <w:bCs/>
                      <w:sz w:val="21"/>
                      <w:szCs w:val="21"/>
                    </w:rPr>
                    <w:t>是否达标</w:t>
                  </w:r>
                </w:p>
              </w:tc>
            </w:tr>
            <w:tr w14:paraId="0A4C40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033" w:type="pct"/>
                  <w:gridSpan w:val="2"/>
                  <w:vMerge w:val="continue"/>
                  <w:tcBorders>
                    <w:left w:val="single" w:color="auto" w:sz="4" w:space="0"/>
                    <w:tl2br w:val="nil"/>
                    <w:tr2bl w:val="nil"/>
                  </w:tcBorders>
                  <w:noWrap w:val="0"/>
                  <w:vAlign w:val="center"/>
                </w:tcPr>
                <w:p w14:paraId="5AEB5E94">
                  <w:pPr>
                    <w:adjustRightInd w:val="0"/>
                    <w:snapToGrid w:val="0"/>
                    <w:jc w:val="center"/>
                    <w:rPr>
                      <w:b/>
                      <w:bCs/>
                      <w:sz w:val="21"/>
                      <w:szCs w:val="21"/>
                    </w:rPr>
                  </w:pPr>
                </w:p>
              </w:tc>
              <w:tc>
                <w:tcPr>
                  <w:tcW w:w="689" w:type="pct"/>
                  <w:vMerge w:val="continue"/>
                  <w:tcBorders>
                    <w:tl2br w:val="nil"/>
                    <w:tr2bl w:val="nil"/>
                  </w:tcBorders>
                  <w:noWrap w:val="0"/>
                  <w:vAlign w:val="center"/>
                </w:tcPr>
                <w:p w14:paraId="0089741B">
                  <w:pPr>
                    <w:adjustRightInd w:val="0"/>
                    <w:snapToGrid w:val="0"/>
                    <w:jc w:val="center"/>
                    <w:rPr>
                      <w:b/>
                      <w:bCs/>
                      <w:sz w:val="21"/>
                      <w:szCs w:val="21"/>
                    </w:rPr>
                  </w:pPr>
                </w:p>
              </w:tc>
              <w:tc>
                <w:tcPr>
                  <w:tcW w:w="689" w:type="pct"/>
                  <w:vMerge w:val="continue"/>
                  <w:tcBorders>
                    <w:tl2br w:val="nil"/>
                    <w:tr2bl w:val="nil"/>
                  </w:tcBorders>
                  <w:noWrap w:val="0"/>
                  <w:vAlign w:val="center"/>
                </w:tcPr>
                <w:p w14:paraId="373FA0A8">
                  <w:pPr>
                    <w:adjustRightInd w:val="0"/>
                    <w:snapToGrid w:val="0"/>
                    <w:jc w:val="center"/>
                    <w:rPr>
                      <w:b/>
                      <w:bCs/>
                      <w:sz w:val="21"/>
                      <w:szCs w:val="21"/>
                    </w:rPr>
                  </w:pPr>
                </w:p>
              </w:tc>
              <w:tc>
                <w:tcPr>
                  <w:tcW w:w="689" w:type="pct"/>
                  <w:vMerge w:val="continue"/>
                  <w:tcBorders>
                    <w:tl2br w:val="nil"/>
                    <w:tr2bl w:val="nil"/>
                  </w:tcBorders>
                  <w:noWrap w:val="0"/>
                  <w:vAlign w:val="center"/>
                </w:tcPr>
                <w:p w14:paraId="32326B8A">
                  <w:pPr>
                    <w:adjustRightInd w:val="0"/>
                    <w:snapToGrid w:val="0"/>
                    <w:jc w:val="center"/>
                    <w:rPr>
                      <w:b/>
                      <w:bCs/>
                      <w:sz w:val="21"/>
                      <w:szCs w:val="21"/>
                    </w:rPr>
                  </w:pPr>
                </w:p>
              </w:tc>
              <w:tc>
                <w:tcPr>
                  <w:tcW w:w="518" w:type="pct"/>
                  <w:tcBorders>
                    <w:tl2br w:val="nil"/>
                    <w:tr2bl w:val="nil"/>
                  </w:tcBorders>
                  <w:noWrap w:val="0"/>
                  <w:vAlign w:val="center"/>
                </w:tcPr>
                <w:p w14:paraId="5CEB22FA">
                  <w:pPr>
                    <w:adjustRightInd w:val="0"/>
                    <w:snapToGrid w:val="0"/>
                    <w:jc w:val="center"/>
                    <w:rPr>
                      <w:b/>
                      <w:bCs/>
                      <w:sz w:val="21"/>
                      <w:szCs w:val="21"/>
                    </w:rPr>
                  </w:pPr>
                  <w:r>
                    <w:rPr>
                      <w:b/>
                      <w:bCs/>
                      <w:sz w:val="21"/>
                      <w:szCs w:val="21"/>
                    </w:rPr>
                    <w:t>昼间</w:t>
                  </w:r>
                </w:p>
              </w:tc>
              <w:tc>
                <w:tcPr>
                  <w:tcW w:w="518" w:type="pct"/>
                  <w:tcBorders>
                    <w:tl2br w:val="nil"/>
                    <w:tr2bl w:val="nil"/>
                  </w:tcBorders>
                  <w:noWrap w:val="0"/>
                  <w:vAlign w:val="center"/>
                </w:tcPr>
                <w:p w14:paraId="18741B40">
                  <w:pPr>
                    <w:adjustRightInd w:val="0"/>
                    <w:snapToGrid w:val="0"/>
                    <w:jc w:val="center"/>
                    <w:rPr>
                      <w:b/>
                      <w:bCs/>
                      <w:sz w:val="21"/>
                      <w:szCs w:val="21"/>
                    </w:rPr>
                  </w:pPr>
                  <w:r>
                    <w:rPr>
                      <w:b/>
                      <w:bCs/>
                      <w:sz w:val="21"/>
                      <w:szCs w:val="21"/>
                    </w:rPr>
                    <w:t>夜间</w:t>
                  </w:r>
                </w:p>
              </w:tc>
              <w:tc>
                <w:tcPr>
                  <w:tcW w:w="861" w:type="pct"/>
                  <w:vMerge w:val="continue"/>
                  <w:tcBorders>
                    <w:right w:val="single" w:color="auto" w:sz="4" w:space="0"/>
                    <w:tl2br w:val="nil"/>
                    <w:tr2bl w:val="nil"/>
                  </w:tcBorders>
                  <w:noWrap w:val="0"/>
                  <w:vAlign w:val="center"/>
                </w:tcPr>
                <w:p w14:paraId="3BB92FC6">
                  <w:pPr>
                    <w:adjustRightInd w:val="0"/>
                    <w:snapToGrid w:val="0"/>
                    <w:jc w:val="center"/>
                    <w:rPr>
                      <w:b/>
                      <w:bCs/>
                      <w:sz w:val="21"/>
                      <w:szCs w:val="21"/>
                    </w:rPr>
                  </w:pPr>
                </w:p>
              </w:tc>
            </w:tr>
            <w:tr w14:paraId="64206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46" w:type="pct"/>
                  <w:tcBorders>
                    <w:left w:val="single" w:color="auto" w:sz="4" w:space="0"/>
                    <w:tl2br w:val="nil"/>
                    <w:tr2bl w:val="nil"/>
                  </w:tcBorders>
                  <w:noWrap w:val="0"/>
                  <w:vAlign w:val="center"/>
                </w:tcPr>
                <w:p w14:paraId="5B873680">
                  <w:pPr>
                    <w:adjustRightInd w:val="0"/>
                    <w:snapToGrid w:val="0"/>
                    <w:jc w:val="center"/>
                    <w:rPr>
                      <w:sz w:val="21"/>
                      <w:szCs w:val="21"/>
                    </w:rPr>
                  </w:pPr>
                  <w:r>
                    <w:rPr>
                      <w:sz w:val="21"/>
                      <w:szCs w:val="21"/>
                    </w:rPr>
                    <w:t>1#</w:t>
                  </w:r>
                </w:p>
              </w:tc>
              <w:tc>
                <w:tcPr>
                  <w:tcW w:w="687" w:type="pct"/>
                  <w:tcBorders>
                    <w:tl2br w:val="nil"/>
                    <w:tr2bl w:val="nil"/>
                  </w:tcBorders>
                  <w:noWrap w:val="0"/>
                  <w:vAlign w:val="center"/>
                </w:tcPr>
                <w:p w14:paraId="7E03FB1F">
                  <w:pPr>
                    <w:adjustRightInd w:val="0"/>
                    <w:snapToGrid w:val="0"/>
                    <w:jc w:val="center"/>
                    <w:rPr>
                      <w:rFonts w:hint="default" w:eastAsia="宋体"/>
                      <w:sz w:val="21"/>
                      <w:szCs w:val="21"/>
                      <w:lang w:val="en-US" w:eastAsia="zh-CN"/>
                    </w:rPr>
                  </w:pPr>
                  <w:r>
                    <w:rPr>
                      <w:rFonts w:hint="eastAsia"/>
                      <w:sz w:val="21"/>
                      <w:szCs w:val="21"/>
                      <w:lang w:val="en-US" w:eastAsia="zh-CN"/>
                    </w:rPr>
                    <w:t>厂界东</w:t>
                  </w:r>
                </w:p>
              </w:tc>
              <w:tc>
                <w:tcPr>
                  <w:tcW w:w="689" w:type="pct"/>
                  <w:tcBorders>
                    <w:tl2br w:val="nil"/>
                    <w:tr2bl w:val="nil"/>
                  </w:tcBorders>
                  <w:noWrap w:val="0"/>
                  <w:vAlign w:val="center"/>
                </w:tcPr>
                <w:p w14:paraId="04E1B64A">
                  <w:pPr>
                    <w:adjustRightInd w:val="0"/>
                    <w:snapToGrid w:val="0"/>
                    <w:jc w:val="center"/>
                    <w:rPr>
                      <w:rFonts w:hint="default" w:eastAsia="宋体"/>
                      <w:sz w:val="21"/>
                      <w:szCs w:val="21"/>
                      <w:lang w:val="en-US" w:eastAsia="zh-CN"/>
                    </w:rPr>
                  </w:pPr>
                  <w:r>
                    <w:rPr>
                      <w:rFonts w:hint="eastAsia"/>
                      <w:sz w:val="21"/>
                      <w:szCs w:val="21"/>
                      <w:lang w:val="en-US" w:eastAsia="zh-CN"/>
                    </w:rPr>
                    <w:t>42.00</w:t>
                  </w:r>
                </w:p>
              </w:tc>
              <w:tc>
                <w:tcPr>
                  <w:tcW w:w="689" w:type="pct"/>
                  <w:tcBorders>
                    <w:tl2br w:val="nil"/>
                    <w:tr2bl w:val="nil"/>
                  </w:tcBorders>
                  <w:noWrap w:val="0"/>
                  <w:vAlign w:val="center"/>
                </w:tcPr>
                <w:p w14:paraId="6286125F">
                  <w:pPr>
                    <w:adjustRightInd w:val="0"/>
                    <w:snapToGrid w:val="0"/>
                    <w:spacing w:line="240" w:lineRule="auto"/>
                    <w:jc w:val="center"/>
                    <w:rPr>
                      <w:rFonts w:hint="eastAsia"/>
                      <w:sz w:val="21"/>
                      <w:szCs w:val="21"/>
                      <w:lang w:val="en-US" w:eastAsia="zh-CN"/>
                    </w:rPr>
                  </w:pPr>
                  <w:r>
                    <w:rPr>
                      <w:rFonts w:hint="eastAsia"/>
                      <w:highlight w:val="none"/>
                    </w:rPr>
                    <w:t>52.96</w:t>
                  </w:r>
                </w:p>
              </w:tc>
              <w:tc>
                <w:tcPr>
                  <w:tcW w:w="689" w:type="pct"/>
                  <w:tcBorders>
                    <w:tl2br w:val="nil"/>
                    <w:tr2bl w:val="nil"/>
                  </w:tcBorders>
                  <w:noWrap w:val="0"/>
                  <w:vAlign w:val="center"/>
                </w:tcPr>
                <w:p w14:paraId="147B949B">
                  <w:pPr>
                    <w:adjustRightInd w:val="0"/>
                    <w:snapToGrid w:val="0"/>
                    <w:spacing w:line="240" w:lineRule="auto"/>
                    <w:jc w:val="center"/>
                    <w:rPr>
                      <w:rFonts w:hint="eastAsia"/>
                      <w:sz w:val="21"/>
                      <w:szCs w:val="21"/>
                      <w:lang w:val="en-US" w:eastAsia="zh-CN"/>
                    </w:rPr>
                  </w:pPr>
                  <w:r>
                    <w:rPr>
                      <w:rFonts w:hint="eastAsia"/>
                      <w:highlight w:val="none"/>
                    </w:rPr>
                    <w:t>52.96</w:t>
                  </w:r>
                </w:p>
              </w:tc>
              <w:tc>
                <w:tcPr>
                  <w:tcW w:w="518" w:type="pct"/>
                  <w:tcBorders>
                    <w:tl2br w:val="nil"/>
                    <w:tr2bl w:val="nil"/>
                  </w:tcBorders>
                  <w:noWrap w:val="0"/>
                  <w:vAlign w:val="center"/>
                </w:tcPr>
                <w:p w14:paraId="34194966">
                  <w:pPr>
                    <w:adjustRightInd w:val="0"/>
                    <w:snapToGrid w:val="0"/>
                    <w:jc w:val="center"/>
                    <w:rPr>
                      <w:sz w:val="21"/>
                      <w:szCs w:val="21"/>
                    </w:rPr>
                  </w:pPr>
                  <w:r>
                    <w:rPr>
                      <w:rFonts w:hint="eastAsia"/>
                      <w:sz w:val="21"/>
                      <w:szCs w:val="21"/>
                    </w:rPr>
                    <w:t>65</w:t>
                  </w:r>
                </w:p>
              </w:tc>
              <w:tc>
                <w:tcPr>
                  <w:tcW w:w="518" w:type="pct"/>
                  <w:tcBorders>
                    <w:tl2br w:val="nil"/>
                    <w:tr2bl w:val="nil"/>
                  </w:tcBorders>
                  <w:noWrap w:val="0"/>
                  <w:vAlign w:val="center"/>
                </w:tcPr>
                <w:p w14:paraId="64F6E158">
                  <w:pPr>
                    <w:adjustRightInd w:val="0"/>
                    <w:snapToGrid w:val="0"/>
                    <w:jc w:val="center"/>
                    <w:rPr>
                      <w:sz w:val="21"/>
                      <w:szCs w:val="21"/>
                    </w:rPr>
                  </w:pPr>
                  <w:r>
                    <w:rPr>
                      <w:rFonts w:hint="eastAsia"/>
                      <w:sz w:val="21"/>
                      <w:szCs w:val="21"/>
                    </w:rPr>
                    <w:t>55</w:t>
                  </w:r>
                </w:p>
              </w:tc>
              <w:tc>
                <w:tcPr>
                  <w:tcW w:w="861" w:type="pct"/>
                  <w:tcBorders>
                    <w:right w:val="single" w:color="auto" w:sz="4" w:space="0"/>
                    <w:tl2br w:val="nil"/>
                    <w:tr2bl w:val="nil"/>
                  </w:tcBorders>
                  <w:noWrap w:val="0"/>
                  <w:vAlign w:val="center"/>
                </w:tcPr>
                <w:p w14:paraId="5B2A17AC">
                  <w:pPr>
                    <w:adjustRightInd w:val="0"/>
                    <w:snapToGrid w:val="0"/>
                    <w:jc w:val="center"/>
                    <w:rPr>
                      <w:sz w:val="21"/>
                      <w:szCs w:val="21"/>
                    </w:rPr>
                  </w:pPr>
                  <w:r>
                    <w:rPr>
                      <w:sz w:val="21"/>
                      <w:szCs w:val="21"/>
                    </w:rPr>
                    <w:t>达标</w:t>
                  </w:r>
                </w:p>
              </w:tc>
            </w:tr>
            <w:tr w14:paraId="0792C5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346" w:type="pct"/>
                  <w:tcBorders>
                    <w:left w:val="single" w:color="auto" w:sz="4" w:space="0"/>
                    <w:tl2br w:val="nil"/>
                    <w:tr2bl w:val="nil"/>
                  </w:tcBorders>
                  <w:noWrap w:val="0"/>
                  <w:vAlign w:val="center"/>
                </w:tcPr>
                <w:p w14:paraId="410F0ACA">
                  <w:pPr>
                    <w:adjustRightInd w:val="0"/>
                    <w:snapToGrid w:val="0"/>
                    <w:jc w:val="center"/>
                    <w:rPr>
                      <w:sz w:val="21"/>
                      <w:szCs w:val="21"/>
                    </w:rPr>
                  </w:pPr>
                  <w:r>
                    <w:rPr>
                      <w:sz w:val="21"/>
                      <w:szCs w:val="21"/>
                    </w:rPr>
                    <w:t>2#</w:t>
                  </w:r>
                </w:p>
              </w:tc>
              <w:tc>
                <w:tcPr>
                  <w:tcW w:w="687" w:type="pct"/>
                  <w:tcBorders>
                    <w:tl2br w:val="nil"/>
                    <w:tr2bl w:val="nil"/>
                  </w:tcBorders>
                  <w:noWrap w:val="0"/>
                  <w:vAlign w:val="center"/>
                </w:tcPr>
                <w:p w14:paraId="287A19A7">
                  <w:pPr>
                    <w:adjustRightInd w:val="0"/>
                    <w:snapToGrid w:val="0"/>
                    <w:jc w:val="center"/>
                    <w:rPr>
                      <w:rFonts w:hint="default" w:eastAsia="宋体"/>
                      <w:sz w:val="21"/>
                      <w:szCs w:val="21"/>
                      <w:lang w:val="en-US" w:eastAsia="zh-CN"/>
                    </w:rPr>
                  </w:pPr>
                  <w:r>
                    <w:rPr>
                      <w:rFonts w:hint="eastAsia"/>
                      <w:sz w:val="21"/>
                      <w:szCs w:val="21"/>
                      <w:lang w:val="en-US" w:eastAsia="zh-CN"/>
                    </w:rPr>
                    <w:t>厂界南</w:t>
                  </w:r>
                </w:p>
              </w:tc>
              <w:tc>
                <w:tcPr>
                  <w:tcW w:w="689" w:type="pct"/>
                  <w:tcBorders>
                    <w:tl2br w:val="nil"/>
                    <w:tr2bl w:val="nil"/>
                  </w:tcBorders>
                  <w:noWrap w:val="0"/>
                  <w:vAlign w:val="center"/>
                </w:tcPr>
                <w:p w14:paraId="49573995">
                  <w:pPr>
                    <w:adjustRightInd w:val="0"/>
                    <w:snapToGrid w:val="0"/>
                    <w:jc w:val="center"/>
                    <w:rPr>
                      <w:rFonts w:hint="default" w:eastAsia="宋体"/>
                      <w:sz w:val="21"/>
                      <w:szCs w:val="21"/>
                      <w:lang w:val="en-US" w:eastAsia="zh-CN"/>
                    </w:rPr>
                  </w:pPr>
                  <w:r>
                    <w:rPr>
                      <w:rFonts w:hint="eastAsia"/>
                      <w:sz w:val="21"/>
                      <w:szCs w:val="21"/>
                      <w:lang w:val="en-US" w:eastAsia="zh-CN"/>
                    </w:rPr>
                    <w:t>40.99</w:t>
                  </w:r>
                </w:p>
              </w:tc>
              <w:tc>
                <w:tcPr>
                  <w:tcW w:w="689" w:type="pct"/>
                  <w:tcBorders>
                    <w:tl2br w:val="nil"/>
                    <w:tr2bl w:val="nil"/>
                  </w:tcBorders>
                  <w:noWrap w:val="0"/>
                  <w:vAlign w:val="center"/>
                </w:tcPr>
                <w:p w14:paraId="54BEAA87">
                  <w:pPr>
                    <w:adjustRightInd w:val="0"/>
                    <w:snapToGrid w:val="0"/>
                    <w:spacing w:line="240" w:lineRule="auto"/>
                    <w:jc w:val="center"/>
                    <w:rPr>
                      <w:rFonts w:hint="eastAsia"/>
                      <w:sz w:val="21"/>
                      <w:szCs w:val="21"/>
                      <w:lang w:val="en-US" w:eastAsia="zh-CN"/>
                    </w:rPr>
                  </w:pPr>
                  <w:r>
                    <w:rPr>
                      <w:rFonts w:hint="eastAsia"/>
                      <w:highlight w:val="none"/>
                    </w:rPr>
                    <w:t>53.63</w:t>
                  </w:r>
                </w:p>
              </w:tc>
              <w:tc>
                <w:tcPr>
                  <w:tcW w:w="689" w:type="pct"/>
                  <w:tcBorders>
                    <w:tl2br w:val="nil"/>
                    <w:tr2bl w:val="nil"/>
                  </w:tcBorders>
                  <w:noWrap w:val="0"/>
                  <w:vAlign w:val="center"/>
                </w:tcPr>
                <w:p w14:paraId="57693019">
                  <w:pPr>
                    <w:adjustRightInd w:val="0"/>
                    <w:snapToGrid w:val="0"/>
                    <w:spacing w:line="240" w:lineRule="auto"/>
                    <w:jc w:val="center"/>
                    <w:rPr>
                      <w:rFonts w:hint="eastAsia"/>
                      <w:sz w:val="21"/>
                      <w:szCs w:val="21"/>
                      <w:lang w:val="en-US" w:eastAsia="zh-CN"/>
                    </w:rPr>
                  </w:pPr>
                  <w:r>
                    <w:rPr>
                      <w:rFonts w:hint="eastAsia"/>
                      <w:highlight w:val="none"/>
                    </w:rPr>
                    <w:t>53.63</w:t>
                  </w:r>
                </w:p>
              </w:tc>
              <w:tc>
                <w:tcPr>
                  <w:tcW w:w="518" w:type="pct"/>
                  <w:tcBorders>
                    <w:tl2br w:val="nil"/>
                    <w:tr2bl w:val="nil"/>
                  </w:tcBorders>
                  <w:noWrap w:val="0"/>
                  <w:vAlign w:val="center"/>
                </w:tcPr>
                <w:p w14:paraId="7E162ABA">
                  <w:pPr>
                    <w:adjustRightInd w:val="0"/>
                    <w:snapToGrid w:val="0"/>
                    <w:jc w:val="center"/>
                    <w:rPr>
                      <w:sz w:val="21"/>
                      <w:szCs w:val="21"/>
                    </w:rPr>
                  </w:pPr>
                  <w:r>
                    <w:rPr>
                      <w:rFonts w:hint="eastAsia"/>
                      <w:sz w:val="21"/>
                      <w:szCs w:val="21"/>
                    </w:rPr>
                    <w:t>65</w:t>
                  </w:r>
                </w:p>
              </w:tc>
              <w:tc>
                <w:tcPr>
                  <w:tcW w:w="518" w:type="pct"/>
                  <w:tcBorders>
                    <w:tl2br w:val="nil"/>
                    <w:tr2bl w:val="nil"/>
                  </w:tcBorders>
                  <w:noWrap w:val="0"/>
                  <w:vAlign w:val="center"/>
                </w:tcPr>
                <w:p w14:paraId="089B076B">
                  <w:pPr>
                    <w:adjustRightInd w:val="0"/>
                    <w:snapToGrid w:val="0"/>
                    <w:jc w:val="center"/>
                    <w:rPr>
                      <w:sz w:val="21"/>
                      <w:szCs w:val="21"/>
                    </w:rPr>
                  </w:pPr>
                  <w:r>
                    <w:rPr>
                      <w:rFonts w:hint="eastAsia"/>
                      <w:sz w:val="21"/>
                      <w:szCs w:val="21"/>
                    </w:rPr>
                    <w:t>55</w:t>
                  </w:r>
                </w:p>
              </w:tc>
              <w:tc>
                <w:tcPr>
                  <w:tcW w:w="861" w:type="pct"/>
                  <w:tcBorders>
                    <w:right w:val="single" w:color="auto" w:sz="4" w:space="0"/>
                    <w:tl2br w:val="nil"/>
                    <w:tr2bl w:val="nil"/>
                  </w:tcBorders>
                  <w:noWrap w:val="0"/>
                  <w:vAlign w:val="center"/>
                </w:tcPr>
                <w:p w14:paraId="66189300">
                  <w:pPr>
                    <w:adjustRightInd w:val="0"/>
                    <w:snapToGrid w:val="0"/>
                    <w:jc w:val="center"/>
                    <w:rPr>
                      <w:sz w:val="21"/>
                      <w:szCs w:val="21"/>
                    </w:rPr>
                  </w:pPr>
                  <w:r>
                    <w:rPr>
                      <w:sz w:val="21"/>
                      <w:szCs w:val="21"/>
                    </w:rPr>
                    <w:t>达标</w:t>
                  </w:r>
                </w:p>
              </w:tc>
            </w:tr>
            <w:tr w14:paraId="280B44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46" w:type="pct"/>
                  <w:tcBorders>
                    <w:left w:val="single" w:color="auto" w:sz="4" w:space="0"/>
                    <w:tl2br w:val="nil"/>
                    <w:tr2bl w:val="nil"/>
                  </w:tcBorders>
                  <w:noWrap w:val="0"/>
                  <w:vAlign w:val="center"/>
                </w:tcPr>
                <w:p w14:paraId="12CEB192">
                  <w:pPr>
                    <w:adjustRightInd w:val="0"/>
                    <w:snapToGrid w:val="0"/>
                    <w:jc w:val="center"/>
                    <w:rPr>
                      <w:sz w:val="21"/>
                      <w:szCs w:val="21"/>
                    </w:rPr>
                  </w:pPr>
                  <w:r>
                    <w:rPr>
                      <w:sz w:val="21"/>
                      <w:szCs w:val="21"/>
                    </w:rPr>
                    <w:t>3#</w:t>
                  </w:r>
                </w:p>
              </w:tc>
              <w:tc>
                <w:tcPr>
                  <w:tcW w:w="687" w:type="pct"/>
                  <w:tcBorders>
                    <w:tl2br w:val="nil"/>
                    <w:tr2bl w:val="nil"/>
                  </w:tcBorders>
                  <w:noWrap w:val="0"/>
                  <w:vAlign w:val="center"/>
                </w:tcPr>
                <w:p w14:paraId="0184AA5B">
                  <w:pPr>
                    <w:adjustRightInd w:val="0"/>
                    <w:snapToGrid w:val="0"/>
                    <w:jc w:val="center"/>
                    <w:rPr>
                      <w:sz w:val="21"/>
                      <w:szCs w:val="21"/>
                    </w:rPr>
                  </w:pPr>
                  <w:r>
                    <w:rPr>
                      <w:rFonts w:hint="eastAsia"/>
                      <w:sz w:val="21"/>
                      <w:szCs w:val="21"/>
                      <w:lang w:val="en-US" w:eastAsia="zh-CN"/>
                    </w:rPr>
                    <w:t>厂界西</w:t>
                  </w:r>
                </w:p>
              </w:tc>
              <w:tc>
                <w:tcPr>
                  <w:tcW w:w="689" w:type="pct"/>
                  <w:tcBorders>
                    <w:tl2br w:val="nil"/>
                    <w:tr2bl w:val="nil"/>
                  </w:tcBorders>
                  <w:noWrap w:val="0"/>
                  <w:vAlign w:val="center"/>
                </w:tcPr>
                <w:p w14:paraId="01189F44">
                  <w:pPr>
                    <w:adjustRightInd w:val="0"/>
                    <w:snapToGrid w:val="0"/>
                    <w:jc w:val="center"/>
                    <w:rPr>
                      <w:rFonts w:hint="default" w:eastAsia="宋体"/>
                      <w:sz w:val="21"/>
                      <w:szCs w:val="21"/>
                      <w:lang w:val="en-US" w:eastAsia="zh-CN"/>
                    </w:rPr>
                  </w:pPr>
                  <w:r>
                    <w:rPr>
                      <w:rFonts w:hint="eastAsia"/>
                      <w:sz w:val="21"/>
                      <w:szCs w:val="21"/>
                      <w:lang w:val="en-US" w:eastAsia="zh-CN"/>
                    </w:rPr>
                    <w:t>42.48</w:t>
                  </w:r>
                </w:p>
              </w:tc>
              <w:tc>
                <w:tcPr>
                  <w:tcW w:w="689" w:type="pct"/>
                  <w:tcBorders>
                    <w:tl2br w:val="nil"/>
                    <w:tr2bl w:val="nil"/>
                  </w:tcBorders>
                  <w:noWrap w:val="0"/>
                  <w:vAlign w:val="center"/>
                </w:tcPr>
                <w:p w14:paraId="57C471CA">
                  <w:pPr>
                    <w:adjustRightInd w:val="0"/>
                    <w:snapToGrid w:val="0"/>
                    <w:spacing w:line="240" w:lineRule="auto"/>
                    <w:jc w:val="center"/>
                    <w:rPr>
                      <w:rFonts w:hint="eastAsia"/>
                      <w:sz w:val="21"/>
                      <w:szCs w:val="21"/>
                      <w:lang w:val="en-US" w:eastAsia="zh-CN"/>
                    </w:rPr>
                  </w:pPr>
                  <w:r>
                    <w:rPr>
                      <w:rFonts w:hint="eastAsia"/>
                      <w:highlight w:val="none"/>
                    </w:rPr>
                    <w:t>54.96</w:t>
                  </w:r>
                </w:p>
              </w:tc>
              <w:tc>
                <w:tcPr>
                  <w:tcW w:w="689" w:type="pct"/>
                  <w:tcBorders>
                    <w:tl2br w:val="nil"/>
                    <w:tr2bl w:val="nil"/>
                  </w:tcBorders>
                  <w:noWrap w:val="0"/>
                  <w:vAlign w:val="center"/>
                </w:tcPr>
                <w:p w14:paraId="7888CE6B">
                  <w:pPr>
                    <w:adjustRightInd w:val="0"/>
                    <w:snapToGrid w:val="0"/>
                    <w:spacing w:line="240" w:lineRule="auto"/>
                    <w:jc w:val="center"/>
                    <w:rPr>
                      <w:rFonts w:hint="eastAsia"/>
                      <w:sz w:val="21"/>
                      <w:szCs w:val="21"/>
                      <w:lang w:val="en-US" w:eastAsia="zh-CN"/>
                    </w:rPr>
                  </w:pPr>
                  <w:r>
                    <w:rPr>
                      <w:rFonts w:hint="eastAsia"/>
                      <w:highlight w:val="none"/>
                    </w:rPr>
                    <w:t>54.96</w:t>
                  </w:r>
                </w:p>
              </w:tc>
              <w:tc>
                <w:tcPr>
                  <w:tcW w:w="518" w:type="pct"/>
                  <w:tcBorders>
                    <w:tl2br w:val="nil"/>
                    <w:tr2bl w:val="nil"/>
                  </w:tcBorders>
                  <w:noWrap w:val="0"/>
                  <w:vAlign w:val="center"/>
                </w:tcPr>
                <w:p w14:paraId="52C42B6A">
                  <w:pPr>
                    <w:adjustRightInd w:val="0"/>
                    <w:snapToGrid w:val="0"/>
                    <w:jc w:val="center"/>
                    <w:rPr>
                      <w:sz w:val="21"/>
                      <w:szCs w:val="21"/>
                    </w:rPr>
                  </w:pPr>
                  <w:r>
                    <w:rPr>
                      <w:rFonts w:hint="eastAsia"/>
                      <w:sz w:val="21"/>
                      <w:szCs w:val="21"/>
                    </w:rPr>
                    <w:t>65</w:t>
                  </w:r>
                </w:p>
              </w:tc>
              <w:tc>
                <w:tcPr>
                  <w:tcW w:w="518" w:type="pct"/>
                  <w:tcBorders>
                    <w:tl2br w:val="nil"/>
                    <w:tr2bl w:val="nil"/>
                  </w:tcBorders>
                  <w:noWrap w:val="0"/>
                  <w:vAlign w:val="center"/>
                </w:tcPr>
                <w:p w14:paraId="18F4B83D">
                  <w:pPr>
                    <w:adjustRightInd w:val="0"/>
                    <w:snapToGrid w:val="0"/>
                    <w:jc w:val="center"/>
                    <w:rPr>
                      <w:sz w:val="21"/>
                      <w:szCs w:val="21"/>
                    </w:rPr>
                  </w:pPr>
                  <w:r>
                    <w:rPr>
                      <w:rFonts w:hint="eastAsia"/>
                      <w:sz w:val="21"/>
                      <w:szCs w:val="21"/>
                    </w:rPr>
                    <w:t>55</w:t>
                  </w:r>
                </w:p>
              </w:tc>
              <w:tc>
                <w:tcPr>
                  <w:tcW w:w="861" w:type="pct"/>
                  <w:tcBorders>
                    <w:right w:val="single" w:color="auto" w:sz="4" w:space="0"/>
                    <w:tl2br w:val="nil"/>
                    <w:tr2bl w:val="nil"/>
                  </w:tcBorders>
                  <w:noWrap w:val="0"/>
                  <w:vAlign w:val="center"/>
                </w:tcPr>
                <w:p w14:paraId="64E6A691">
                  <w:pPr>
                    <w:adjustRightInd w:val="0"/>
                    <w:snapToGrid w:val="0"/>
                    <w:jc w:val="center"/>
                    <w:rPr>
                      <w:sz w:val="21"/>
                      <w:szCs w:val="21"/>
                    </w:rPr>
                  </w:pPr>
                  <w:r>
                    <w:rPr>
                      <w:sz w:val="21"/>
                      <w:szCs w:val="21"/>
                    </w:rPr>
                    <w:t>达标</w:t>
                  </w:r>
                </w:p>
              </w:tc>
            </w:tr>
            <w:tr w14:paraId="6BF0F1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46" w:type="pct"/>
                  <w:tcBorders>
                    <w:left w:val="single" w:color="auto" w:sz="4" w:space="0"/>
                    <w:bottom w:val="single" w:color="auto" w:sz="4" w:space="0"/>
                    <w:tl2br w:val="nil"/>
                    <w:tr2bl w:val="nil"/>
                  </w:tcBorders>
                  <w:noWrap w:val="0"/>
                  <w:vAlign w:val="center"/>
                </w:tcPr>
                <w:p w14:paraId="0C7F1770">
                  <w:pPr>
                    <w:adjustRightInd w:val="0"/>
                    <w:snapToGrid w:val="0"/>
                    <w:jc w:val="center"/>
                    <w:rPr>
                      <w:sz w:val="21"/>
                      <w:szCs w:val="21"/>
                    </w:rPr>
                  </w:pPr>
                  <w:r>
                    <w:rPr>
                      <w:sz w:val="21"/>
                      <w:szCs w:val="21"/>
                    </w:rPr>
                    <w:t>4#</w:t>
                  </w:r>
                </w:p>
              </w:tc>
              <w:tc>
                <w:tcPr>
                  <w:tcW w:w="687" w:type="pct"/>
                  <w:tcBorders>
                    <w:bottom w:val="single" w:color="auto" w:sz="4" w:space="0"/>
                    <w:tl2br w:val="nil"/>
                    <w:tr2bl w:val="nil"/>
                  </w:tcBorders>
                  <w:noWrap w:val="0"/>
                  <w:vAlign w:val="center"/>
                </w:tcPr>
                <w:p w14:paraId="364E8123">
                  <w:pPr>
                    <w:adjustRightInd w:val="0"/>
                    <w:snapToGrid w:val="0"/>
                    <w:jc w:val="center"/>
                    <w:rPr>
                      <w:sz w:val="21"/>
                      <w:szCs w:val="21"/>
                    </w:rPr>
                  </w:pPr>
                  <w:r>
                    <w:rPr>
                      <w:rFonts w:hint="eastAsia"/>
                      <w:sz w:val="21"/>
                      <w:szCs w:val="21"/>
                      <w:lang w:val="en-US" w:eastAsia="zh-CN"/>
                    </w:rPr>
                    <w:t>厂界北</w:t>
                  </w:r>
                </w:p>
              </w:tc>
              <w:tc>
                <w:tcPr>
                  <w:tcW w:w="689" w:type="pct"/>
                  <w:tcBorders>
                    <w:bottom w:val="single" w:color="auto" w:sz="4" w:space="0"/>
                    <w:tl2br w:val="nil"/>
                    <w:tr2bl w:val="nil"/>
                  </w:tcBorders>
                  <w:noWrap w:val="0"/>
                  <w:vAlign w:val="center"/>
                </w:tcPr>
                <w:p w14:paraId="55921EFC">
                  <w:pPr>
                    <w:adjustRightInd w:val="0"/>
                    <w:snapToGrid w:val="0"/>
                    <w:jc w:val="center"/>
                    <w:rPr>
                      <w:rFonts w:hint="default" w:eastAsia="宋体"/>
                      <w:sz w:val="21"/>
                      <w:szCs w:val="21"/>
                      <w:lang w:val="en-US" w:eastAsia="zh-CN"/>
                    </w:rPr>
                  </w:pPr>
                  <w:r>
                    <w:rPr>
                      <w:rFonts w:hint="eastAsia"/>
                      <w:sz w:val="21"/>
                      <w:szCs w:val="21"/>
                      <w:lang w:val="en-US" w:eastAsia="zh-CN"/>
                    </w:rPr>
                    <w:t>43.08</w:t>
                  </w:r>
                </w:p>
              </w:tc>
              <w:tc>
                <w:tcPr>
                  <w:tcW w:w="689" w:type="pct"/>
                  <w:tcBorders>
                    <w:bottom w:val="single" w:color="auto" w:sz="4" w:space="0"/>
                    <w:tl2br w:val="nil"/>
                    <w:tr2bl w:val="nil"/>
                  </w:tcBorders>
                  <w:noWrap w:val="0"/>
                  <w:vAlign w:val="center"/>
                </w:tcPr>
                <w:p w14:paraId="5CDE4830">
                  <w:pPr>
                    <w:adjustRightInd w:val="0"/>
                    <w:snapToGrid w:val="0"/>
                    <w:spacing w:line="240" w:lineRule="auto"/>
                    <w:jc w:val="center"/>
                    <w:rPr>
                      <w:rFonts w:hint="eastAsia"/>
                      <w:sz w:val="21"/>
                      <w:szCs w:val="21"/>
                      <w:lang w:val="en-US" w:eastAsia="zh-CN"/>
                    </w:rPr>
                  </w:pPr>
                  <w:r>
                    <w:rPr>
                      <w:rFonts w:hint="eastAsia"/>
                      <w:highlight w:val="none"/>
                    </w:rPr>
                    <w:t>51.75</w:t>
                  </w:r>
                </w:p>
              </w:tc>
              <w:tc>
                <w:tcPr>
                  <w:tcW w:w="689" w:type="pct"/>
                  <w:tcBorders>
                    <w:bottom w:val="single" w:color="auto" w:sz="4" w:space="0"/>
                    <w:tl2br w:val="nil"/>
                    <w:tr2bl w:val="nil"/>
                  </w:tcBorders>
                  <w:noWrap w:val="0"/>
                  <w:vAlign w:val="center"/>
                </w:tcPr>
                <w:p w14:paraId="18717A62">
                  <w:pPr>
                    <w:adjustRightInd w:val="0"/>
                    <w:snapToGrid w:val="0"/>
                    <w:spacing w:line="240" w:lineRule="auto"/>
                    <w:jc w:val="center"/>
                    <w:rPr>
                      <w:rFonts w:hint="eastAsia"/>
                      <w:sz w:val="21"/>
                      <w:szCs w:val="21"/>
                      <w:lang w:val="en-US" w:eastAsia="zh-CN"/>
                    </w:rPr>
                  </w:pPr>
                  <w:r>
                    <w:rPr>
                      <w:rFonts w:hint="eastAsia"/>
                      <w:highlight w:val="none"/>
                    </w:rPr>
                    <w:t>51.75</w:t>
                  </w:r>
                </w:p>
              </w:tc>
              <w:tc>
                <w:tcPr>
                  <w:tcW w:w="518" w:type="pct"/>
                  <w:tcBorders>
                    <w:bottom w:val="single" w:color="auto" w:sz="4" w:space="0"/>
                    <w:tl2br w:val="nil"/>
                    <w:tr2bl w:val="nil"/>
                  </w:tcBorders>
                  <w:noWrap w:val="0"/>
                  <w:vAlign w:val="center"/>
                </w:tcPr>
                <w:p w14:paraId="4650B255">
                  <w:pPr>
                    <w:adjustRightInd w:val="0"/>
                    <w:snapToGrid w:val="0"/>
                    <w:jc w:val="center"/>
                    <w:rPr>
                      <w:sz w:val="21"/>
                      <w:szCs w:val="21"/>
                    </w:rPr>
                  </w:pPr>
                  <w:r>
                    <w:rPr>
                      <w:rFonts w:hint="eastAsia"/>
                      <w:sz w:val="21"/>
                      <w:szCs w:val="21"/>
                    </w:rPr>
                    <w:t>65</w:t>
                  </w:r>
                </w:p>
              </w:tc>
              <w:tc>
                <w:tcPr>
                  <w:tcW w:w="518" w:type="pct"/>
                  <w:tcBorders>
                    <w:bottom w:val="single" w:color="auto" w:sz="4" w:space="0"/>
                    <w:tl2br w:val="nil"/>
                    <w:tr2bl w:val="nil"/>
                  </w:tcBorders>
                  <w:noWrap w:val="0"/>
                  <w:vAlign w:val="center"/>
                </w:tcPr>
                <w:p w14:paraId="64D434A8">
                  <w:pPr>
                    <w:adjustRightInd w:val="0"/>
                    <w:snapToGrid w:val="0"/>
                    <w:jc w:val="center"/>
                    <w:rPr>
                      <w:sz w:val="21"/>
                      <w:szCs w:val="21"/>
                    </w:rPr>
                  </w:pPr>
                  <w:r>
                    <w:rPr>
                      <w:rFonts w:hint="eastAsia"/>
                      <w:sz w:val="21"/>
                      <w:szCs w:val="21"/>
                    </w:rPr>
                    <w:t>55</w:t>
                  </w:r>
                </w:p>
              </w:tc>
              <w:tc>
                <w:tcPr>
                  <w:tcW w:w="861" w:type="pct"/>
                  <w:tcBorders>
                    <w:bottom w:val="single" w:color="auto" w:sz="4" w:space="0"/>
                    <w:right w:val="single" w:color="auto" w:sz="4" w:space="0"/>
                    <w:tl2br w:val="nil"/>
                    <w:tr2bl w:val="nil"/>
                  </w:tcBorders>
                  <w:noWrap w:val="0"/>
                  <w:vAlign w:val="center"/>
                </w:tcPr>
                <w:p w14:paraId="71EE0572">
                  <w:pPr>
                    <w:adjustRightInd w:val="0"/>
                    <w:snapToGrid w:val="0"/>
                    <w:jc w:val="center"/>
                    <w:rPr>
                      <w:sz w:val="21"/>
                      <w:szCs w:val="21"/>
                    </w:rPr>
                  </w:pPr>
                  <w:r>
                    <w:rPr>
                      <w:sz w:val="21"/>
                      <w:szCs w:val="21"/>
                    </w:rPr>
                    <w:t>达标</w:t>
                  </w:r>
                </w:p>
              </w:tc>
            </w:tr>
          </w:tbl>
          <w:p w14:paraId="21AAA14F">
            <w:pPr>
              <w:snapToGrid w:val="0"/>
              <w:spacing w:line="360" w:lineRule="auto"/>
              <w:ind w:firstLine="480" w:firstLineChars="200"/>
              <w:rPr>
                <w:rFonts w:hint="eastAsia"/>
                <w:sz w:val="24"/>
                <w:szCs w:val="20"/>
              </w:rPr>
            </w:pPr>
            <w:r>
              <w:rPr>
                <w:sz w:val="24"/>
                <w:szCs w:val="20"/>
              </w:rPr>
              <w:t>由预测结果可知，在正常工况下，项目生产车间的主要噪声源对厂界噪声</w:t>
            </w:r>
            <w:r>
              <w:rPr>
                <w:rFonts w:hint="eastAsia"/>
                <w:sz w:val="24"/>
                <w:szCs w:val="20"/>
              </w:rPr>
              <w:t>的</w:t>
            </w:r>
            <w:r>
              <w:rPr>
                <w:sz w:val="24"/>
                <w:szCs w:val="20"/>
              </w:rPr>
              <w:t>贡献值较小，能够满足《工业企业厂界环境噪声排放标准》中的3类标准要求。本项目周围50</w:t>
            </w:r>
            <w:r>
              <w:rPr>
                <w:rFonts w:hint="eastAsia"/>
                <w:sz w:val="24"/>
                <w:szCs w:val="20"/>
              </w:rPr>
              <w:t>米</w:t>
            </w:r>
            <w:r>
              <w:rPr>
                <w:sz w:val="24"/>
                <w:szCs w:val="20"/>
              </w:rPr>
              <w:t>范围内无</w:t>
            </w:r>
            <w:r>
              <w:rPr>
                <w:rFonts w:hint="eastAsia"/>
                <w:sz w:val="24"/>
                <w:szCs w:val="20"/>
              </w:rPr>
              <w:t>噪声</w:t>
            </w:r>
            <w:r>
              <w:rPr>
                <w:sz w:val="24"/>
                <w:szCs w:val="20"/>
              </w:rPr>
              <w:t>环境敏感目标，为尽可能降低</w:t>
            </w:r>
            <w:r>
              <w:rPr>
                <w:rFonts w:hint="eastAsia"/>
                <w:sz w:val="24"/>
                <w:szCs w:val="20"/>
              </w:rPr>
              <w:t>噪声对</w:t>
            </w:r>
            <w:r>
              <w:rPr>
                <w:sz w:val="24"/>
                <w:szCs w:val="20"/>
              </w:rPr>
              <w:t>项目周边环境的影响，本次环评建议建设单位采取以下噪声污染防治措施</w:t>
            </w:r>
            <w:r>
              <w:rPr>
                <w:rFonts w:hint="eastAsia"/>
                <w:sz w:val="24"/>
                <w:szCs w:val="20"/>
              </w:rPr>
              <w:t>。</w:t>
            </w:r>
          </w:p>
          <w:p w14:paraId="01F143A0">
            <w:pPr>
              <w:snapToGrid w:val="0"/>
              <w:spacing w:line="360" w:lineRule="auto"/>
              <w:ind w:firstLine="480" w:firstLineChars="200"/>
              <w:rPr>
                <w:bCs/>
                <w:sz w:val="24"/>
                <w:szCs w:val="20"/>
              </w:rPr>
            </w:pPr>
            <w:r>
              <w:rPr>
                <w:rFonts w:hint="eastAsia" w:ascii="宋体" w:hAnsi="宋体" w:cs="宋体"/>
                <w:bCs/>
                <w:sz w:val="24"/>
                <w:szCs w:val="20"/>
              </w:rPr>
              <w:t>①</w:t>
            </w:r>
            <w:r>
              <w:rPr>
                <w:bCs/>
                <w:sz w:val="24"/>
                <w:szCs w:val="20"/>
              </w:rPr>
              <w:t>在设备选型时选用低噪声设备，从源头降低噪声源强；</w:t>
            </w:r>
          </w:p>
          <w:p w14:paraId="1A02853C">
            <w:pPr>
              <w:snapToGrid w:val="0"/>
              <w:spacing w:line="360" w:lineRule="auto"/>
              <w:ind w:firstLine="480" w:firstLineChars="200"/>
              <w:rPr>
                <w:bCs/>
                <w:sz w:val="24"/>
                <w:szCs w:val="20"/>
              </w:rPr>
            </w:pPr>
            <w:r>
              <w:rPr>
                <w:rFonts w:hint="eastAsia" w:ascii="宋体" w:hAnsi="宋体" w:cs="宋体"/>
                <w:bCs/>
                <w:sz w:val="24"/>
                <w:szCs w:val="20"/>
              </w:rPr>
              <w:t>②</w:t>
            </w:r>
            <w:r>
              <w:rPr>
                <w:bCs/>
                <w:sz w:val="24"/>
                <w:szCs w:val="20"/>
              </w:rPr>
              <w:t>生产车间为单独全密闭建筑，加强门窗的隔声设计；</w:t>
            </w:r>
          </w:p>
          <w:p w14:paraId="4D64BBAB">
            <w:pPr>
              <w:snapToGrid w:val="0"/>
              <w:spacing w:line="360" w:lineRule="auto"/>
              <w:ind w:firstLine="480" w:firstLineChars="200"/>
              <w:rPr>
                <w:bCs/>
                <w:sz w:val="24"/>
                <w:szCs w:val="20"/>
              </w:rPr>
            </w:pPr>
            <w:r>
              <w:rPr>
                <w:rFonts w:hint="eastAsia" w:ascii="宋体" w:hAnsi="宋体" w:cs="宋体"/>
                <w:bCs/>
                <w:sz w:val="24"/>
                <w:szCs w:val="20"/>
              </w:rPr>
              <w:t>③</w:t>
            </w:r>
            <w:r>
              <w:rPr>
                <w:bCs/>
                <w:sz w:val="24"/>
                <w:szCs w:val="20"/>
              </w:rPr>
              <w:t>在总图上优化布置，在满足工艺的前提下，尽可能将高噪声设备布置在厂区西部并充分利用建筑隔声，以减少对外部环境的影响；</w:t>
            </w:r>
          </w:p>
          <w:p w14:paraId="4030CB9A">
            <w:pPr>
              <w:snapToGrid w:val="0"/>
              <w:spacing w:line="360" w:lineRule="auto"/>
              <w:ind w:firstLine="480" w:firstLineChars="200"/>
              <w:rPr>
                <w:rFonts w:hint="eastAsia"/>
                <w:sz w:val="24"/>
                <w:szCs w:val="20"/>
              </w:rPr>
            </w:pPr>
            <w:r>
              <w:rPr>
                <w:rFonts w:hint="eastAsia" w:ascii="宋体" w:hAnsi="宋体" w:cs="宋体"/>
                <w:bCs/>
                <w:sz w:val="24"/>
                <w:szCs w:val="20"/>
              </w:rPr>
              <w:t>④</w:t>
            </w:r>
            <w:r>
              <w:rPr>
                <w:sz w:val="24"/>
                <w:szCs w:val="20"/>
              </w:rPr>
              <w:t>优化产噪设备所在厂房的门窗设置数量、方位</w:t>
            </w:r>
            <w:r>
              <w:rPr>
                <w:rFonts w:hint="eastAsia"/>
                <w:sz w:val="24"/>
                <w:szCs w:val="20"/>
                <w:lang w:eastAsia="zh-CN"/>
              </w:rPr>
              <w:t>等</w:t>
            </w:r>
            <w:r>
              <w:rPr>
                <w:sz w:val="24"/>
                <w:szCs w:val="20"/>
              </w:rPr>
              <w:t>；</w:t>
            </w:r>
          </w:p>
          <w:p w14:paraId="121E174B">
            <w:pPr>
              <w:snapToGrid w:val="0"/>
              <w:spacing w:line="360" w:lineRule="auto"/>
              <w:ind w:firstLine="480" w:firstLineChars="200"/>
              <w:rPr>
                <w:sz w:val="24"/>
                <w:szCs w:val="20"/>
              </w:rPr>
            </w:pPr>
            <w:r>
              <w:rPr>
                <w:rFonts w:hint="eastAsia" w:ascii="宋体" w:hAnsi="宋体" w:cs="宋体"/>
                <w:sz w:val="24"/>
                <w:szCs w:val="20"/>
              </w:rPr>
              <w:t>⑤</w:t>
            </w:r>
            <w:r>
              <w:rPr>
                <w:sz w:val="24"/>
                <w:szCs w:val="20"/>
              </w:rPr>
              <w:t>加强设备的保养和日常维护，确保项目内设备处于良好的工况</w:t>
            </w:r>
            <w:r>
              <w:rPr>
                <w:rFonts w:hint="eastAsia"/>
                <w:sz w:val="24"/>
                <w:szCs w:val="20"/>
              </w:rPr>
              <w:t>下</w:t>
            </w:r>
            <w:r>
              <w:rPr>
                <w:sz w:val="24"/>
                <w:szCs w:val="20"/>
              </w:rPr>
              <w:t>进行生产；</w:t>
            </w:r>
          </w:p>
          <w:p w14:paraId="3D977A6C">
            <w:pPr>
              <w:snapToGrid w:val="0"/>
              <w:spacing w:line="360" w:lineRule="auto"/>
              <w:ind w:firstLine="480" w:firstLineChars="200"/>
              <w:rPr>
                <w:sz w:val="24"/>
                <w:szCs w:val="20"/>
              </w:rPr>
            </w:pPr>
            <w:r>
              <w:rPr>
                <w:rFonts w:hint="eastAsia" w:ascii="宋体" w:hAnsi="宋体" w:cs="宋体"/>
                <w:sz w:val="24"/>
                <w:szCs w:val="20"/>
              </w:rPr>
              <w:t>⑥</w:t>
            </w:r>
            <w:r>
              <w:rPr>
                <w:sz w:val="24"/>
                <w:szCs w:val="20"/>
              </w:rPr>
              <w:t>加强对进出项目车辆的管理，禁鸣喇叭，尽量减少机动车频繁启</w:t>
            </w:r>
            <w:r>
              <w:rPr>
                <w:rFonts w:hint="eastAsia"/>
                <w:sz w:val="24"/>
                <w:szCs w:val="20"/>
                <w:lang w:eastAsia="zh-CN"/>
              </w:rPr>
              <w:t>动</w:t>
            </w:r>
            <w:r>
              <w:rPr>
                <w:sz w:val="24"/>
                <w:szCs w:val="20"/>
              </w:rPr>
              <w:t>和怠速，规范进入项目内车辆的停车秩序等措施，可以有效降低车辆噪声。</w:t>
            </w:r>
          </w:p>
          <w:p w14:paraId="3EA416AD">
            <w:pPr>
              <w:spacing w:line="360" w:lineRule="auto"/>
              <w:ind w:firstLine="482" w:firstLineChars="200"/>
              <w:rPr>
                <w:rFonts w:ascii="Times New Roman" w:hAnsi="Times New Roman" w:eastAsia="宋体" w:cs="Times New Roman"/>
                <w:b/>
                <w:kern w:val="0"/>
                <w:sz w:val="24"/>
                <w:lang w:bidi="ar"/>
              </w:rPr>
            </w:pPr>
            <w:r>
              <w:rPr>
                <w:rFonts w:hint="eastAsia" w:cs="Times New Roman"/>
                <w:b/>
                <w:kern w:val="0"/>
                <w:sz w:val="24"/>
                <w:lang w:eastAsia="zh-CN" w:bidi="ar"/>
              </w:rPr>
              <w:t>（</w:t>
            </w:r>
            <w:r>
              <w:rPr>
                <w:rFonts w:hint="eastAsia" w:cs="Times New Roman"/>
                <w:b/>
                <w:kern w:val="0"/>
                <w:sz w:val="24"/>
                <w:lang w:val="en-US" w:eastAsia="zh-CN" w:bidi="ar"/>
              </w:rPr>
              <w:t>3</w:t>
            </w:r>
            <w:r>
              <w:rPr>
                <w:rFonts w:hint="eastAsia" w:cs="Times New Roman"/>
                <w:b/>
                <w:kern w:val="0"/>
                <w:sz w:val="24"/>
                <w:lang w:eastAsia="zh-CN" w:bidi="ar"/>
              </w:rPr>
              <w:t>）</w:t>
            </w:r>
            <w:r>
              <w:rPr>
                <w:rFonts w:ascii="Times New Roman" w:hAnsi="Times New Roman" w:eastAsia="宋体" w:cs="Times New Roman"/>
                <w:b/>
                <w:kern w:val="0"/>
                <w:sz w:val="24"/>
                <w:lang w:bidi="ar"/>
              </w:rPr>
              <w:t>噪声监测要求</w:t>
            </w:r>
          </w:p>
          <w:p w14:paraId="756CE9E6">
            <w:pPr>
              <w:widowControl/>
              <w:adjustRightInd w:val="0"/>
              <w:snapToGrid w:val="0"/>
              <w:spacing w:line="360" w:lineRule="auto"/>
              <w:ind w:firstLine="472" w:firstLineChars="200"/>
              <w:rPr>
                <w:color w:val="000000"/>
                <w:spacing w:val="-2"/>
                <w:sz w:val="24"/>
                <w:szCs w:val="21"/>
              </w:rPr>
            </w:pPr>
            <w:r>
              <w:rPr>
                <w:color w:val="000000"/>
                <w:spacing w:val="-2"/>
                <w:sz w:val="24"/>
                <w:szCs w:val="21"/>
              </w:rPr>
              <w:t>根据</w:t>
            </w:r>
            <w:r>
              <w:rPr>
                <w:rFonts w:hint="eastAsia"/>
                <w:color w:val="000000"/>
                <w:sz w:val="24"/>
                <w:szCs w:val="21"/>
                <w:highlight w:val="none"/>
                <w:lang w:bidi="ar"/>
              </w:rPr>
              <w:t>《排污单位自行监测技术指南</w:t>
            </w:r>
            <w:r>
              <w:rPr>
                <w:rFonts w:hint="eastAsia"/>
                <w:color w:val="000000"/>
                <w:sz w:val="24"/>
                <w:szCs w:val="21"/>
                <w:highlight w:val="none"/>
                <w:lang w:val="en-US" w:eastAsia="zh-CN" w:bidi="ar"/>
              </w:rPr>
              <w:t xml:space="preserve"> </w:t>
            </w:r>
            <w:r>
              <w:rPr>
                <w:rFonts w:hint="eastAsia"/>
                <w:color w:val="000000"/>
                <w:sz w:val="24"/>
                <w:szCs w:val="21"/>
                <w:highlight w:val="none"/>
                <w:lang w:bidi="ar"/>
              </w:rPr>
              <w:t>石油化学工业》（HJ947-2018）</w:t>
            </w:r>
            <w:r>
              <w:rPr>
                <w:color w:val="000000"/>
                <w:spacing w:val="-2"/>
                <w:sz w:val="24"/>
                <w:szCs w:val="21"/>
              </w:rPr>
              <w:t>中相关要求制定了本项目监测计划，具体见下表：</w:t>
            </w:r>
          </w:p>
          <w:p w14:paraId="63777023">
            <w:pPr>
              <w:pStyle w:val="111"/>
              <w:snapToGrid w:val="0"/>
              <w:spacing w:line="240" w:lineRule="auto"/>
              <w:ind w:left="0" w:leftChars="0" w:firstLine="0" w:firstLineChars="0"/>
              <w:jc w:val="center"/>
              <w:rPr>
                <w:rFonts w:ascii="Times New Roman" w:hAnsi="Times New Roman" w:eastAsia="宋体" w:cs="Times New Roman"/>
                <w:b/>
                <w:bCs/>
                <w:szCs w:val="24"/>
              </w:rPr>
            </w:pPr>
            <w:r>
              <w:rPr>
                <w:rFonts w:ascii="Times New Roman" w:hAnsi="Times New Roman" w:eastAsia="宋体" w:cs="Times New Roman"/>
                <w:b/>
                <w:bCs/>
                <w:szCs w:val="24"/>
              </w:rPr>
              <w:t>表4-</w:t>
            </w:r>
            <w:r>
              <w:rPr>
                <w:rFonts w:hint="eastAsia" w:ascii="Times New Roman" w:hAnsi="Times New Roman" w:eastAsia="宋体" w:cs="Times New Roman"/>
                <w:b/>
                <w:bCs/>
                <w:szCs w:val="24"/>
                <w:lang w:val="en-US" w:eastAsia="zh-CN"/>
              </w:rPr>
              <w:t>1</w:t>
            </w:r>
            <w:r>
              <w:rPr>
                <w:rFonts w:hint="eastAsia" w:cs="Times New Roman"/>
                <w:b/>
                <w:bCs/>
                <w:szCs w:val="24"/>
                <w:lang w:val="en-US" w:eastAsia="zh-CN"/>
              </w:rPr>
              <w:t>0：</w:t>
            </w:r>
            <w:r>
              <w:rPr>
                <w:rFonts w:ascii="Times New Roman" w:hAnsi="Times New Roman" w:eastAsia="宋体" w:cs="Times New Roman"/>
                <w:b/>
                <w:bCs/>
                <w:szCs w:val="24"/>
              </w:rPr>
              <w:t>噪声监测计划一览表</w:t>
            </w:r>
          </w:p>
          <w:tbl>
            <w:tblPr>
              <w:tblStyle w:val="4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11"/>
              <w:gridCol w:w="923"/>
              <w:gridCol w:w="1083"/>
              <w:gridCol w:w="843"/>
              <w:gridCol w:w="2490"/>
              <w:gridCol w:w="2244"/>
            </w:tblGrid>
            <w:tr w14:paraId="3D2555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36" w:type="pct"/>
                  <w:tcBorders>
                    <w:top w:val="single" w:color="auto" w:sz="4" w:space="0"/>
                    <w:left w:val="single" w:color="auto" w:sz="0" w:space="0"/>
                  </w:tcBorders>
                  <w:noWrap w:val="0"/>
                  <w:vAlign w:val="center"/>
                </w:tcPr>
                <w:p w14:paraId="739ADFAD">
                  <w:pPr>
                    <w:pStyle w:val="398"/>
                    <w:rPr>
                      <w:color w:val="000000"/>
                      <w:sz w:val="21"/>
                      <w:szCs w:val="21"/>
                    </w:rPr>
                  </w:pPr>
                  <w:r>
                    <w:rPr>
                      <w:color w:val="000000"/>
                      <w:sz w:val="21"/>
                      <w:szCs w:val="21"/>
                    </w:rPr>
                    <w:t>类别</w:t>
                  </w:r>
                </w:p>
              </w:tc>
              <w:tc>
                <w:tcPr>
                  <w:tcW w:w="543" w:type="pct"/>
                  <w:tcBorders>
                    <w:top w:val="single" w:color="auto" w:sz="4" w:space="0"/>
                  </w:tcBorders>
                  <w:noWrap w:val="0"/>
                  <w:vAlign w:val="center"/>
                </w:tcPr>
                <w:p w14:paraId="034B383A">
                  <w:pPr>
                    <w:pStyle w:val="398"/>
                    <w:rPr>
                      <w:color w:val="000000"/>
                      <w:sz w:val="21"/>
                      <w:szCs w:val="21"/>
                    </w:rPr>
                  </w:pPr>
                  <w:r>
                    <w:rPr>
                      <w:color w:val="000000"/>
                      <w:sz w:val="21"/>
                      <w:szCs w:val="21"/>
                    </w:rPr>
                    <w:t>监测项目</w:t>
                  </w:r>
                </w:p>
              </w:tc>
              <w:tc>
                <w:tcPr>
                  <w:tcW w:w="637" w:type="pct"/>
                  <w:tcBorders>
                    <w:top w:val="single" w:color="auto" w:sz="4" w:space="0"/>
                  </w:tcBorders>
                  <w:noWrap w:val="0"/>
                  <w:vAlign w:val="center"/>
                </w:tcPr>
                <w:p w14:paraId="5DBA1437">
                  <w:pPr>
                    <w:pStyle w:val="398"/>
                    <w:rPr>
                      <w:color w:val="000000"/>
                      <w:sz w:val="21"/>
                      <w:szCs w:val="21"/>
                    </w:rPr>
                  </w:pPr>
                  <w:r>
                    <w:rPr>
                      <w:color w:val="000000"/>
                      <w:sz w:val="21"/>
                      <w:szCs w:val="21"/>
                    </w:rPr>
                    <w:t>监测点位置</w:t>
                  </w:r>
                </w:p>
              </w:tc>
              <w:tc>
                <w:tcPr>
                  <w:tcW w:w="496" w:type="pct"/>
                  <w:tcBorders>
                    <w:top w:val="single" w:color="auto" w:sz="4" w:space="0"/>
                  </w:tcBorders>
                  <w:noWrap w:val="0"/>
                  <w:vAlign w:val="center"/>
                </w:tcPr>
                <w:p w14:paraId="1B255D1D">
                  <w:pPr>
                    <w:pStyle w:val="398"/>
                    <w:rPr>
                      <w:color w:val="000000"/>
                      <w:sz w:val="21"/>
                      <w:szCs w:val="21"/>
                    </w:rPr>
                  </w:pPr>
                  <w:r>
                    <w:rPr>
                      <w:color w:val="000000"/>
                      <w:sz w:val="21"/>
                      <w:szCs w:val="21"/>
                    </w:rPr>
                    <w:t>监测频次</w:t>
                  </w:r>
                </w:p>
              </w:tc>
              <w:tc>
                <w:tcPr>
                  <w:tcW w:w="1465" w:type="pct"/>
                  <w:tcBorders>
                    <w:top w:val="single" w:color="auto" w:sz="4" w:space="0"/>
                  </w:tcBorders>
                  <w:noWrap w:val="0"/>
                  <w:vAlign w:val="center"/>
                </w:tcPr>
                <w:p w14:paraId="7988C5B7">
                  <w:pPr>
                    <w:pStyle w:val="398"/>
                    <w:rPr>
                      <w:color w:val="000000"/>
                      <w:sz w:val="21"/>
                      <w:szCs w:val="21"/>
                    </w:rPr>
                  </w:pPr>
                  <w:r>
                    <w:rPr>
                      <w:color w:val="000000"/>
                      <w:sz w:val="21"/>
                      <w:szCs w:val="21"/>
                    </w:rPr>
                    <w:t>执行标准</w:t>
                  </w:r>
                </w:p>
              </w:tc>
              <w:tc>
                <w:tcPr>
                  <w:tcW w:w="1320" w:type="pct"/>
                  <w:tcBorders>
                    <w:top w:val="single" w:color="auto" w:sz="4" w:space="0"/>
                    <w:right w:val="single" w:color="auto" w:sz="4" w:space="0"/>
                  </w:tcBorders>
                  <w:noWrap w:val="0"/>
                  <w:vAlign w:val="center"/>
                </w:tcPr>
                <w:p w14:paraId="171077D8">
                  <w:pPr>
                    <w:pStyle w:val="398"/>
                    <w:rPr>
                      <w:rFonts w:hint="eastAsia" w:eastAsia="宋体"/>
                      <w:color w:val="000000"/>
                      <w:sz w:val="21"/>
                      <w:szCs w:val="21"/>
                      <w:lang w:val="en-US" w:eastAsia="zh-CN"/>
                    </w:rPr>
                  </w:pPr>
                  <w:r>
                    <w:rPr>
                      <w:rFonts w:hint="eastAsia"/>
                      <w:color w:val="000000"/>
                      <w:sz w:val="21"/>
                      <w:szCs w:val="21"/>
                      <w:lang w:val="en-US" w:eastAsia="zh-CN"/>
                    </w:rPr>
                    <w:t>备注</w:t>
                  </w:r>
                </w:p>
              </w:tc>
            </w:tr>
            <w:tr w14:paraId="2436BE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536" w:type="pct"/>
                  <w:tcBorders>
                    <w:left w:val="single" w:color="auto" w:sz="4" w:space="0"/>
                    <w:bottom w:val="single" w:color="auto" w:sz="4" w:space="0"/>
                  </w:tcBorders>
                  <w:noWrap w:val="0"/>
                  <w:vAlign w:val="center"/>
                </w:tcPr>
                <w:p w14:paraId="12475BBA">
                  <w:pPr>
                    <w:pStyle w:val="398"/>
                    <w:rPr>
                      <w:color w:val="000000"/>
                      <w:sz w:val="21"/>
                      <w:szCs w:val="21"/>
                    </w:rPr>
                  </w:pPr>
                  <w:r>
                    <w:rPr>
                      <w:color w:val="000000"/>
                      <w:sz w:val="21"/>
                      <w:szCs w:val="21"/>
                    </w:rPr>
                    <w:t>噪声</w:t>
                  </w:r>
                </w:p>
              </w:tc>
              <w:tc>
                <w:tcPr>
                  <w:tcW w:w="543" w:type="pct"/>
                  <w:tcBorders>
                    <w:bottom w:val="single" w:color="auto" w:sz="4" w:space="0"/>
                  </w:tcBorders>
                  <w:noWrap w:val="0"/>
                  <w:vAlign w:val="center"/>
                </w:tcPr>
                <w:p w14:paraId="6FF664CA">
                  <w:pPr>
                    <w:pStyle w:val="398"/>
                    <w:rPr>
                      <w:color w:val="000000"/>
                      <w:sz w:val="21"/>
                      <w:szCs w:val="21"/>
                    </w:rPr>
                  </w:pPr>
                  <w:r>
                    <w:rPr>
                      <w:color w:val="000000"/>
                      <w:sz w:val="21"/>
                      <w:szCs w:val="21"/>
                    </w:rPr>
                    <w:t>Leq（A）</w:t>
                  </w:r>
                </w:p>
              </w:tc>
              <w:tc>
                <w:tcPr>
                  <w:tcW w:w="637" w:type="pct"/>
                  <w:tcBorders>
                    <w:bottom w:val="single" w:color="auto" w:sz="4" w:space="0"/>
                  </w:tcBorders>
                  <w:noWrap w:val="0"/>
                  <w:vAlign w:val="center"/>
                </w:tcPr>
                <w:p w14:paraId="7DB7831D">
                  <w:pPr>
                    <w:pStyle w:val="398"/>
                    <w:rPr>
                      <w:color w:val="000000"/>
                      <w:sz w:val="21"/>
                      <w:szCs w:val="21"/>
                    </w:rPr>
                  </w:pPr>
                  <w:r>
                    <w:rPr>
                      <w:color w:val="000000"/>
                      <w:sz w:val="21"/>
                      <w:szCs w:val="21"/>
                    </w:rPr>
                    <w:t>厂界四周</w:t>
                  </w:r>
                </w:p>
              </w:tc>
              <w:tc>
                <w:tcPr>
                  <w:tcW w:w="496" w:type="pct"/>
                  <w:tcBorders>
                    <w:bottom w:val="single" w:color="auto" w:sz="4" w:space="0"/>
                  </w:tcBorders>
                  <w:noWrap w:val="0"/>
                  <w:vAlign w:val="center"/>
                </w:tcPr>
                <w:p w14:paraId="41FC085A">
                  <w:pPr>
                    <w:pStyle w:val="398"/>
                    <w:rPr>
                      <w:rFonts w:hint="eastAsia"/>
                      <w:color w:val="000000"/>
                      <w:sz w:val="21"/>
                      <w:szCs w:val="21"/>
                    </w:rPr>
                  </w:pPr>
                  <w:r>
                    <w:rPr>
                      <w:color w:val="000000"/>
                      <w:sz w:val="21"/>
                      <w:szCs w:val="21"/>
                    </w:rPr>
                    <w:t>1次/</w:t>
                  </w:r>
                  <w:r>
                    <w:rPr>
                      <w:rFonts w:hint="eastAsia"/>
                      <w:color w:val="000000"/>
                      <w:sz w:val="21"/>
                      <w:szCs w:val="21"/>
                    </w:rPr>
                    <w:t>季</w:t>
                  </w:r>
                </w:p>
              </w:tc>
              <w:tc>
                <w:tcPr>
                  <w:tcW w:w="1465" w:type="pct"/>
                  <w:tcBorders>
                    <w:bottom w:val="single" w:color="auto" w:sz="4" w:space="0"/>
                  </w:tcBorders>
                  <w:noWrap w:val="0"/>
                  <w:vAlign w:val="center"/>
                </w:tcPr>
                <w:p w14:paraId="7C19A85A">
                  <w:pPr>
                    <w:pStyle w:val="398"/>
                    <w:rPr>
                      <w:color w:val="000000"/>
                      <w:sz w:val="21"/>
                      <w:szCs w:val="21"/>
                    </w:rPr>
                  </w:pPr>
                  <w:r>
                    <w:rPr>
                      <w:color w:val="000000"/>
                      <w:sz w:val="21"/>
                      <w:szCs w:val="21"/>
                    </w:rPr>
                    <w:t>《工业企业厂界环境噪声排放标准》</w:t>
                  </w:r>
                  <w:r>
                    <w:rPr>
                      <w:rFonts w:hint="eastAsia"/>
                      <w:color w:val="000000"/>
                      <w:sz w:val="21"/>
                      <w:szCs w:val="21"/>
                      <w:lang w:val="en-US" w:eastAsia="zh-CN"/>
                    </w:rPr>
                    <w:t>3</w:t>
                  </w:r>
                  <w:r>
                    <w:rPr>
                      <w:color w:val="000000"/>
                      <w:sz w:val="21"/>
                      <w:szCs w:val="21"/>
                    </w:rPr>
                    <w:t>类标准</w:t>
                  </w:r>
                </w:p>
              </w:tc>
              <w:tc>
                <w:tcPr>
                  <w:tcW w:w="1320" w:type="pct"/>
                  <w:tcBorders>
                    <w:bottom w:val="single" w:color="auto" w:sz="4" w:space="0"/>
                    <w:right w:val="single" w:color="auto" w:sz="4" w:space="0"/>
                  </w:tcBorders>
                  <w:noWrap w:val="0"/>
                  <w:vAlign w:val="center"/>
                </w:tcPr>
                <w:p w14:paraId="1B658637">
                  <w:pPr>
                    <w:pStyle w:val="398"/>
                    <w:rPr>
                      <w:rFonts w:hint="default" w:eastAsia="宋体"/>
                      <w:color w:val="000000"/>
                      <w:sz w:val="21"/>
                      <w:szCs w:val="21"/>
                      <w:lang w:val="en-US" w:eastAsia="zh-CN"/>
                    </w:rPr>
                  </w:pPr>
                  <w:r>
                    <w:rPr>
                      <w:rFonts w:hint="eastAsia"/>
                      <w:color w:val="000000"/>
                      <w:sz w:val="21"/>
                      <w:szCs w:val="21"/>
                      <w:lang w:val="en-US" w:eastAsia="zh-CN"/>
                    </w:rPr>
                    <w:t>纳入大厂界监测计划，不单独开展。</w:t>
                  </w:r>
                </w:p>
              </w:tc>
            </w:tr>
          </w:tbl>
          <w:p w14:paraId="16CE71C5">
            <w:pPr>
              <w:snapToGrid w:val="0"/>
              <w:spacing w:line="360" w:lineRule="auto"/>
              <w:rPr>
                <w:sz w:val="24"/>
                <w:szCs w:val="20"/>
              </w:rPr>
            </w:pPr>
            <w:r>
              <w:rPr>
                <w:b/>
                <w:sz w:val="24"/>
                <w:szCs w:val="20"/>
              </w:rPr>
              <w:t>4</w:t>
            </w:r>
            <w:r>
              <w:rPr>
                <w:rFonts w:hint="eastAsia"/>
                <w:b/>
                <w:sz w:val="24"/>
                <w:szCs w:val="20"/>
              </w:rPr>
              <w:t>.</w:t>
            </w:r>
            <w:r>
              <w:rPr>
                <w:rFonts w:hint="eastAsia"/>
                <w:b/>
                <w:sz w:val="24"/>
                <w:szCs w:val="20"/>
                <w:lang w:eastAsia="zh-CN"/>
              </w:rPr>
              <w:t>固体废物</w:t>
            </w:r>
            <w:r>
              <w:rPr>
                <w:b/>
                <w:sz w:val="24"/>
                <w:szCs w:val="20"/>
              </w:rPr>
              <w:t>的环境影响分析及防治措施</w:t>
            </w:r>
          </w:p>
          <w:p w14:paraId="02E10F64">
            <w:pPr>
              <w:snapToGrid w:val="0"/>
              <w:spacing w:line="360" w:lineRule="auto"/>
              <w:ind w:firstLine="480" w:firstLineChars="200"/>
              <w:rPr>
                <w:sz w:val="24"/>
              </w:rPr>
            </w:pPr>
            <w:r>
              <w:rPr>
                <w:sz w:val="24"/>
              </w:rPr>
              <w:t>项目</w:t>
            </w:r>
            <w:r>
              <w:rPr>
                <w:rFonts w:hint="eastAsia"/>
                <w:sz w:val="24"/>
                <w:lang w:val="en-US" w:eastAsia="zh-CN"/>
              </w:rPr>
              <w:t>检修</w:t>
            </w:r>
            <w:r>
              <w:rPr>
                <w:sz w:val="24"/>
              </w:rPr>
              <w:t>过程中产生</w:t>
            </w:r>
            <w:r>
              <w:rPr>
                <w:rFonts w:hint="eastAsia"/>
                <w:sz w:val="24"/>
                <w:lang w:val="en-US" w:eastAsia="zh-CN"/>
              </w:rPr>
              <w:t>少量</w:t>
            </w:r>
            <w:r>
              <w:rPr>
                <w:sz w:val="24"/>
              </w:rPr>
              <w:t>废</w:t>
            </w:r>
            <w:r>
              <w:rPr>
                <w:rFonts w:hint="eastAsia"/>
                <w:sz w:val="24"/>
                <w:lang w:val="en-US" w:eastAsia="zh-CN"/>
              </w:rPr>
              <w:t>机油（1t/a）</w:t>
            </w:r>
            <w:r>
              <w:rPr>
                <w:sz w:val="24"/>
              </w:rPr>
              <w:t>，</w:t>
            </w:r>
            <w:r>
              <w:rPr>
                <w:rFonts w:hint="eastAsia"/>
                <w:sz w:val="24"/>
              </w:rPr>
              <w:t>转入</w:t>
            </w:r>
            <w:r>
              <w:rPr>
                <w:rFonts w:hint="eastAsia"/>
                <w:sz w:val="24"/>
                <w:lang w:val="en-US" w:eastAsia="zh-CN"/>
              </w:rPr>
              <w:t>现有</w:t>
            </w:r>
            <w:r>
              <w:rPr>
                <w:rFonts w:hint="eastAsia"/>
                <w:sz w:val="24"/>
              </w:rPr>
              <w:t>危废暂存库</w:t>
            </w:r>
            <w:r>
              <w:rPr>
                <w:sz w:val="24"/>
              </w:rPr>
              <w:t>，最终交由有资质单位处置。</w:t>
            </w:r>
          </w:p>
          <w:p w14:paraId="5005CE2D">
            <w:pPr>
              <w:snapToGrid w:val="0"/>
              <w:ind w:firstLine="2409" w:firstLineChars="1000"/>
              <w:rPr>
                <w:b/>
                <w:bCs/>
                <w:sz w:val="24"/>
              </w:rPr>
            </w:pPr>
            <w:r>
              <w:rPr>
                <w:b/>
                <w:bCs/>
                <w:sz w:val="24"/>
              </w:rPr>
              <w:t>表4-</w:t>
            </w:r>
            <w:r>
              <w:rPr>
                <w:rFonts w:hint="eastAsia"/>
                <w:b/>
                <w:bCs/>
                <w:sz w:val="24"/>
                <w:lang w:val="en-US" w:eastAsia="zh-CN"/>
              </w:rPr>
              <w:t>11：</w:t>
            </w:r>
            <w:r>
              <w:rPr>
                <w:b/>
                <w:bCs/>
                <w:sz w:val="24"/>
              </w:rPr>
              <w:t>固废产生、处置方式一览表</w:t>
            </w:r>
          </w:p>
          <w:tbl>
            <w:tblPr>
              <w:tblStyle w:val="41"/>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68"/>
              <w:gridCol w:w="1043"/>
              <w:gridCol w:w="992"/>
              <w:gridCol w:w="1559"/>
              <w:gridCol w:w="2268"/>
              <w:gridCol w:w="1526"/>
            </w:tblGrid>
            <w:tr w14:paraId="7153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368" w:type="dxa"/>
                  <w:noWrap w:val="0"/>
                  <w:vAlign w:val="center"/>
                </w:tcPr>
                <w:p w14:paraId="740542E0">
                  <w:pPr>
                    <w:pStyle w:val="240"/>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宋体"/>
                      <w:b w:val="0"/>
                      <w:bCs/>
                      <w:sz w:val="21"/>
                      <w:szCs w:val="21"/>
                    </w:rPr>
                  </w:pPr>
                  <w:r>
                    <w:rPr>
                      <w:rFonts w:ascii="Times New Roman" w:hAnsi="Times New Roman" w:eastAsia="宋体"/>
                      <w:b w:val="0"/>
                      <w:bCs/>
                      <w:sz w:val="21"/>
                      <w:szCs w:val="21"/>
                    </w:rPr>
                    <w:t>固废来源</w:t>
                  </w:r>
                </w:p>
              </w:tc>
              <w:tc>
                <w:tcPr>
                  <w:tcW w:w="1043" w:type="dxa"/>
                  <w:noWrap w:val="0"/>
                  <w:vAlign w:val="center"/>
                </w:tcPr>
                <w:p w14:paraId="61E03FDC">
                  <w:pPr>
                    <w:keepNext w:val="0"/>
                    <w:keepLines w:val="0"/>
                    <w:pageBreakBefore w:val="0"/>
                    <w:kinsoku/>
                    <w:wordWrap/>
                    <w:overflowPunct/>
                    <w:topLinePunct w:val="0"/>
                    <w:autoSpaceDE/>
                    <w:autoSpaceDN/>
                    <w:bidi w:val="0"/>
                    <w:snapToGrid w:val="0"/>
                    <w:jc w:val="center"/>
                    <w:textAlignment w:val="auto"/>
                    <w:rPr>
                      <w:b w:val="0"/>
                      <w:bCs/>
                      <w:sz w:val="21"/>
                      <w:szCs w:val="21"/>
                    </w:rPr>
                  </w:pPr>
                  <w:r>
                    <w:rPr>
                      <w:b w:val="0"/>
                      <w:bCs/>
                      <w:sz w:val="21"/>
                      <w:szCs w:val="21"/>
                    </w:rPr>
                    <w:t>固废类别</w:t>
                  </w:r>
                </w:p>
              </w:tc>
              <w:tc>
                <w:tcPr>
                  <w:tcW w:w="992" w:type="dxa"/>
                  <w:noWrap w:val="0"/>
                  <w:vAlign w:val="center"/>
                </w:tcPr>
                <w:p w14:paraId="1E47BF70">
                  <w:pPr>
                    <w:keepNext w:val="0"/>
                    <w:keepLines w:val="0"/>
                    <w:pageBreakBefore w:val="0"/>
                    <w:kinsoku/>
                    <w:wordWrap/>
                    <w:overflowPunct/>
                    <w:topLinePunct w:val="0"/>
                    <w:autoSpaceDE/>
                    <w:autoSpaceDN/>
                    <w:bidi w:val="0"/>
                    <w:snapToGrid w:val="0"/>
                    <w:jc w:val="center"/>
                    <w:textAlignment w:val="auto"/>
                    <w:rPr>
                      <w:b w:val="0"/>
                      <w:bCs/>
                      <w:sz w:val="21"/>
                      <w:szCs w:val="21"/>
                    </w:rPr>
                  </w:pPr>
                  <w:r>
                    <w:rPr>
                      <w:b w:val="0"/>
                      <w:bCs/>
                      <w:sz w:val="21"/>
                      <w:szCs w:val="21"/>
                    </w:rPr>
                    <w:t>产生量</w:t>
                  </w:r>
                </w:p>
              </w:tc>
              <w:tc>
                <w:tcPr>
                  <w:tcW w:w="1559" w:type="dxa"/>
                  <w:noWrap w:val="0"/>
                  <w:vAlign w:val="center"/>
                </w:tcPr>
                <w:p w14:paraId="7BF5E051">
                  <w:pPr>
                    <w:pStyle w:val="240"/>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宋体"/>
                      <w:b w:val="0"/>
                      <w:bCs/>
                      <w:sz w:val="21"/>
                      <w:szCs w:val="21"/>
                    </w:rPr>
                  </w:pPr>
                  <w:r>
                    <w:rPr>
                      <w:rFonts w:ascii="Times New Roman" w:hAnsi="Times New Roman" w:eastAsia="宋体"/>
                      <w:b w:val="0"/>
                      <w:bCs/>
                      <w:sz w:val="21"/>
                      <w:szCs w:val="21"/>
                    </w:rPr>
                    <w:t>主要污染物组成</w:t>
                  </w:r>
                </w:p>
              </w:tc>
              <w:tc>
                <w:tcPr>
                  <w:tcW w:w="2268" w:type="dxa"/>
                  <w:noWrap w:val="0"/>
                  <w:vAlign w:val="center"/>
                </w:tcPr>
                <w:p w14:paraId="55C6E9FF">
                  <w:pPr>
                    <w:keepNext w:val="0"/>
                    <w:keepLines w:val="0"/>
                    <w:pageBreakBefore w:val="0"/>
                    <w:kinsoku/>
                    <w:wordWrap/>
                    <w:overflowPunct/>
                    <w:topLinePunct w:val="0"/>
                    <w:autoSpaceDE/>
                    <w:autoSpaceDN/>
                    <w:bidi w:val="0"/>
                    <w:snapToGrid w:val="0"/>
                    <w:jc w:val="center"/>
                    <w:textAlignment w:val="auto"/>
                    <w:rPr>
                      <w:b w:val="0"/>
                      <w:bCs/>
                      <w:sz w:val="21"/>
                      <w:szCs w:val="21"/>
                    </w:rPr>
                  </w:pPr>
                  <w:r>
                    <w:rPr>
                      <w:b w:val="0"/>
                      <w:bCs/>
                      <w:sz w:val="21"/>
                      <w:szCs w:val="21"/>
                    </w:rPr>
                    <w:t>临时存储方式</w:t>
                  </w:r>
                </w:p>
              </w:tc>
              <w:tc>
                <w:tcPr>
                  <w:tcW w:w="1526" w:type="dxa"/>
                  <w:noWrap w:val="0"/>
                  <w:vAlign w:val="center"/>
                </w:tcPr>
                <w:p w14:paraId="623A9D32">
                  <w:pPr>
                    <w:keepNext w:val="0"/>
                    <w:keepLines w:val="0"/>
                    <w:pageBreakBefore w:val="0"/>
                    <w:kinsoku/>
                    <w:wordWrap/>
                    <w:overflowPunct/>
                    <w:topLinePunct w:val="0"/>
                    <w:autoSpaceDE/>
                    <w:autoSpaceDN/>
                    <w:bidi w:val="0"/>
                    <w:snapToGrid w:val="0"/>
                    <w:jc w:val="center"/>
                    <w:textAlignment w:val="auto"/>
                    <w:rPr>
                      <w:b w:val="0"/>
                      <w:bCs/>
                      <w:sz w:val="21"/>
                      <w:szCs w:val="21"/>
                    </w:rPr>
                  </w:pPr>
                  <w:r>
                    <w:rPr>
                      <w:b w:val="0"/>
                      <w:bCs/>
                      <w:sz w:val="21"/>
                      <w:szCs w:val="21"/>
                    </w:rPr>
                    <w:t>处置方法</w:t>
                  </w:r>
                </w:p>
              </w:tc>
            </w:tr>
            <w:tr w14:paraId="3EEA4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368" w:type="dxa"/>
                  <w:noWrap w:val="0"/>
                  <w:vAlign w:val="center"/>
                </w:tcPr>
                <w:p w14:paraId="32B6363D">
                  <w:pPr>
                    <w:pStyle w:val="105"/>
                    <w:keepNext w:val="0"/>
                    <w:keepLines w:val="0"/>
                    <w:pageBreakBefore w:val="0"/>
                    <w:kinsoku/>
                    <w:wordWrap/>
                    <w:overflowPunct/>
                    <w:topLinePunct w:val="0"/>
                    <w:autoSpaceDE/>
                    <w:autoSpaceDN/>
                    <w:bidi w:val="0"/>
                    <w:spacing w:line="240" w:lineRule="auto"/>
                    <w:ind w:firstLine="0" w:firstLineChars="0"/>
                    <w:jc w:val="center"/>
                    <w:textAlignment w:val="auto"/>
                    <w:rPr>
                      <w:rStyle w:val="84"/>
                      <w:rFonts w:hint="eastAsia" w:eastAsia="宋体"/>
                      <w:sz w:val="21"/>
                      <w:szCs w:val="21"/>
                      <w:lang w:eastAsia="zh-CN"/>
                    </w:rPr>
                  </w:pPr>
                  <w:r>
                    <w:rPr>
                      <w:rStyle w:val="84"/>
                      <w:sz w:val="21"/>
                      <w:szCs w:val="21"/>
                    </w:rPr>
                    <w:t>废</w:t>
                  </w:r>
                  <w:r>
                    <w:rPr>
                      <w:rStyle w:val="84"/>
                      <w:rFonts w:hint="eastAsia" w:eastAsia="宋体"/>
                      <w:sz w:val="21"/>
                      <w:szCs w:val="21"/>
                      <w:lang w:val="en-US" w:eastAsia="zh-CN"/>
                    </w:rPr>
                    <w:t>机油</w:t>
                  </w:r>
                </w:p>
              </w:tc>
              <w:tc>
                <w:tcPr>
                  <w:tcW w:w="1043" w:type="dxa"/>
                  <w:noWrap w:val="0"/>
                  <w:vAlign w:val="center"/>
                </w:tcPr>
                <w:p w14:paraId="420F3DF7">
                  <w:pPr>
                    <w:keepNext w:val="0"/>
                    <w:keepLines w:val="0"/>
                    <w:pageBreakBefore w:val="0"/>
                    <w:kinsoku/>
                    <w:wordWrap/>
                    <w:overflowPunct/>
                    <w:topLinePunct w:val="0"/>
                    <w:autoSpaceDE/>
                    <w:autoSpaceDN/>
                    <w:bidi w:val="0"/>
                    <w:jc w:val="center"/>
                    <w:textAlignment w:val="auto"/>
                    <w:rPr>
                      <w:rFonts w:hint="eastAsia"/>
                      <w:sz w:val="21"/>
                      <w:szCs w:val="21"/>
                      <w:highlight w:val="none"/>
                      <w:lang w:val="en-US" w:eastAsia="zh-CN"/>
                    </w:rPr>
                  </w:pPr>
                  <w:r>
                    <w:rPr>
                      <w:rFonts w:hint="eastAsia"/>
                      <w:sz w:val="21"/>
                      <w:szCs w:val="21"/>
                      <w:highlight w:val="none"/>
                      <w:lang w:val="en-US" w:eastAsia="zh-CN"/>
                    </w:rPr>
                    <w:t>HW08</w:t>
                  </w:r>
                </w:p>
                <w:p w14:paraId="49119BDD">
                  <w:pPr>
                    <w:keepNext w:val="0"/>
                    <w:keepLines w:val="0"/>
                    <w:pageBreakBefore w:val="0"/>
                    <w:kinsoku/>
                    <w:wordWrap/>
                    <w:overflowPunct/>
                    <w:topLinePunct w:val="0"/>
                    <w:autoSpaceDE/>
                    <w:autoSpaceDN/>
                    <w:bidi w:val="0"/>
                    <w:jc w:val="center"/>
                    <w:textAlignment w:val="auto"/>
                    <w:rPr>
                      <w:rFonts w:hint="default" w:eastAsia="宋体"/>
                      <w:sz w:val="21"/>
                      <w:szCs w:val="21"/>
                      <w:highlight w:val="none"/>
                      <w:lang w:val="en-US" w:eastAsia="zh-CN"/>
                    </w:rPr>
                  </w:pPr>
                  <w:r>
                    <w:rPr>
                      <w:rFonts w:hint="eastAsia"/>
                      <w:sz w:val="21"/>
                      <w:szCs w:val="21"/>
                      <w:highlight w:val="none"/>
                      <w:lang w:val="en-US" w:eastAsia="zh-CN"/>
                    </w:rPr>
                    <w:t>900-249-08</w:t>
                  </w:r>
                </w:p>
              </w:tc>
              <w:tc>
                <w:tcPr>
                  <w:tcW w:w="992" w:type="dxa"/>
                  <w:noWrap w:val="0"/>
                  <w:vAlign w:val="center"/>
                </w:tcPr>
                <w:p w14:paraId="62F78F47">
                  <w:pPr>
                    <w:keepNext w:val="0"/>
                    <w:keepLines w:val="0"/>
                    <w:pageBreakBefore w:val="0"/>
                    <w:kinsoku/>
                    <w:wordWrap/>
                    <w:overflowPunct/>
                    <w:topLinePunct w:val="0"/>
                    <w:autoSpaceDE/>
                    <w:autoSpaceDN/>
                    <w:bidi w:val="0"/>
                    <w:jc w:val="center"/>
                    <w:textAlignment w:val="auto"/>
                    <w:rPr>
                      <w:sz w:val="21"/>
                      <w:szCs w:val="21"/>
                      <w:highlight w:val="none"/>
                    </w:rPr>
                  </w:pPr>
                  <w:r>
                    <w:rPr>
                      <w:rFonts w:hint="eastAsia"/>
                      <w:sz w:val="21"/>
                      <w:szCs w:val="21"/>
                      <w:highlight w:val="none"/>
                      <w:lang w:val="en-US" w:eastAsia="zh-CN"/>
                    </w:rPr>
                    <w:t>1</w:t>
                  </w:r>
                  <w:r>
                    <w:rPr>
                      <w:sz w:val="21"/>
                      <w:szCs w:val="21"/>
                      <w:highlight w:val="none"/>
                    </w:rPr>
                    <w:t>t/a</w:t>
                  </w:r>
                </w:p>
              </w:tc>
              <w:tc>
                <w:tcPr>
                  <w:tcW w:w="1559" w:type="dxa"/>
                  <w:noWrap w:val="0"/>
                  <w:vAlign w:val="center"/>
                </w:tcPr>
                <w:p w14:paraId="0C252B6B">
                  <w:pPr>
                    <w:pStyle w:val="105"/>
                    <w:keepNext w:val="0"/>
                    <w:keepLines w:val="0"/>
                    <w:pageBreakBefore w:val="0"/>
                    <w:kinsoku/>
                    <w:wordWrap/>
                    <w:overflowPunct/>
                    <w:topLinePunct w:val="0"/>
                    <w:autoSpaceDE/>
                    <w:autoSpaceDN/>
                    <w:bidi w:val="0"/>
                    <w:spacing w:line="240" w:lineRule="auto"/>
                    <w:ind w:firstLine="0" w:firstLineChars="0"/>
                    <w:jc w:val="center"/>
                    <w:textAlignment w:val="auto"/>
                    <w:rPr>
                      <w:rStyle w:val="84"/>
                      <w:rFonts w:hint="eastAsia" w:eastAsia="宋体"/>
                      <w:sz w:val="21"/>
                      <w:szCs w:val="21"/>
                      <w:highlight w:val="none"/>
                      <w:lang w:eastAsia="zh-CN"/>
                    </w:rPr>
                  </w:pPr>
                  <w:r>
                    <w:rPr>
                      <w:rStyle w:val="84"/>
                      <w:rFonts w:hint="eastAsia" w:eastAsia="宋体"/>
                      <w:sz w:val="21"/>
                      <w:szCs w:val="21"/>
                      <w:highlight w:val="none"/>
                      <w:lang w:val="en-US" w:eastAsia="zh-CN"/>
                    </w:rPr>
                    <w:t>石油类</w:t>
                  </w:r>
                </w:p>
              </w:tc>
              <w:tc>
                <w:tcPr>
                  <w:tcW w:w="2268" w:type="dxa"/>
                  <w:noWrap w:val="0"/>
                  <w:vAlign w:val="center"/>
                </w:tcPr>
                <w:p w14:paraId="6F3A249A">
                  <w:pPr>
                    <w:pStyle w:val="20"/>
                    <w:keepNext w:val="0"/>
                    <w:keepLines w:val="0"/>
                    <w:pageBreakBefore w:val="0"/>
                    <w:kinsoku/>
                    <w:wordWrap/>
                    <w:overflowPunct/>
                    <w:topLinePunct w:val="0"/>
                    <w:autoSpaceDE/>
                    <w:autoSpaceDN/>
                    <w:bidi w:val="0"/>
                    <w:jc w:val="center"/>
                    <w:textAlignment w:val="auto"/>
                    <w:rPr>
                      <w:rFonts w:hint="eastAsia"/>
                      <w:sz w:val="21"/>
                      <w:szCs w:val="21"/>
                      <w:highlight w:val="none"/>
                    </w:rPr>
                  </w:pPr>
                  <w:r>
                    <w:rPr>
                      <w:rFonts w:hint="eastAsia"/>
                      <w:sz w:val="21"/>
                      <w:szCs w:val="21"/>
                      <w:highlight w:val="none"/>
                      <w:lang w:val="en-US" w:eastAsia="zh-CN"/>
                    </w:rPr>
                    <w:t>桶</w:t>
                  </w:r>
                  <w:r>
                    <w:rPr>
                      <w:sz w:val="21"/>
                      <w:szCs w:val="21"/>
                      <w:highlight w:val="none"/>
                    </w:rPr>
                    <w:t>装，暂存于危废库，由有资质单位处置</w:t>
                  </w:r>
                  <w:r>
                    <w:rPr>
                      <w:rFonts w:hint="eastAsia"/>
                      <w:sz w:val="21"/>
                      <w:szCs w:val="21"/>
                      <w:highlight w:val="none"/>
                    </w:rPr>
                    <w:t>。</w:t>
                  </w:r>
                </w:p>
              </w:tc>
              <w:tc>
                <w:tcPr>
                  <w:tcW w:w="1526" w:type="dxa"/>
                  <w:noWrap w:val="0"/>
                  <w:vAlign w:val="center"/>
                </w:tcPr>
                <w:p w14:paraId="1528E009">
                  <w:pPr>
                    <w:pStyle w:val="105"/>
                    <w:keepNext w:val="0"/>
                    <w:keepLines w:val="0"/>
                    <w:pageBreakBefore w:val="0"/>
                    <w:kinsoku/>
                    <w:wordWrap/>
                    <w:overflowPunct/>
                    <w:topLinePunct w:val="0"/>
                    <w:autoSpaceDE/>
                    <w:autoSpaceDN/>
                    <w:bidi w:val="0"/>
                    <w:spacing w:line="240" w:lineRule="auto"/>
                    <w:ind w:firstLine="0" w:firstLineChars="0"/>
                    <w:jc w:val="center"/>
                    <w:textAlignment w:val="auto"/>
                    <w:rPr>
                      <w:rStyle w:val="84"/>
                      <w:sz w:val="21"/>
                      <w:szCs w:val="21"/>
                      <w:highlight w:val="none"/>
                    </w:rPr>
                  </w:pPr>
                  <w:r>
                    <w:rPr>
                      <w:rStyle w:val="84"/>
                      <w:sz w:val="21"/>
                      <w:szCs w:val="21"/>
                      <w:highlight w:val="none"/>
                    </w:rPr>
                    <w:t>有资质单位处置</w:t>
                  </w:r>
                </w:p>
              </w:tc>
            </w:tr>
          </w:tbl>
          <w:p w14:paraId="72D382ED">
            <w:pPr>
              <w:adjustRightInd w:val="0"/>
              <w:snapToGrid w:val="0"/>
              <w:spacing w:line="360" w:lineRule="auto"/>
              <w:ind w:firstLine="480" w:firstLineChars="200"/>
              <w:rPr>
                <w:rFonts w:hint="default" w:eastAsia="宋体"/>
                <w:sz w:val="24"/>
                <w:highlight w:val="none"/>
                <w:lang w:val="en-US" w:eastAsia="zh-CN"/>
              </w:rPr>
            </w:pPr>
            <w:r>
              <w:rPr>
                <w:rFonts w:hint="eastAsia"/>
                <w:sz w:val="24"/>
                <w:highlight w:val="none"/>
              </w:rPr>
              <w:t>本项目危废</w:t>
            </w:r>
            <w:r>
              <w:rPr>
                <w:rFonts w:hint="eastAsia"/>
                <w:sz w:val="24"/>
                <w:highlight w:val="none"/>
                <w:lang w:eastAsia="zh-CN"/>
              </w:rPr>
              <w:t>的</w:t>
            </w:r>
            <w:r>
              <w:rPr>
                <w:rFonts w:hint="eastAsia"/>
                <w:sz w:val="24"/>
                <w:highlight w:val="none"/>
              </w:rPr>
              <w:t>暂存依托内蒙古伊泰化工有限责任公司</w:t>
            </w:r>
            <w:r>
              <w:rPr>
                <w:rFonts w:hint="eastAsia"/>
                <w:sz w:val="24"/>
                <w:highlight w:val="none"/>
                <w:lang w:val="en-US" w:eastAsia="zh-CN"/>
              </w:rPr>
              <w:t>现有</w:t>
            </w:r>
            <w:r>
              <w:rPr>
                <w:rFonts w:hint="eastAsia"/>
                <w:sz w:val="24"/>
                <w:highlight w:val="none"/>
              </w:rPr>
              <w:t>危险废物暂存库，</w:t>
            </w:r>
            <w:r>
              <w:rPr>
                <w:rFonts w:hint="eastAsia"/>
                <w:sz w:val="24"/>
                <w:highlight w:val="none"/>
                <w:lang w:val="en-US" w:eastAsia="zh-CN"/>
              </w:rPr>
              <w:t>2021年4月，《内蒙古伊泰化工有限责任公司危险废物储存仓库建设项目环境影响报告表》取得鄂尔多斯市生态环境局批复（鄂环审﹝2021﹞349号），2022年3月通过自主验收。</w:t>
            </w:r>
          </w:p>
          <w:p w14:paraId="4291E398">
            <w:pPr>
              <w:adjustRightInd w:val="0"/>
              <w:snapToGrid w:val="0"/>
              <w:spacing w:line="360" w:lineRule="auto"/>
              <w:ind w:firstLine="480" w:firstLineChars="200"/>
              <w:rPr>
                <w:rFonts w:hint="eastAsia"/>
                <w:sz w:val="24"/>
                <w:highlight w:val="none"/>
                <w:lang w:eastAsia="zh-CN"/>
              </w:rPr>
            </w:pPr>
            <w:r>
              <w:rPr>
                <w:rFonts w:hint="eastAsia"/>
                <w:sz w:val="24"/>
                <w:highlight w:val="none"/>
              </w:rPr>
              <w:t>利用现有1座占地面积417.28m</w:t>
            </w:r>
            <w:r>
              <w:rPr>
                <w:rFonts w:hint="eastAsia"/>
                <w:sz w:val="24"/>
                <w:highlight w:val="none"/>
                <w:vertAlign w:val="superscript"/>
              </w:rPr>
              <w:t>2</w:t>
            </w:r>
            <w:r>
              <w:rPr>
                <w:rFonts w:hint="eastAsia"/>
                <w:sz w:val="24"/>
                <w:szCs w:val="20"/>
                <w:lang w:val="en-US" w:eastAsia="zh-CN"/>
              </w:rPr>
              <w:t>的</w:t>
            </w:r>
            <w:r>
              <w:rPr>
                <w:rFonts w:hint="eastAsia"/>
                <w:sz w:val="24"/>
                <w:highlight w:val="none"/>
              </w:rPr>
              <w:t>化学品</w:t>
            </w:r>
            <w:r>
              <w:rPr>
                <w:rFonts w:hint="eastAsia"/>
                <w:sz w:val="24"/>
                <w:highlight w:val="none"/>
                <w:lang w:eastAsia="zh-CN"/>
              </w:rPr>
              <w:t>仓</w:t>
            </w:r>
            <w:r>
              <w:rPr>
                <w:rFonts w:hint="eastAsia"/>
                <w:sz w:val="24"/>
                <w:highlight w:val="none"/>
              </w:rPr>
              <w:t>库按照《危险废物贮存污染控制标准》（GB18597-2001）（及其修改单）要求改造为危废暂存库，占地面积</w:t>
            </w:r>
            <w:r>
              <w:rPr>
                <w:rFonts w:hint="eastAsia"/>
                <w:sz w:val="24"/>
                <w:highlight w:val="none"/>
                <w:lang w:val="en-US" w:eastAsia="zh-CN"/>
              </w:rPr>
              <w:t>417.28</w:t>
            </w:r>
            <w:r>
              <w:rPr>
                <w:sz w:val="24"/>
                <w:highlight w:val="none"/>
              </w:rPr>
              <w:t>m</w:t>
            </w:r>
            <w:r>
              <w:rPr>
                <w:sz w:val="24"/>
                <w:highlight w:val="none"/>
                <w:vertAlign w:val="superscript"/>
              </w:rPr>
              <w:t>2</w:t>
            </w:r>
            <w:r>
              <w:rPr>
                <w:rFonts w:hint="eastAsia"/>
                <w:sz w:val="24"/>
                <w:highlight w:val="none"/>
              </w:rPr>
              <w:t>。危废暂存库地面及裙脚、导流渠、集液池防渗措施自下而上依次为：基础防渗层+2mm厚HDPE防渗膜+30cm抗渗C30混凝土结构+环氧树脂涂层防腐，防渗系数≤1.0×10</w:t>
            </w:r>
            <w:r>
              <w:rPr>
                <w:rFonts w:hint="eastAsia"/>
                <w:sz w:val="24"/>
                <w:highlight w:val="none"/>
                <w:vertAlign w:val="superscript"/>
              </w:rPr>
              <w:t>-10</w:t>
            </w:r>
            <w:r>
              <w:rPr>
                <w:rFonts w:hint="eastAsia"/>
                <w:sz w:val="24"/>
                <w:highlight w:val="none"/>
              </w:rPr>
              <w:t>cm/s；配备消防沙箱；库房内外均设有视频监控设施，设有危险废物标识牌、防爆灯及应急照明装置；管理制度完善，危废库采取双人双锁管理。</w:t>
            </w:r>
          </w:p>
          <w:p w14:paraId="1D697C89">
            <w:pPr>
              <w:pStyle w:val="98"/>
              <w:adjustRightInd w:val="0"/>
              <w:snapToGrid w:val="0"/>
              <w:spacing w:after="0" w:line="360" w:lineRule="auto"/>
              <w:ind w:firstLine="480" w:firstLineChars="200"/>
              <w:jc w:val="both"/>
              <w:outlineLvl w:val="0"/>
              <w:rPr>
                <w:sz w:val="24"/>
              </w:rPr>
            </w:pPr>
            <w:r>
              <w:rPr>
                <w:sz w:val="24"/>
              </w:rPr>
              <w:t>综上所述，项目运营期</w:t>
            </w:r>
            <w:r>
              <w:rPr>
                <w:rFonts w:hint="eastAsia"/>
                <w:sz w:val="24"/>
              </w:rPr>
              <w:t>间</w:t>
            </w:r>
            <w:r>
              <w:rPr>
                <w:sz w:val="24"/>
              </w:rPr>
              <w:t>产生的固废</w:t>
            </w:r>
            <w:r>
              <w:rPr>
                <w:rFonts w:hint="eastAsia"/>
                <w:sz w:val="24"/>
                <w:lang w:eastAsia="zh-CN"/>
              </w:rPr>
              <w:t>已</w:t>
            </w:r>
            <w:r>
              <w:rPr>
                <w:sz w:val="24"/>
              </w:rPr>
              <w:t>全部得到了妥善处置或综合利用，不会对周围环境产生明显影响。</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3"/>
              <w:gridCol w:w="4244"/>
            </w:tblGrid>
            <w:tr w14:paraId="077D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noWrap w:val="0"/>
                  <w:vAlign w:val="center"/>
                </w:tcPr>
                <w:p w14:paraId="203B723E">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eastAsia="宋体"/>
                      <w:b w:val="0"/>
                      <w:bCs/>
                      <w:sz w:val="24"/>
                      <w:szCs w:val="20"/>
                      <w:vertAlign w:val="baseline"/>
                      <w:lang w:eastAsia="zh-CN"/>
                    </w:rPr>
                  </w:pPr>
                  <w:r>
                    <w:rPr>
                      <w:rFonts w:hint="eastAsia" w:eastAsia="宋体"/>
                      <w:b w:val="0"/>
                      <w:bCs/>
                      <w:sz w:val="24"/>
                      <w:szCs w:val="20"/>
                      <w:vertAlign w:val="baseline"/>
                      <w:lang w:eastAsia="zh-CN"/>
                    </w:rPr>
                    <w:drawing>
                      <wp:inline distT="0" distB="0" distL="114300" distR="114300">
                        <wp:extent cx="2536190" cy="1901825"/>
                        <wp:effectExtent l="0" t="0" r="16510" b="3175"/>
                        <wp:docPr id="12" name="图片 59" descr="02fd82977f0773710cadbae7f3a2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9" descr="02fd82977f0773710cadbae7f3a22588"/>
                                <pic:cNvPicPr>
                                  <a:picLocks noChangeAspect="1"/>
                                </pic:cNvPicPr>
                              </pic:nvPicPr>
                              <pic:blipFill>
                                <a:blip r:embed="rId33"/>
                                <a:stretch>
                                  <a:fillRect/>
                                </a:stretch>
                              </pic:blipFill>
                              <pic:spPr>
                                <a:xfrm>
                                  <a:off x="0" y="0"/>
                                  <a:ext cx="2536190" cy="1901825"/>
                                </a:xfrm>
                                <a:prstGeom prst="rect">
                                  <a:avLst/>
                                </a:prstGeom>
                                <a:noFill/>
                                <a:ln>
                                  <a:noFill/>
                                </a:ln>
                              </pic:spPr>
                            </pic:pic>
                          </a:graphicData>
                        </a:graphic>
                      </wp:inline>
                    </w:drawing>
                  </w:r>
                </w:p>
              </w:tc>
              <w:tc>
                <w:tcPr>
                  <w:tcW w:w="4250" w:type="dxa"/>
                  <w:noWrap w:val="0"/>
                  <w:vAlign w:val="center"/>
                </w:tcPr>
                <w:p w14:paraId="094BA531">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eastAsia="宋体"/>
                      <w:b w:val="0"/>
                      <w:bCs/>
                      <w:sz w:val="24"/>
                      <w:szCs w:val="20"/>
                      <w:vertAlign w:val="baseline"/>
                      <w:lang w:eastAsia="zh-CN"/>
                    </w:rPr>
                  </w:pPr>
                  <w:r>
                    <w:rPr>
                      <w:rFonts w:hint="eastAsia" w:eastAsia="宋体"/>
                      <w:b w:val="0"/>
                      <w:bCs/>
                      <w:sz w:val="24"/>
                      <w:szCs w:val="20"/>
                      <w:vertAlign w:val="baseline"/>
                      <w:lang w:eastAsia="zh-CN"/>
                    </w:rPr>
                    <w:drawing>
                      <wp:inline distT="0" distB="0" distL="114300" distR="114300">
                        <wp:extent cx="2536190" cy="1901825"/>
                        <wp:effectExtent l="0" t="0" r="16510" b="3175"/>
                        <wp:docPr id="13" name="图片 60" descr="2f3aec43ca079787de7e027905b736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0" descr="2f3aec43ca079787de7e027905b7362d"/>
                                <pic:cNvPicPr>
                                  <a:picLocks noChangeAspect="1"/>
                                </pic:cNvPicPr>
                              </pic:nvPicPr>
                              <pic:blipFill>
                                <a:blip r:embed="rId34"/>
                                <a:stretch>
                                  <a:fillRect/>
                                </a:stretch>
                              </pic:blipFill>
                              <pic:spPr>
                                <a:xfrm>
                                  <a:off x="0" y="0"/>
                                  <a:ext cx="2536190" cy="1901825"/>
                                </a:xfrm>
                                <a:prstGeom prst="rect">
                                  <a:avLst/>
                                </a:prstGeom>
                                <a:noFill/>
                                <a:ln>
                                  <a:noFill/>
                                </a:ln>
                              </pic:spPr>
                            </pic:pic>
                          </a:graphicData>
                        </a:graphic>
                      </wp:inline>
                    </w:drawing>
                  </w:r>
                </w:p>
              </w:tc>
            </w:tr>
            <w:tr w14:paraId="5E01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noWrap w:val="0"/>
                  <w:vAlign w:val="center"/>
                </w:tcPr>
                <w:p w14:paraId="44E61E90">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default" w:eastAsia="宋体"/>
                      <w:b w:val="0"/>
                      <w:bCs/>
                      <w:sz w:val="24"/>
                      <w:szCs w:val="20"/>
                      <w:vertAlign w:val="baseline"/>
                      <w:lang w:val="en-US" w:eastAsia="zh-CN"/>
                    </w:rPr>
                  </w:pPr>
                  <w:r>
                    <w:rPr>
                      <w:rFonts w:hint="eastAsia"/>
                      <w:b w:val="0"/>
                      <w:bCs/>
                      <w:sz w:val="24"/>
                      <w:szCs w:val="20"/>
                      <w:vertAlign w:val="baseline"/>
                      <w:lang w:val="en-US" w:eastAsia="zh-CN"/>
                    </w:rPr>
                    <w:t>危废库</w:t>
                  </w:r>
                </w:p>
              </w:tc>
              <w:tc>
                <w:tcPr>
                  <w:tcW w:w="4250" w:type="dxa"/>
                  <w:noWrap w:val="0"/>
                  <w:vAlign w:val="center"/>
                </w:tcPr>
                <w:p w14:paraId="59E63B37">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default" w:eastAsia="宋体"/>
                      <w:b w:val="0"/>
                      <w:bCs/>
                      <w:sz w:val="24"/>
                      <w:szCs w:val="20"/>
                      <w:vertAlign w:val="baseline"/>
                      <w:lang w:val="en-US" w:eastAsia="zh-CN"/>
                    </w:rPr>
                  </w:pPr>
                  <w:r>
                    <w:rPr>
                      <w:rFonts w:hint="eastAsia"/>
                      <w:b w:val="0"/>
                      <w:bCs/>
                      <w:sz w:val="24"/>
                      <w:szCs w:val="20"/>
                      <w:vertAlign w:val="baseline"/>
                      <w:lang w:val="en-US" w:eastAsia="zh-CN"/>
                    </w:rPr>
                    <w:t>分区情况</w:t>
                  </w:r>
                </w:p>
              </w:tc>
            </w:tr>
            <w:tr w14:paraId="65FC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noWrap w:val="0"/>
                  <w:vAlign w:val="center"/>
                </w:tcPr>
                <w:p w14:paraId="53BCDE5C">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b w:val="0"/>
                      <w:bCs/>
                      <w:sz w:val="24"/>
                      <w:szCs w:val="20"/>
                      <w:vertAlign w:val="baseline"/>
                    </w:rPr>
                  </w:pPr>
                  <w:r>
                    <w:rPr>
                      <w:rFonts w:hint="eastAsia" w:eastAsia="宋体"/>
                      <w:b w:val="0"/>
                      <w:bCs/>
                      <w:sz w:val="24"/>
                      <w:szCs w:val="20"/>
                      <w:vertAlign w:val="baseline"/>
                      <w:lang w:eastAsia="zh-CN"/>
                    </w:rPr>
                    <w:drawing>
                      <wp:inline distT="0" distB="0" distL="114300" distR="114300">
                        <wp:extent cx="2536190" cy="2063115"/>
                        <wp:effectExtent l="0" t="0" r="16510" b="13335"/>
                        <wp:docPr id="14" name="图片 67" descr="7bb337639f06c606d48a556cbf47d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7" descr="7bb337639f06c606d48a556cbf47df21"/>
                                <pic:cNvPicPr>
                                  <a:picLocks noChangeAspect="1"/>
                                </pic:cNvPicPr>
                              </pic:nvPicPr>
                              <pic:blipFill>
                                <a:blip r:embed="rId35"/>
                                <a:stretch>
                                  <a:fillRect/>
                                </a:stretch>
                              </pic:blipFill>
                              <pic:spPr>
                                <a:xfrm>
                                  <a:off x="0" y="0"/>
                                  <a:ext cx="2536190" cy="2063115"/>
                                </a:xfrm>
                                <a:prstGeom prst="rect">
                                  <a:avLst/>
                                </a:prstGeom>
                                <a:noFill/>
                                <a:ln>
                                  <a:noFill/>
                                </a:ln>
                              </pic:spPr>
                            </pic:pic>
                          </a:graphicData>
                        </a:graphic>
                      </wp:inline>
                    </w:drawing>
                  </w:r>
                </w:p>
              </w:tc>
              <w:tc>
                <w:tcPr>
                  <w:tcW w:w="4250" w:type="dxa"/>
                  <w:noWrap w:val="0"/>
                  <w:vAlign w:val="center"/>
                </w:tcPr>
                <w:p w14:paraId="7B9D6891">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b w:val="0"/>
                      <w:bCs/>
                      <w:sz w:val="24"/>
                      <w:szCs w:val="20"/>
                      <w:vertAlign w:val="baseline"/>
                    </w:rPr>
                  </w:pPr>
                  <w:r>
                    <w:rPr>
                      <w:rFonts w:hint="eastAsia" w:eastAsia="宋体"/>
                      <w:b w:val="0"/>
                      <w:bCs/>
                      <w:sz w:val="24"/>
                      <w:szCs w:val="20"/>
                      <w:vertAlign w:val="baseline"/>
                      <w:lang w:eastAsia="zh-CN"/>
                    </w:rPr>
                    <w:drawing>
                      <wp:inline distT="0" distB="0" distL="114300" distR="114300">
                        <wp:extent cx="2545715" cy="2096135"/>
                        <wp:effectExtent l="0" t="0" r="6985" b="18415"/>
                        <wp:docPr id="15" name="图片 68" descr="29bc3c4126b9cc51540f678d997b1c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8" descr="29bc3c4126b9cc51540f678d997b1c2f"/>
                                <pic:cNvPicPr>
                                  <a:picLocks noChangeAspect="1"/>
                                </pic:cNvPicPr>
                              </pic:nvPicPr>
                              <pic:blipFill>
                                <a:blip r:embed="rId36"/>
                                <a:srcRect t="20505" b="17737"/>
                                <a:stretch>
                                  <a:fillRect/>
                                </a:stretch>
                              </pic:blipFill>
                              <pic:spPr>
                                <a:xfrm>
                                  <a:off x="0" y="0"/>
                                  <a:ext cx="2545715" cy="2096135"/>
                                </a:xfrm>
                                <a:prstGeom prst="rect">
                                  <a:avLst/>
                                </a:prstGeom>
                                <a:noFill/>
                                <a:ln>
                                  <a:noFill/>
                                </a:ln>
                              </pic:spPr>
                            </pic:pic>
                          </a:graphicData>
                        </a:graphic>
                      </wp:inline>
                    </w:drawing>
                  </w:r>
                </w:p>
              </w:tc>
            </w:tr>
            <w:tr w14:paraId="4DB1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noWrap w:val="0"/>
                  <w:vAlign w:val="center"/>
                </w:tcPr>
                <w:p w14:paraId="101D7D8F">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eastAsia="宋体"/>
                      <w:b w:val="0"/>
                      <w:bCs/>
                      <w:sz w:val="24"/>
                      <w:szCs w:val="20"/>
                      <w:vertAlign w:val="baseline"/>
                      <w:lang w:val="en-US" w:eastAsia="zh-CN"/>
                    </w:rPr>
                  </w:pPr>
                  <w:r>
                    <w:rPr>
                      <w:rFonts w:hint="eastAsia"/>
                      <w:b w:val="0"/>
                      <w:bCs/>
                      <w:sz w:val="24"/>
                      <w:szCs w:val="20"/>
                      <w:vertAlign w:val="baseline"/>
                      <w:lang w:val="en-US" w:eastAsia="zh-CN"/>
                    </w:rPr>
                    <w:t>分区</w:t>
                  </w:r>
                </w:p>
              </w:tc>
              <w:tc>
                <w:tcPr>
                  <w:tcW w:w="4250" w:type="dxa"/>
                  <w:noWrap w:val="0"/>
                  <w:vAlign w:val="center"/>
                </w:tcPr>
                <w:p w14:paraId="5520C8A1">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default" w:eastAsia="宋体"/>
                      <w:b w:val="0"/>
                      <w:bCs/>
                      <w:sz w:val="24"/>
                      <w:szCs w:val="20"/>
                      <w:vertAlign w:val="baseline"/>
                      <w:lang w:val="en-US" w:eastAsia="zh-CN"/>
                    </w:rPr>
                  </w:pPr>
                  <w:r>
                    <w:rPr>
                      <w:rFonts w:hint="eastAsia"/>
                      <w:b w:val="0"/>
                      <w:bCs/>
                      <w:sz w:val="24"/>
                      <w:szCs w:val="20"/>
                      <w:vertAlign w:val="baseline"/>
                      <w:lang w:val="en-US" w:eastAsia="zh-CN"/>
                    </w:rPr>
                    <w:t>分区</w:t>
                  </w:r>
                </w:p>
              </w:tc>
            </w:tr>
            <w:tr w14:paraId="6978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noWrap w:val="0"/>
                  <w:vAlign w:val="center"/>
                </w:tcPr>
                <w:p w14:paraId="2CA9BFF4">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b w:val="0"/>
                      <w:bCs/>
                      <w:sz w:val="24"/>
                      <w:szCs w:val="20"/>
                      <w:vertAlign w:val="baseline"/>
                    </w:rPr>
                  </w:pPr>
                  <w:r>
                    <w:rPr>
                      <w:b w:val="0"/>
                      <w:bCs/>
                    </w:rPr>
                    <w:drawing>
                      <wp:inline distT="0" distB="0" distL="114300" distR="114300">
                        <wp:extent cx="2556510" cy="1917065"/>
                        <wp:effectExtent l="0" t="0" r="15240" b="6985"/>
                        <wp:docPr id="1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5"/>
                                <pic:cNvPicPr>
                                  <a:picLocks noChangeAspect="1"/>
                                </pic:cNvPicPr>
                              </pic:nvPicPr>
                              <pic:blipFill>
                                <a:blip r:embed="rId37"/>
                                <a:stretch>
                                  <a:fillRect/>
                                </a:stretch>
                              </pic:blipFill>
                              <pic:spPr>
                                <a:xfrm>
                                  <a:off x="0" y="0"/>
                                  <a:ext cx="2556510" cy="1917065"/>
                                </a:xfrm>
                                <a:prstGeom prst="rect">
                                  <a:avLst/>
                                </a:prstGeom>
                                <a:noFill/>
                                <a:ln>
                                  <a:noFill/>
                                </a:ln>
                              </pic:spPr>
                            </pic:pic>
                          </a:graphicData>
                        </a:graphic>
                      </wp:inline>
                    </w:drawing>
                  </w:r>
                </w:p>
              </w:tc>
              <w:tc>
                <w:tcPr>
                  <w:tcW w:w="4250" w:type="dxa"/>
                  <w:noWrap w:val="0"/>
                  <w:vAlign w:val="center"/>
                </w:tcPr>
                <w:p w14:paraId="5A4171B7">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b w:val="0"/>
                      <w:bCs/>
                      <w:sz w:val="24"/>
                      <w:szCs w:val="20"/>
                      <w:vertAlign w:val="baseline"/>
                    </w:rPr>
                  </w:pPr>
                  <w:r>
                    <w:rPr>
                      <w:b w:val="0"/>
                      <w:bCs/>
                    </w:rPr>
                    <w:drawing>
                      <wp:inline distT="0" distB="0" distL="114300" distR="114300">
                        <wp:extent cx="2555875" cy="2143760"/>
                        <wp:effectExtent l="0" t="0" r="15875" b="8890"/>
                        <wp:docPr id="1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6"/>
                                <pic:cNvPicPr>
                                  <a:picLocks noChangeAspect="1"/>
                                </pic:cNvPicPr>
                              </pic:nvPicPr>
                              <pic:blipFill>
                                <a:blip r:embed="rId38"/>
                                <a:stretch>
                                  <a:fillRect/>
                                </a:stretch>
                              </pic:blipFill>
                              <pic:spPr>
                                <a:xfrm>
                                  <a:off x="0" y="0"/>
                                  <a:ext cx="2555875" cy="2143760"/>
                                </a:xfrm>
                                <a:prstGeom prst="rect">
                                  <a:avLst/>
                                </a:prstGeom>
                                <a:noFill/>
                                <a:ln>
                                  <a:noFill/>
                                </a:ln>
                              </pic:spPr>
                            </pic:pic>
                          </a:graphicData>
                        </a:graphic>
                      </wp:inline>
                    </w:drawing>
                  </w:r>
                </w:p>
              </w:tc>
            </w:tr>
            <w:tr w14:paraId="4EBA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0" w:type="dxa"/>
                  <w:noWrap w:val="0"/>
                  <w:vAlign w:val="center"/>
                </w:tcPr>
                <w:p w14:paraId="4EF73060">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eastAsia="宋体"/>
                      <w:b w:val="0"/>
                      <w:bCs/>
                      <w:sz w:val="24"/>
                      <w:szCs w:val="20"/>
                      <w:vertAlign w:val="baseline"/>
                      <w:lang w:val="en-US" w:eastAsia="zh-CN"/>
                    </w:rPr>
                  </w:pPr>
                  <w:r>
                    <w:rPr>
                      <w:rFonts w:hint="eastAsia"/>
                      <w:b w:val="0"/>
                      <w:bCs/>
                      <w:sz w:val="24"/>
                      <w:szCs w:val="20"/>
                      <w:vertAlign w:val="baseline"/>
                      <w:lang w:val="en-US" w:eastAsia="zh-CN"/>
                    </w:rPr>
                    <w:t>视频监控</w:t>
                  </w:r>
                </w:p>
              </w:tc>
              <w:tc>
                <w:tcPr>
                  <w:tcW w:w="4250" w:type="dxa"/>
                  <w:noWrap w:val="0"/>
                  <w:vAlign w:val="center"/>
                </w:tcPr>
                <w:p w14:paraId="6C501763">
                  <w:pPr>
                    <w:pStyle w:val="98"/>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outlineLvl w:val="0"/>
                    <w:rPr>
                      <w:rFonts w:hint="eastAsia" w:eastAsia="宋体"/>
                      <w:b w:val="0"/>
                      <w:bCs/>
                      <w:sz w:val="24"/>
                      <w:szCs w:val="20"/>
                      <w:vertAlign w:val="baseline"/>
                      <w:lang w:val="en-US" w:eastAsia="zh-CN"/>
                    </w:rPr>
                  </w:pPr>
                  <w:r>
                    <w:rPr>
                      <w:rFonts w:hint="eastAsia"/>
                      <w:b w:val="0"/>
                      <w:bCs/>
                      <w:sz w:val="24"/>
                      <w:szCs w:val="20"/>
                      <w:vertAlign w:val="baseline"/>
                      <w:lang w:val="en-US" w:eastAsia="zh-CN"/>
                    </w:rPr>
                    <w:t>集液池</w:t>
                  </w:r>
                </w:p>
              </w:tc>
            </w:tr>
          </w:tbl>
          <w:p w14:paraId="271F82F3">
            <w:pPr>
              <w:pStyle w:val="98"/>
              <w:adjustRightInd w:val="0"/>
              <w:snapToGrid w:val="0"/>
              <w:spacing w:after="0" w:line="360" w:lineRule="auto"/>
              <w:jc w:val="both"/>
              <w:outlineLvl w:val="0"/>
              <w:rPr>
                <w:snapToGrid w:val="0"/>
                <w:sz w:val="24"/>
              </w:rPr>
            </w:pPr>
            <w:r>
              <w:rPr>
                <w:b/>
                <w:sz w:val="24"/>
                <w:szCs w:val="20"/>
              </w:rPr>
              <w:t>5</w:t>
            </w:r>
            <w:r>
              <w:rPr>
                <w:rFonts w:hint="eastAsia"/>
                <w:b/>
                <w:sz w:val="24"/>
                <w:szCs w:val="20"/>
              </w:rPr>
              <w:t>.</w:t>
            </w:r>
            <w:r>
              <w:rPr>
                <w:b/>
                <w:sz w:val="24"/>
                <w:szCs w:val="20"/>
              </w:rPr>
              <w:t>地下水、土壤的环境影响分析及防治措施</w:t>
            </w:r>
          </w:p>
          <w:p w14:paraId="18BE8EF8">
            <w:pPr>
              <w:pStyle w:val="98"/>
              <w:adjustRightInd w:val="0"/>
              <w:snapToGrid w:val="0"/>
              <w:spacing w:after="0" w:line="360" w:lineRule="auto"/>
              <w:ind w:firstLine="482" w:firstLineChars="200"/>
              <w:jc w:val="both"/>
              <w:outlineLvl w:val="0"/>
              <w:rPr>
                <w:snapToGrid w:val="0"/>
                <w:sz w:val="24"/>
              </w:rPr>
            </w:pPr>
            <w:r>
              <w:rPr>
                <w:rFonts w:hint="eastAsia"/>
                <w:b/>
                <w:bCs/>
                <w:sz w:val="24"/>
                <w:lang w:val="en-US" w:eastAsia="zh-CN"/>
              </w:rPr>
              <w:t>（1）潜在污染源</w:t>
            </w:r>
          </w:p>
          <w:p w14:paraId="1C622322">
            <w:pPr>
              <w:pStyle w:val="98"/>
              <w:adjustRightInd w:val="0"/>
              <w:snapToGrid w:val="0"/>
              <w:spacing w:after="0" w:line="360" w:lineRule="auto"/>
              <w:ind w:firstLine="480" w:firstLineChars="200"/>
              <w:jc w:val="both"/>
              <w:outlineLvl w:val="0"/>
              <w:rPr>
                <w:snapToGrid w:val="0"/>
                <w:sz w:val="24"/>
              </w:rPr>
            </w:pPr>
            <w:r>
              <w:rPr>
                <w:snapToGrid w:val="0"/>
                <w:sz w:val="24"/>
              </w:rPr>
              <w:t>项目施工期主要为厂区内土建施工，主要污染物为施工期扬尘，不涉及</w:t>
            </w:r>
            <w:r>
              <w:rPr>
                <w:rFonts w:hint="eastAsia"/>
                <w:snapToGrid w:val="0"/>
                <w:sz w:val="24"/>
                <w:lang w:val="en-US" w:eastAsia="zh-CN"/>
              </w:rPr>
              <w:t>地下水、</w:t>
            </w:r>
            <w:r>
              <w:rPr>
                <w:snapToGrid w:val="0"/>
                <w:sz w:val="24"/>
              </w:rPr>
              <w:t>土壤</w:t>
            </w:r>
            <w:r>
              <w:rPr>
                <w:rFonts w:hint="eastAsia"/>
                <w:snapToGrid w:val="0"/>
                <w:sz w:val="24"/>
                <w:lang w:eastAsia="zh-CN"/>
              </w:rPr>
              <w:t>等</w:t>
            </w:r>
            <w:r>
              <w:rPr>
                <w:snapToGrid w:val="0"/>
                <w:sz w:val="24"/>
              </w:rPr>
              <w:t>污染影响。营运期</w:t>
            </w:r>
            <w:r>
              <w:rPr>
                <w:rFonts w:hint="eastAsia"/>
                <w:snapToGrid w:val="0"/>
                <w:sz w:val="24"/>
                <w:lang w:val="en-US" w:eastAsia="zh-CN"/>
              </w:rPr>
              <w:t>生产单元</w:t>
            </w:r>
            <w:r>
              <w:rPr>
                <w:snapToGrid w:val="0"/>
                <w:sz w:val="24"/>
              </w:rPr>
              <w:t>泄漏工况下废水</w:t>
            </w:r>
            <w:r>
              <w:rPr>
                <w:rFonts w:hint="eastAsia"/>
                <w:snapToGrid w:val="0"/>
                <w:sz w:val="24"/>
                <w:lang w:eastAsia="zh-CN"/>
              </w:rPr>
              <w:t>、</w:t>
            </w:r>
            <w:r>
              <w:rPr>
                <w:rFonts w:hint="eastAsia"/>
                <w:snapToGrid w:val="0"/>
                <w:sz w:val="24"/>
                <w:lang w:val="en-US" w:eastAsia="zh-CN"/>
              </w:rPr>
              <w:t>油类</w:t>
            </w:r>
            <w:r>
              <w:rPr>
                <w:snapToGrid w:val="0"/>
                <w:sz w:val="24"/>
              </w:rPr>
              <w:t>下渗将会对土壤造成垂直入渗影响。项目影响途径主要为运营期垂直入渗污染，因此拟建项目</w:t>
            </w:r>
            <w:r>
              <w:rPr>
                <w:rFonts w:hint="eastAsia"/>
                <w:snapToGrid w:val="0"/>
                <w:sz w:val="24"/>
                <w:lang w:val="en-US" w:eastAsia="zh-CN"/>
              </w:rPr>
              <w:t>地下水、</w:t>
            </w:r>
            <w:r>
              <w:rPr>
                <w:snapToGrid w:val="0"/>
                <w:sz w:val="24"/>
              </w:rPr>
              <w:t>土壤环境影响类型为</w:t>
            </w:r>
            <w:r>
              <w:rPr>
                <w:rFonts w:hint="eastAsia"/>
                <w:snapToGrid w:val="0"/>
                <w:sz w:val="24"/>
                <w:lang w:eastAsia="zh-CN"/>
              </w:rPr>
              <w:t>“</w:t>
            </w:r>
            <w:r>
              <w:rPr>
                <w:snapToGrid w:val="0"/>
                <w:sz w:val="24"/>
              </w:rPr>
              <w:t>污染影响型</w:t>
            </w:r>
            <w:r>
              <w:rPr>
                <w:rFonts w:hint="eastAsia"/>
                <w:snapToGrid w:val="0"/>
                <w:sz w:val="24"/>
                <w:lang w:eastAsia="zh-CN"/>
              </w:rPr>
              <w:t>”</w:t>
            </w:r>
            <w:r>
              <w:rPr>
                <w:snapToGrid w:val="0"/>
                <w:sz w:val="24"/>
              </w:rPr>
              <w:t>。</w:t>
            </w:r>
          </w:p>
          <w:p w14:paraId="2D695699">
            <w:pPr>
              <w:pStyle w:val="98"/>
              <w:adjustRightInd w:val="0"/>
              <w:snapToGrid w:val="0"/>
              <w:spacing w:after="0" w:line="360" w:lineRule="auto"/>
              <w:ind w:firstLine="482" w:firstLineChars="200"/>
              <w:jc w:val="both"/>
              <w:outlineLvl w:val="0"/>
              <w:rPr>
                <w:snapToGrid w:val="0"/>
                <w:sz w:val="24"/>
              </w:rPr>
            </w:pPr>
            <w:r>
              <w:rPr>
                <w:rFonts w:hint="eastAsia"/>
                <w:b/>
                <w:bCs/>
                <w:sz w:val="24"/>
                <w:lang w:val="en-US" w:eastAsia="zh-CN"/>
              </w:rPr>
              <w:t>（2）影响和防治措施</w:t>
            </w:r>
          </w:p>
          <w:p w14:paraId="04EA86A0">
            <w:pPr>
              <w:pStyle w:val="98"/>
              <w:adjustRightInd w:val="0"/>
              <w:snapToGrid w:val="0"/>
              <w:spacing w:after="0" w:line="360" w:lineRule="auto"/>
              <w:ind w:firstLine="480" w:firstLineChars="200"/>
              <w:jc w:val="both"/>
              <w:outlineLvl w:val="0"/>
              <w:rPr>
                <w:snapToGrid w:val="0"/>
                <w:sz w:val="24"/>
              </w:rPr>
            </w:pPr>
            <w:r>
              <w:rPr>
                <w:snapToGrid w:val="0"/>
                <w:sz w:val="24"/>
              </w:rPr>
              <w:t>本项目正常工况下无废水渗入地下水中，在事故工况下泄漏的污染物极少，对地下水流场无影响，因此本项目实施对评价区地下水影响较小。</w:t>
            </w:r>
          </w:p>
          <w:p w14:paraId="540982EA">
            <w:pPr>
              <w:pStyle w:val="98"/>
              <w:adjustRightInd w:val="0"/>
              <w:snapToGrid w:val="0"/>
              <w:spacing w:after="0" w:line="360" w:lineRule="auto"/>
              <w:ind w:firstLine="480" w:firstLineChars="200"/>
              <w:jc w:val="both"/>
              <w:outlineLvl w:val="0"/>
              <w:rPr>
                <w:snapToGrid w:val="0"/>
                <w:sz w:val="24"/>
              </w:rPr>
            </w:pPr>
            <w:r>
              <w:rPr>
                <w:rFonts w:hint="eastAsia"/>
                <w:snapToGrid w:val="0"/>
                <w:sz w:val="24"/>
                <w:lang w:val="en-US" w:eastAsia="zh-CN"/>
              </w:rPr>
              <w:t>本项目在</w:t>
            </w:r>
            <w:r>
              <w:rPr>
                <w:rFonts w:hint="eastAsia" w:ascii="Times New Roman" w:hAnsi="Times New Roman" w:eastAsia="宋体" w:cs="Times New Roman"/>
                <w:bCs/>
                <w:sz w:val="24"/>
                <w:lang w:val="en-US" w:eastAsia="zh-CN"/>
              </w:rPr>
              <w:t>内蒙古伊泰化工有限责任公司120万吨/年精细化学品示范项目（变更）的基础上进行技改，防治措施依托120万吨/年精细化学品示范项目（变更）现有</w:t>
            </w:r>
            <w:r>
              <w:rPr>
                <w:rFonts w:hint="eastAsia" w:cs="Times New Roman"/>
                <w:bCs/>
                <w:sz w:val="24"/>
                <w:lang w:val="en-US" w:eastAsia="zh-CN"/>
              </w:rPr>
              <w:t>工程</w:t>
            </w:r>
            <w:r>
              <w:rPr>
                <w:rFonts w:hint="eastAsia" w:ascii="Times New Roman" w:hAnsi="Times New Roman" w:eastAsia="宋体" w:cs="Times New Roman"/>
                <w:bCs/>
                <w:sz w:val="24"/>
                <w:lang w:val="en-US" w:eastAsia="zh-CN"/>
              </w:rPr>
              <w:t>，该项目</w:t>
            </w:r>
            <w:r>
              <w:rPr>
                <w:snapToGrid w:val="0"/>
                <w:sz w:val="24"/>
              </w:rPr>
              <w:t>针对潜在的地下水污染源和污染途径采取了较为有效的防渗、密封等工程控制措施和污染防范措施，防止泄漏物污染厂区内土壤和地下水。具体措施如下：</w:t>
            </w:r>
          </w:p>
          <w:p w14:paraId="74981921">
            <w:pPr>
              <w:pStyle w:val="98"/>
              <w:adjustRightInd w:val="0"/>
              <w:snapToGrid w:val="0"/>
              <w:spacing w:after="0" w:line="360" w:lineRule="auto"/>
              <w:ind w:firstLine="480" w:firstLineChars="200"/>
              <w:jc w:val="both"/>
              <w:outlineLvl w:val="0"/>
              <w:rPr>
                <w:snapToGrid w:val="0"/>
                <w:sz w:val="24"/>
              </w:rPr>
            </w:pPr>
            <w:r>
              <w:rPr>
                <w:snapToGrid w:val="0"/>
                <w:sz w:val="24"/>
              </w:rPr>
              <w:fldChar w:fldCharType="begin"/>
            </w:r>
            <w:r>
              <w:rPr>
                <w:snapToGrid w:val="0"/>
                <w:sz w:val="24"/>
              </w:rPr>
              <w:instrText xml:space="preserve"> = 1 \* GB3 </w:instrText>
            </w:r>
            <w:r>
              <w:rPr>
                <w:snapToGrid w:val="0"/>
                <w:sz w:val="24"/>
              </w:rPr>
              <w:fldChar w:fldCharType="separate"/>
            </w:r>
            <w:r>
              <w:rPr>
                <w:rFonts w:hint="eastAsia" w:ascii="宋体" w:hAnsi="宋体" w:cs="宋体"/>
                <w:snapToGrid w:val="0"/>
                <w:sz w:val="24"/>
              </w:rPr>
              <w:t>①</w:t>
            </w:r>
            <w:r>
              <w:rPr>
                <w:snapToGrid w:val="0"/>
                <w:sz w:val="24"/>
              </w:rPr>
              <w:fldChar w:fldCharType="end"/>
            </w:r>
            <w:r>
              <w:rPr>
                <w:snapToGrid w:val="0"/>
                <w:sz w:val="24"/>
              </w:rPr>
              <w:t>源头控制措施</w:t>
            </w:r>
          </w:p>
          <w:p w14:paraId="5AA19CD1">
            <w:pPr>
              <w:pStyle w:val="98"/>
              <w:adjustRightInd w:val="0"/>
              <w:snapToGrid w:val="0"/>
              <w:spacing w:after="0" w:line="360" w:lineRule="auto"/>
              <w:ind w:firstLine="480" w:firstLineChars="200"/>
              <w:jc w:val="both"/>
              <w:outlineLvl w:val="0"/>
              <w:rPr>
                <w:sz w:val="24"/>
                <w:szCs w:val="20"/>
              </w:rPr>
            </w:pPr>
            <w:r>
              <w:rPr>
                <w:sz w:val="24"/>
                <w:szCs w:val="20"/>
              </w:rPr>
              <w:t>严格按照国家相关规范要求，对工艺、管道、设备、仓库等采取相应措施，防止和降低污染物跑、冒、滴、漏，将污染物泄漏环境风险事故降到最低程度防渗工程设计使用年限不应低于设备、管线及建、构筑物的设计使用年限。</w:t>
            </w:r>
          </w:p>
          <w:p w14:paraId="4CE8A5A9">
            <w:pPr>
              <w:pStyle w:val="98"/>
              <w:adjustRightInd w:val="0"/>
              <w:snapToGrid w:val="0"/>
              <w:spacing w:after="0" w:line="360" w:lineRule="auto"/>
              <w:ind w:firstLine="480" w:firstLineChars="200"/>
              <w:jc w:val="both"/>
              <w:outlineLvl w:val="0"/>
              <w:rPr>
                <w:snapToGrid w:val="0"/>
                <w:sz w:val="24"/>
              </w:rPr>
            </w:pPr>
            <w:r>
              <w:rPr>
                <w:snapToGrid w:val="0"/>
                <w:sz w:val="24"/>
              </w:rPr>
              <w:fldChar w:fldCharType="begin"/>
            </w:r>
            <w:r>
              <w:rPr>
                <w:snapToGrid w:val="0"/>
                <w:sz w:val="24"/>
              </w:rPr>
              <w:instrText xml:space="preserve"> = 2 \* GB3 </w:instrText>
            </w:r>
            <w:r>
              <w:rPr>
                <w:snapToGrid w:val="0"/>
                <w:sz w:val="24"/>
              </w:rPr>
              <w:fldChar w:fldCharType="separate"/>
            </w:r>
            <w:r>
              <w:rPr>
                <w:rFonts w:hint="eastAsia" w:ascii="宋体" w:hAnsi="宋体" w:cs="宋体"/>
                <w:snapToGrid w:val="0"/>
                <w:sz w:val="24"/>
              </w:rPr>
              <w:t>②</w:t>
            </w:r>
            <w:r>
              <w:rPr>
                <w:snapToGrid w:val="0"/>
                <w:sz w:val="24"/>
              </w:rPr>
              <w:fldChar w:fldCharType="end"/>
            </w:r>
            <w:r>
              <w:rPr>
                <w:snapToGrid w:val="0"/>
                <w:sz w:val="24"/>
              </w:rPr>
              <w:t>分区防渗</w:t>
            </w:r>
          </w:p>
          <w:p w14:paraId="59E26FEE">
            <w:pPr>
              <w:pStyle w:val="98"/>
              <w:adjustRightInd w:val="0"/>
              <w:snapToGrid w:val="0"/>
              <w:spacing w:after="0" w:line="360" w:lineRule="auto"/>
              <w:ind w:firstLine="480" w:firstLineChars="200"/>
              <w:jc w:val="both"/>
              <w:outlineLvl w:val="0"/>
              <w:rPr>
                <w:rFonts w:hint="eastAsia"/>
                <w:sz w:val="24"/>
                <w:szCs w:val="20"/>
                <w:lang w:val="en-US" w:eastAsia="zh-CN"/>
              </w:rPr>
            </w:pPr>
            <w:r>
              <w:rPr>
                <w:rFonts w:hint="eastAsia"/>
                <w:sz w:val="24"/>
                <w:szCs w:val="20"/>
                <w:lang w:val="en-US" w:eastAsia="zh-CN"/>
              </w:rPr>
              <w:t>主要包括项目区内污染区地面的防渗措施和泄漏、渗漏污染物收集措施，即在污染区地面进行防渗处理，防止洒落在地面的污染物渗入地下，并把滞留在地面的污染物收集起来集中处理，从而避免对地下水的污染。结合项目各生产设备、贮存等因素，根据项目场地污染控制难易程度和污染物特性对项目区进行分区防控。</w:t>
            </w:r>
          </w:p>
          <w:p w14:paraId="14662B1D">
            <w:pPr>
              <w:pStyle w:val="98"/>
              <w:adjustRightInd w:val="0"/>
              <w:snapToGrid w:val="0"/>
              <w:spacing w:after="0" w:line="360" w:lineRule="auto"/>
              <w:ind w:firstLine="480" w:firstLineChars="200"/>
              <w:jc w:val="both"/>
              <w:outlineLvl w:val="0"/>
              <w:rPr>
                <w:sz w:val="24"/>
                <w:szCs w:val="20"/>
              </w:rPr>
            </w:pPr>
            <w:r>
              <w:rPr>
                <w:sz w:val="24"/>
                <w:szCs w:val="20"/>
              </w:rPr>
              <w:t>本项目采取以上措施，并在后期加强管理的情况下，可以将土壤影响控制在</w:t>
            </w:r>
            <w:r>
              <w:rPr>
                <w:rFonts w:hint="eastAsia"/>
                <w:sz w:val="24"/>
                <w:szCs w:val="20"/>
                <w:lang w:eastAsia="zh-CN"/>
              </w:rPr>
              <w:t>与</w:t>
            </w:r>
            <w:r>
              <w:rPr>
                <w:sz w:val="24"/>
                <w:szCs w:val="20"/>
              </w:rPr>
              <w:t>现有厂区同等水平，对</w:t>
            </w:r>
            <w:r>
              <w:rPr>
                <w:rFonts w:hint="eastAsia"/>
                <w:sz w:val="24"/>
                <w:szCs w:val="20"/>
                <w:lang w:val="en-US" w:eastAsia="zh-CN"/>
              </w:rPr>
              <w:t>地下水、</w:t>
            </w:r>
            <w:r>
              <w:rPr>
                <w:sz w:val="24"/>
                <w:szCs w:val="20"/>
              </w:rPr>
              <w:t>土壤的影响程度较轻、影响范围较小。</w:t>
            </w:r>
          </w:p>
          <w:p w14:paraId="685BA498">
            <w:pPr>
              <w:pStyle w:val="98"/>
              <w:adjustRightInd w:val="0"/>
              <w:snapToGrid w:val="0"/>
              <w:spacing w:after="0" w:line="360" w:lineRule="auto"/>
              <w:ind w:firstLine="480" w:firstLineChars="200"/>
              <w:jc w:val="both"/>
              <w:outlineLvl w:val="0"/>
              <w:rPr>
                <w:sz w:val="24"/>
                <w:szCs w:val="20"/>
              </w:rPr>
            </w:pPr>
            <w:r>
              <w:rPr>
                <w:snapToGrid w:val="0"/>
                <w:sz w:val="24"/>
                <w:highlight w:val="none"/>
              </w:rPr>
              <w:t>本</w:t>
            </w:r>
            <w:r>
              <w:rPr>
                <w:sz w:val="24"/>
                <w:szCs w:val="20"/>
                <w:highlight w:val="none"/>
              </w:rPr>
              <w:t>次环评参照《环境影响评价技术导则地下水环境》</w:t>
            </w:r>
            <w:r>
              <w:rPr>
                <w:rFonts w:hint="eastAsia"/>
                <w:sz w:val="24"/>
                <w:szCs w:val="20"/>
                <w:highlight w:val="none"/>
              </w:rPr>
              <w:t>（</w:t>
            </w:r>
            <w:r>
              <w:rPr>
                <w:sz w:val="24"/>
                <w:szCs w:val="20"/>
                <w:highlight w:val="none"/>
              </w:rPr>
              <w:t>HJ610-2016</w:t>
            </w:r>
            <w:r>
              <w:rPr>
                <w:rFonts w:hint="eastAsia"/>
                <w:sz w:val="24"/>
                <w:szCs w:val="20"/>
                <w:highlight w:val="none"/>
              </w:rPr>
              <w:t>）</w:t>
            </w:r>
            <w:r>
              <w:rPr>
                <w:sz w:val="24"/>
                <w:szCs w:val="20"/>
                <w:highlight w:val="none"/>
              </w:rPr>
              <w:t>对本项目进行整体的污染分区划分，分为污染防治区和非污染防治区，其中污染防治区又分为一般污染防治区和重点污染防治区；防渗措施要求见下表。</w:t>
            </w:r>
            <w:r>
              <w:rPr>
                <w:sz w:val="24"/>
                <w:szCs w:val="20"/>
              </w:rPr>
              <w:t>本评价认为，本项目实施后，工程对周边</w:t>
            </w:r>
            <w:r>
              <w:rPr>
                <w:rFonts w:hint="eastAsia"/>
                <w:sz w:val="24"/>
                <w:szCs w:val="20"/>
                <w:lang w:val="en-US" w:eastAsia="zh-CN"/>
              </w:rPr>
              <w:t>地下水、</w:t>
            </w:r>
            <w:r>
              <w:rPr>
                <w:sz w:val="24"/>
                <w:szCs w:val="20"/>
              </w:rPr>
              <w:t>土壤的影响是可接受的。</w:t>
            </w:r>
          </w:p>
          <w:p w14:paraId="786355A3">
            <w:pPr>
              <w:widowControl/>
              <w:adjustRightInd w:val="0"/>
              <w:snapToGrid w:val="0"/>
              <w:ind w:firstLine="2348" w:firstLineChars="900"/>
              <w:jc w:val="left"/>
              <w:rPr>
                <w:b/>
                <w:spacing w:val="10"/>
                <w:kern w:val="0"/>
                <w:sz w:val="24"/>
              </w:rPr>
            </w:pPr>
            <w:r>
              <w:rPr>
                <w:b/>
                <w:spacing w:val="10"/>
                <w:kern w:val="0"/>
                <w:sz w:val="24"/>
              </w:rPr>
              <w:t>表4-</w:t>
            </w:r>
            <w:r>
              <w:rPr>
                <w:rFonts w:hint="eastAsia"/>
                <w:b/>
                <w:spacing w:val="10"/>
                <w:kern w:val="0"/>
                <w:sz w:val="24"/>
                <w:lang w:val="en-US" w:eastAsia="zh-CN"/>
              </w:rPr>
              <w:t>12：</w:t>
            </w:r>
            <w:r>
              <w:rPr>
                <w:b/>
                <w:spacing w:val="10"/>
                <w:kern w:val="0"/>
                <w:sz w:val="24"/>
              </w:rPr>
              <w:t>防渗分区划分情况及要求</w:t>
            </w:r>
          </w:p>
          <w:tbl>
            <w:tblPr>
              <w:tblStyle w:val="41"/>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701"/>
              <w:gridCol w:w="667"/>
              <w:gridCol w:w="2166"/>
              <w:gridCol w:w="1707"/>
              <w:gridCol w:w="2826"/>
              <w:gridCol w:w="427"/>
            </w:tblGrid>
            <w:tr w14:paraId="358CEEA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13" w:type="pct"/>
                  <w:tcBorders>
                    <w:top w:val="single" w:color="auto" w:sz="4" w:space="0"/>
                    <w:left w:val="single" w:color="auto" w:sz="0" w:space="0"/>
                  </w:tcBorders>
                  <w:noWrap w:val="0"/>
                  <w:vAlign w:val="center"/>
                </w:tcPr>
                <w:p w14:paraId="640AD3B5">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bCs/>
                      <w:snapToGrid w:val="0"/>
                      <w:sz w:val="21"/>
                      <w:szCs w:val="21"/>
                      <w:highlight w:val="none"/>
                    </w:rPr>
                  </w:pPr>
                  <w:r>
                    <w:rPr>
                      <w:rFonts w:ascii="Times New Roman" w:hAnsi="Times New Roman" w:eastAsia="宋体" w:cs="Times New Roman"/>
                      <w:bCs/>
                      <w:snapToGrid w:val="0"/>
                      <w:sz w:val="21"/>
                      <w:szCs w:val="21"/>
                      <w:highlight w:val="none"/>
                    </w:rPr>
                    <w:t>防渗分区</w:t>
                  </w:r>
                </w:p>
              </w:tc>
              <w:tc>
                <w:tcPr>
                  <w:tcW w:w="393" w:type="pct"/>
                  <w:tcBorders>
                    <w:top w:val="single" w:color="auto" w:sz="4" w:space="0"/>
                  </w:tcBorders>
                  <w:noWrap w:val="0"/>
                  <w:vAlign w:val="center"/>
                </w:tcPr>
                <w:p w14:paraId="0ED0A0A5">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bCs/>
                      <w:snapToGrid w:val="0"/>
                      <w:sz w:val="21"/>
                      <w:szCs w:val="21"/>
                      <w:highlight w:val="none"/>
                    </w:rPr>
                  </w:pPr>
                  <w:r>
                    <w:rPr>
                      <w:rFonts w:ascii="Times New Roman" w:hAnsi="Times New Roman" w:eastAsia="宋体" w:cs="Times New Roman"/>
                      <w:bCs/>
                      <w:snapToGrid w:val="0"/>
                      <w:sz w:val="21"/>
                      <w:szCs w:val="21"/>
                      <w:highlight w:val="none"/>
                    </w:rPr>
                    <w:t>防渗位置</w:t>
                  </w:r>
                </w:p>
              </w:tc>
              <w:tc>
                <w:tcPr>
                  <w:tcW w:w="1275" w:type="pct"/>
                  <w:tcBorders>
                    <w:top w:val="single" w:color="auto" w:sz="4" w:space="0"/>
                  </w:tcBorders>
                  <w:noWrap w:val="0"/>
                  <w:vAlign w:val="center"/>
                </w:tcPr>
                <w:p w14:paraId="456B1864">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default" w:ascii="Times New Roman" w:hAnsi="Times New Roman" w:eastAsia="宋体" w:cs="Times New Roman"/>
                      <w:bCs/>
                      <w:snapToGrid w:val="0"/>
                      <w:sz w:val="21"/>
                      <w:szCs w:val="21"/>
                      <w:highlight w:val="none"/>
                      <w:lang w:val="en-US" w:eastAsia="zh-CN"/>
                    </w:rPr>
                  </w:pPr>
                  <w:r>
                    <w:rPr>
                      <w:rFonts w:hint="eastAsia" w:ascii="Times New Roman" w:hAnsi="Times New Roman" w:eastAsia="宋体" w:cs="Times New Roman"/>
                      <w:bCs/>
                      <w:snapToGrid w:val="0"/>
                      <w:sz w:val="21"/>
                      <w:szCs w:val="21"/>
                      <w:highlight w:val="none"/>
                      <w:lang w:val="en-US" w:eastAsia="zh-CN"/>
                    </w:rPr>
                    <w:t>实际防渗措施</w:t>
                  </w:r>
                </w:p>
              </w:tc>
              <w:tc>
                <w:tcPr>
                  <w:tcW w:w="1005" w:type="pct"/>
                  <w:tcBorders>
                    <w:top w:val="single" w:color="auto" w:sz="4" w:space="0"/>
                  </w:tcBorders>
                  <w:noWrap w:val="0"/>
                  <w:vAlign w:val="center"/>
                </w:tcPr>
                <w:p w14:paraId="7C257BB7">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bCs/>
                      <w:snapToGrid w:val="0"/>
                      <w:sz w:val="21"/>
                      <w:szCs w:val="21"/>
                      <w:highlight w:val="none"/>
                    </w:rPr>
                  </w:pPr>
                  <w:r>
                    <w:rPr>
                      <w:rFonts w:ascii="Times New Roman" w:hAnsi="Times New Roman" w:eastAsia="宋体" w:cs="Times New Roman"/>
                      <w:bCs/>
                      <w:snapToGrid w:val="0"/>
                      <w:sz w:val="21"/>
                      <w:szCs w:val="21"/>
                      <w:highlight w:val="none"/>
                    </w:rPr>
                    <w:t>防渗要求</w:t>
                  </w:r>
                </w:p>
              </w:tc>
              <w:tc>
                <w:tcPr>
                  <w:tcW w:w="1663" w:type="pct"/>
                  <w:tcBorders>
                    <w:top w:val="single" w:color="auto" w:sz="4" w:space="0"/>
                  </w:tcBorders>
                  <w:noWrap w:val="0"/>
                  <w:vAlign w:val="center"/>
                </w:tcPr>
                <w:p w14:paraId="79475E3D">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bCs/>
                      <w:snapToGrid w:val="0"/>
                      <w:sz w:val="21"/>
                      <w:szCs w:val="21"/>
                      <w:highlight w:val="none"/>
                    </w:rPr>
                  </w:pPr>
                  <w:r>
                    <w:rPr>
                      <w:rFonts w:ascii="Times New Roman" w:hAnsi="Times New Roman" w:eastAsia="宋体" w:cs="Times New Roman"/>
                      <w:bCs/>
                      <w:snapToGrid w:val="0"/>
                      <w:sz w:val="21"/>
                      <w:szCs w:val="21"/>
                      <w:highlight w:val="none"/>
                    </w:rPr>
                    <w:t>依据</w:t>
                  </w:r>
                </w:p>
              </w:tc>
              <w:tc>
                <w:tcPr>
                  <w:tcW w:w="248" w:type="pct"/>
                  <w:tcBorders>
                    <w:top w:val="single" w:color="auto" w:sz="4" w:space="0"/>
                    <w:right w:val="single" w:color="auto" w:sz="4" w:space="0"/>
                  </w:tcBorders>
                  <w:noWrap w:val="0"/>
                  <w:vAlign w:val="center"/>
                </w:tcPr>
                <w:p w14:paraId="784E6B00">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ascii="Times New Roman" w:hAnsi="Times New Roman" w:eastAsia="宋体" w:cs="Times New Roman"/>
                      <w:bCs/>
                      <w:snapToGrid w:val="0"/>
                      <w:sz w:val="21"/>
                      <w:szCs w:val="21"/>
                      <w:highlight w:val="none"/>
                      <w:lang w:val="en-US" w:eastAsia="zh-CN"/>
                    </w:rPr>
                  </w:pPr>
                  <w:r>
                    <w:rPr>
                      <w:rFonts w:hint="eastAsia" w:ascii="Times New Roman" w:hAnsi="Times New Roman" w:eastAsia="宋体" w:cs="Times New Roman"/>
                      <w:bCs/>
                      <w:snapToGrid w:val="0"/>
                      <w:sz w:val="21"/>
                      <w:szCs w:val="21"/>
                      <w:highlight w:val="none"/>
                      <w:lang w:val="en-US" w:eastAsia="zh-CN"/>
                    </w:rPr>
                    <w:t>符合性</w:t>
                  </w:r>
                </w:p>
              </w:tc>
            </w:tr>
            <w:tr w14:paraId="245BB2D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943" w:hRule="atLeast"/>
                <w:jc w:val="center"/>
              </w:trPr>
              <w:tc>
                <w:tcPr>
                  <w:tcW w:w="413" w:type="pct"/>
                  <w:tcBorders>
                    <w:left w:val="single" w:color="auto" w:sz="4" w:space="0"/>
                  </w:tcBorders>
                  <w:noWrap w:val="0"/>
                  <w:vAlign w:val="center"/>
                </w:tcPr>
                <w:p w14:paraId="22994DE0">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重点</w:t>
                  </w:r>
                </w:p>
                <w:p w14:paraId="44BAD154">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防渗区</w:t>
                  </w:r>
                </w:p>
              </w:tc>
              <w:tc>
                <w:tcPr>
                  <w:tcW w:w="393" w:type="pct"/>
                  <w:noWrap w:val="0"/>
                  <w:vAlign w:val="center"/>
                </w:tcPr>
                <w:p w14:paraId="537A7BB7">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罐区</w:t>
                  </w:r>
                </w:p>
              </w:tc>
              <w:tc>
                <w:tcPr>
                  <w:tcW w:w="1275" w:type="pct"/>
                  <w:noWrap w:val="0"/>
                  <w:vAlign w:val="center"/>
                </w:tcPr>
                <w:p w14:paraId="63A64BC9">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储罐区</w:t>
                  </w:r>
                  <w:r>
                    <w:rPr>
                      <w:rFonts w:hint="eastAsia" w:ascii="Times New Roman" w:hAnsi="Times New Roman" w:cs="Times New Roman"/>
                      <w:sz w:val="21"/>
                      <w:szCs w:val="21"/>
                      <w:highlight w:val="none"/>
                      <w:lang w:val="en-US" w:eastAsia="zh-CN"/>
                    </w:rPr>
                    <w:t>采用</w:t>
                  </w:r>
                  <w:r>
                    <w:rPr>
                      <w:rFonts w:hint="eastAsia" w:ascii="Times New Roman" w:hAnsi="Times New Roman" w:eastAsia="宋体" w:cs="Times New Roman"/>
                      <w:sz w:val="21"/>
                      <w:szCs w:val="21"/>
                      <w:highlight w:val="none"/>
                      <w:lang w:val="en-US" w:eastAsia="zh-CN"/>
                    </w:rPr>
                    <w:t>C30抗渗混凝土，抗渗等级P6</w:t>
                  </w:r>
                  <w:r>
                    <w:rPr>
                      <w:rFonts w:hint="eastAsia" w:ascii="Times New Roman" w:hAnsi="Times New Roman" w:cs="Times New Roman"/>
                      <w:sz w:val="21"/>
                      <w:szCs w:val="21"/>
                      <w:highlight w:val="none"/>
                      <w:lang w:val="en-US" w:eastAsia="zh-CN"/>
                    </w:rPr>
                    <w:t>。</w:t>
                  </w:r>
                </w:p>
              </w:tc>
              <w:tc>
                <w:tcPr>
                  <w:tcW w:w="1005" w:type="pct"/>
                  <w:noWrap w:val="0"/>
                  <w:vAlign w:val="center"/>
                </w:tcPr>
                <w:p w14:paraId="22610FB9">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等效黏土防渗层大于等于6.0m，渗透系数小于等于10</w:t>
                  </w:r>
                  <w:r>
                    <w:rPr>
                      <w:rFonts w:ascii="Times New Roman" w:hAnsi="Times New Roman" w:eastAsia="宋体" w:cs="Times New Roman"/>
                      <w:sz w:val="21"/>
                      <w:szCs w:val="21"/>
                      <w:highlight w:val="none"/>
                      <w:vertAlign w:val="superscript"/>
                    </w:rPr>
                    <w:t>-7</w:t>
                  </w:r>
                  <w:r>
                    <w:rPr>
                      <w:rFonts w:ascii="Times New Roman" w:hAnsi="Times New Roman" w:eastAsia="宋体" w:cs="Times New Roman"/>
                      <w:sz w:val="21"/>
                      <w:szCs w:val="21"/>
                      <w:highlight w:val="none"/>
                    </w:rPr>
                    <w:t>cm/s</w:t>
                  </w:r>
                </w:p>
              </w:tc>
              <w:tc>
                <w:tcPr>
                  <w:tcW w:w="1663" w:type="pct"/>
                  <w:noWrap w:val="0"/>
                  <w:vAlign w:val="center"/>
                </w:tcPr>
                <w:p w14:paraId="5A59E8D8">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《石油化工工程防渗技术规范》（GB/T50934-2013）</w:t>
                  </w:r>
                  <w:r>
                    <w:rPr>
                      <w:rFonts w:hint="eastAsia" w:ascii="Times New Roman" w:hAnsi="Times New Roman" w:cs="Times New Roman"/>
                      <w:sz w:val="21"/>
                      <w:szCs w:val="21"/>
                      <w:highlight w:val="none"/>
                      <w:lang w:eastAsia="zh-CN"/>
                    </w:rPr>
                    <w:t>、</w:t>
                  </w:r>
                  <w:r>
                    <w:rPr>
                      <w:rFonts w:ascii="Times New Roman" w:hAnsi="Times New Roman" w:eastAsia="宋体" w:cs="Times New Roman"/>
                      <w:sz w:val="21"/>
                      <w:szCs w:val="21"/>
                      <w:highlight w:val="none"/>
                    </w:rPr>
                    <w:t>《环境影响评价技术导则地下水环境》（HJ610-2016）</w:t>
                  </w:r>
                </w:p>
              </w:tc>
              <w:tc>
                <w:tcPr>
                  <w:tcW w:w="248" w:type="pct"/>
                  <w:tcBorders>
                    <w:right w:val="single" w:color="auto" w:sz="4" w:space="0"/>
                  </w:tcBorders>
                  <w:noWrap w:val="0"/>
                  <w:vAlign w:val="center"/>
                </w:tcPr>
                <w:p w14:paraId="22B6DCFE">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符合</w:t>
                  </w:r>
                </w:p>
              </w:tc>
            </w:tr>
            <w:tr w14:paraId="493BE46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13" w:type="pct"/>
                  <w:tcBorders>
                    <w:left w:val="single" w:color="auto" w:sz="4" w:space="0"/>
                    <w:bottom w:val="single" w:color="auto" w:sz="4" w:space="0"/>
                  </w:tcBorders>
                  <w:noWrap w:val="0"/>
                  <w:vAlign w:val="center"/>
                </w:tcPr>
                <w:p w14:paraId="0B86E1D8">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一般</w:t>
                  </w:r>
                </w:p>
                <w:p w14:paraId="539B8D91">
                  <w:pPr>
                    <w:pStyle w:val="12"/>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防渗区</w:t>
                  </w:r>
                </w:p>
              </w:tc>
              <w:tc>
                <w:tcPr>
                  <w:tcW w:w="393" w:type="pct"/>
                  <w:tcBorders>
                    <w:bottom w:val="single" w:color="auto" w:sz="4" w:space="0"/>
                  </w:tcBorders>
                  <w:noWrap w:val="0"/>
                  <w:vAlign w:val="center"/>
                </w:tcPr>
                <w:p w14:paraId="6FE4550D">
                  <w:pPr>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装置区</w:t>
                  </w:r>
                </w:p>
              </w:tc>
              <w:tc>
                <w:tcPr>
                  <w:tcW w:w="1275" w:type="pct"/>
                  <w:tcBorders>
                    <w:bottom w:val="single" w:color="auto" w:sz="4" w:space="0"/>
                  </w:tcBorders>
                  <w:noWrap w:val="0"/>
                  <w:vAlign w:val="center"/>
                </w:tcPr>
                <w:p w14:paraId="6E1CDEA0">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厂房地面采用C30混凝土地面，厚度200mm</w:t>
                  </w:r>
                  <w:r>
                    <w:rPr>
                      <w:rFonts w:hint="eastAsia" w:ascii="Times New Roman" w:hAnsi="Times New Roman" w:cs="Times New Roman"/>
                      <w:sz w:val="21"/>
                      <w:szCs w:val="21"/>
                      <w:highlight w:val="none"/>
                      <w:lang w:val="en-US" w:eastAsia="zh-CN"/>
                    </w:rPr>
                    <w:t>。</w:t>
                  </w:r>
                </w:p>
              </w:tc>
              <w:tc>
                <w:tcPr>
                  <w:tcW w:w="1005" w:type="pct"/>
                  <w:tcBorders>
                    <w:bottom w:val="single" w:color="auto" w:sz="4" w:space="0"/>
                  </w:tcBorders>
                  <w:noWrap w:val="0"/>
                  <w:vAlign w:val="center"/>
                </w:tcPr>
                <w:p w14:paraId="490E6A4D">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ascii="Times New Roman" w:hAnsi="Times New Roman" w:eastAsia="宋体" w:cs="Times New Roman"/>
                      <w:snapToGrid w:val="0"/>
                      <w:sz w:val="21"/>
                      <w:szCs w:val="21"/>
                      <w:highlight w:val="none"/>
                    </w:rPr>
                  </w:pPr>
                  <w:r>
                    <w:rPr>
                      <w:rFonts w:ascii="Times New Roman" w:hAnsi="Times New Roman" w:eastAsia="宋体" w:cs="Times New Roman"/>
                      <w:sz w:val="21"/>
                      <w:szCs w:val="21"/>
                      <w:highlight w:val="none"/>
                    </w:rPr>
                    <w:t>等效黏土防渗层大于等于1.5m，渗透系数小于等于10</w:t>
                  </w:r>
                  <w:r>
                    <w:rPr>
                      <w:rFonts w:ascii="Times New Roman" w:hAnsi="Times New Roman" w:eastAsia="宋体" w:cs="Times New Roman"/>
                      <w:sz w:val="21"/>
                      <w:szCs w:val="21"/>
                      <w:highlight w:val="none"/>
                      <w:vertAlign w:val="superscript"/>
                    </w:rPr>
                    <w:t>-7</w:t>
                  </w:r>
                  <w:r>
                    <w:rPr>
                      <w:rFonts w:ascii="Times New Roman" w:hAnsi="Times New Roman" w:eastAsia="宋体" w:cs="Times New Roman"/>
                      <w:sz w:val="21"/>
                      <w:szCs w:val="21"/>
                      <w:highlight w:val="none"/>
                    </w:rPr>
                    <w:t>cm/s</w:t>
                  </w:r>
                </w:p>
              </w:tc>
              <w:tc>
                <w:tcPr>
                  <w:tcW w:w="1663" w:type="pct"/>
                  <w:tcBorders>
                    <w:bottom w:val="single" w:color="auto" w:sz="4" w:space="0"/>
                  </w:tcBorders>
                  <w:noWrap w:val="0"/>
                  <w:vAlign w:val="center"/>
                </w:tcPr>
                <w:p w14:paraId="653F1326">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ascii="Times New Roman" w:hAnsi="Times New Roman" w:eastAsia="宋体" w:cs="Times New Roman"/>
                      <w:snapToGrid w:val="0"/>
                      <w:sz w:val="21"/>
                      <w:szCs w:val="21"/>
                      <w:highlight w:val="none"/>
                    </w:rPr>
                  </w:pPr>
                  <w:r>
                    <w:rPr>
                      <w:rFonts w:hint="eastAsia" w:ascii="Times New Roman" w:hAnsi="Times New Roman" w:eastAsia="宋体" w:cs="Times New Roman"/>
                      <w:sz w:val="21"/>
                      <w:szCs w:val="21"/>
                      <w:highlight w:val="none"/>
                    </w:rPr>
                    <w:t>《石油化工工程防渗技术规范》（GB/T50934-2013）</w:t>
                  </w:r>
                  <w:r>
                    <w:rPr>
                      <w:rFonts w:hint="eastAsia" w:ascii="Times New Roman" w:hAnsi="Times New Roman" w:cs="Times New Roman"/>
                      <w:sz w:val="21"/>
                      <w:szCs w:val="21"/>
                      <w:highlight w:val="none"/>
                      <w:lang w:eastAsia="zh-CN"/>
                    </w:rPr>
                    <w:t>、</w:t>
                  </w:r>
                  <w:r>
                    <w:rPr>
                      <w:rFonts w:ascii="Times New Roman" w:hAnsi="Times New Roman" w:eastAsia="宋体" w:cs="Times New Roman"/>
                      <w:sz w:val="21"/>
                      <w:szCs w:val="21"/>
                      <w:highlight w:val="none"/>
                    </w:rPr>
                    <w:t>《环境影响评价技术导则地下水环境》（HJ610-2016）</w:t>
                  </w:r>
                </w:p>
              </w:tc>
              <w:tc>
                <w:tcPr>
                  <w:tcW w:w="248" w:type="pct"/>
                  <w:tcBorders>
                    <w:bottom w:val="single" w:color="auto" w:sz="4" w:space="0"/>
                    <w:right w:val="single" w:color="auto" w:sz="4" w:space="0"/>
                  </w:tcBorders>
                  <w:noWrap w:val="0"/>
                  <w:vAlign w:val="center"/>
                </w:tcPr>
                <w:p w14:paraId="31F95E76">
                  <w:pPr>
                    <w:pStyle w:val="12"/>
                    <w:keepNext w:val="0"/>
                    <w:keepLines w:val="0"/>
                    <w:pageBreakBefore w:val="0"/>
                    <w:widowControl w:val="0"/>
                    <w:kinsoku/>
                    <w:wordWrap/>
                    <w:overflowPunct/>
                    <w:topLinePunct w:val="0"/>
                    <w:autoSpaceDE/>
                    <w:autoSpaceDN/>
                    <w:bidi w:val="0"/>
                    <w:adjustRightInd/>
                    <w:spacing w:line="240" w:lineRule="atLeast"/>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符合</w:t>
                  </w:r>
                </w:p>
              </w:tc>
            </w:tr>
          </w:tbl>
          <w:p w14:paraId="6649A3F7">
            <w:pPr>
              <w:autoSpaceDE w:val="0"/>
              <w:autoSpaceDN w:val="0"/>
              <w:spacing w:line="240" w:lineRule="auto"/>
              <w:ind w:firstLine="482" w:firstLineChars="200"/>
              <w:contextualSpacing/>
              <w:rPr>
                <w:rFonts w:hint="eastAsia"/>
                <w:b/>
                <w:bCs/>
                <w:sz w:val="24"/>
                <w:lang w:val="en-US" w:eastAsia="zh-CN"/>
              </w:rPr>
            </w:pPr>
            <w:r>
              <w:rPr>
                <w:rFonts w:hint="eastAsia"/>
                <w:b/>
                <w:bCs/>
                <w:sz w:val="24"/>
                <w:lang w:val="en-US" w:eastAsia="zh-CN"/>
              </w:rPr>
              <w:t>（3）监测计划</w:t>
            </w:r>
          </w:p>
          <w:p w14:paraId="6F375841">
            <w:pPr>
              <w:spacing w:line="360" w:lineRule="auto"/>
              <w:ind w:firstLine="480" w:firstLineChars="200"/>
              <w:rPr>
                <w:rFonts w:hint="default" w:eastAsia="宋体"/>
                <w:sz w:val="24"/>
                <w:szCs w:val="32"/>
                <w:lang w:val="en-US" w:eastAsia="zh-CN"/>
              </w:rPr>
            </w:pPr>
            <w:r>
              <w:rPr>
                <w:sz w:val="24"/>
                <w:szCs w:val="32"/>
              </w:rPr>
              <w:t>本项目监测</w:t>
            </w:r>
            <w:r>
              <w:rPr>
                <w:rFonts w:hint="eastAsia"/>
                <w:sz w:val="24"/>
                <w:szCs w:val="32"/>
                <w:lang w:val="en-US" w:eastAsia="zh-CN"/>
              </w:rPr>
              <w:t>计划并入现有监测计划内，不单独开展。</w:t>
            </w:r>
          </w:p>
          <w:p w14:paraId="19EAA68C">
            <w:pPr>
              <w:spacing w:line="360" w:lineRule="auto"/>
              <w:ind w:firstLine="480" w:firstLineChars="200"/>
              <w:rPr>
                <w:rFonts w:hint="eastAsia" w:eastAsia="宋体"/>
                <w:sz w:val="24"/>
                <w:szCs w:val="32"/>
                <w:lang w:eastAsia="zh-CN"/>
              </w:rPr>
            </w:pPr>
            <w:r>
              <w:rPr>
                <w:rFonts w:hint="eastAsia"/>
                <w:sz w:val="24"/>
                <w:szCs w:val="32"/>
                <w:lang w:val="en-US" w:eastAsia="zh-CN"/>
              </w:rPr>
              <w:t>监测</w:t>
            </w:r>
            <w:r>
              <w:rPr>
                <w:sz w:val="24"/>
                <w:szCs w:val="32"/>
              </w:rPr>
              <w:t>项目及频次</w:t>
            </w:r>
            <w:r>
              <w:rPr>
                <w:sz w:val="24"/>
                <w:szCs w:val="20"/>
              </w:rPr>
              <w:t>参照《排污单位自行监测技术指南总则》（HJ819-2017）</w:t>
            </w:r>
            <w:r>
              <w:rPr>
                <w:rFonts w:hint="eastAsia"/>
                <w:sz w:val="24"/>
                <w:szCs w:val="20"/>
              </w:rPr>
              <w:t>、《排污单位自行监测技术指南</w:t>
            </w:r>
            <w:r>
              <w:rPr>
                <w:rFonts w:hint="eastAsia"/>
                <w:sz w:val="24"/>
                <w:szCs w:val="20"/>
                <w:lang w:val="en-US" w:eastAsia="zh-CN"/>
              </w:rPr>
              <w:t xml:space="preserve"> </w:t>
            </w:r>
            <w:r>
              <w:rPr>
                <w:rFonts w:hint="eastAsia"/>
                <w:sz w:val="24"/>
                <w:szCs w:val="20"/>
              </w:rPr>
              <w:t>石油化学工业》（HJ947-2018）、</w:t>
            </w:r>
            <w:r>
              <w:rPr>
                <w:rFonts w:hint="eastAsia"/>
                <w:sz w:val="24"/>
              </w:rPr>
              <w:t>《排污许可申请与核发技术规范</w:t>
            </w:r>
            <w:r>
              <w:rPr>
                <w:rFonts w:hint="eastAsia"/>
                <w:sz w:val="24"/>
                <w:lang w:val="en-US" w:eastAsia="zh-CN"/>
              </w:rPr>
              <w:t xml:space="preserve"> </w:t>
            </w:r>
            <w:r>
              <w:rPr>
                <w:rFonts w:hint="eastAsia"/>
                <w:sz w:val="24"/>
              </w:rPr>
              <w:t>石化工业》</w:t>
            </w:r>
            <w:r>
              <w:rPr>
                <w:rFonts w:hint="eastAsia"/>
                <w:sz w:val="24"/>
                <w:lang w:eastAsia="zh-CN"/>
              </w:rPr>
              <w:t>（</w:t>
            </w:r>
            <w:r>
              <w:rPr>
                <w:sz w:val="24"/>
              </w:rPr>
              <w:t>HJ</w:t>
            </w:r>
            <w:r>
              <w:rPr>
                <w:rFonts w:hint="eastAsia"/>
                <w:sz w:val="24"/>
              </w:rPr>
              <w:t>853-2017</w:t>
            </w:r>
            <w:r>
              <w:rPr>
                <w:rFonts w:hint="eastAsia"/>
                <w:sz w:val="24"/>
                <w:lang w:eastAsia="zh-CN"/>
              </w:rPr>
              <w:t>）</w:t>
            </w:r>
            <w:r>
              <w:rPr>
                <w:sz w:val="24"/>
              </w:rPr>
              <w:t>、</w:t>
            </w:r>
            <w:r>
              <w:rPr>
                <w:rFonts w:hint="eastAsia"/>
                <w:sz w:val="24"/>
                <w:szCs w:val="20"/>
              </w:rPr>
              <w:t>《工业企业土壤和地下水自行监测技术指南（试行）》</w:t>
            </w:r>
            <w:r>
              <w:rPr>
                <w:rFonts w:hint="eastAsia"/>
                <w:sz w:val="24"/>
                <w:szCs w:val="20"/>
                <w:lang w:eastAsia="zh-CN"/>
              </w:rPr>
              <w:t>（</w:t>
            </w:r>
            <w:r>
              <w:rPr>
                <w:sz w:val="24"/>
                <w:szCs w:val="20"/>
              </w:rPr>
              <w:t>HJ1209</w:t>
            </w:r>
            <w:r>
              <w:rPr>
                <w:rFonts w:hint="eastAsia"/>
                <w:sz w:val="24"/>
                <w:szCs w:val="20"/>
              </w:rPr>
              <w:t>-</w:t>
            </w:r>
            <w:r>
              <w:rPr>
                <w:sz w:val="24"/>
                <w:szCs w:val="20"/>
              </w:rPr>
              <w:t>2021</w:t>
            </w:r>
            <w:r>
              <w:rPr>
                <w:rFonts w:hint="eastAsia"/>
                <w:sz w:val="24"/>
                <w:szCs w:val="20"/>
                <w:lang w:eastAsia="zh-CN"/>
              </w:rPr>
              <w:t>）</w:t>
            </w:r>
            <w:r>
              <w:rPr>
                <w:sz w:val="24"/>
                <w:szCs w:val="20"/>
              </w:rPr>
              <w:t>工程具体排污情况</w:t>
            </w:r>
            <w:r>
              <w:rPr>
                <w:sz w:val="24"/>
                <w:szCs w:val="32"/>
              </w:rPr>
              <w:t>确定</w:t>
            </w:r>
            <w:r>
              <w:rPr>
                <w:rFonts w:hint="eastAsia"/>
                <w:sz w:val="24"/>
                <w:szCs w:val="32"/>
                <w:lang w:eastAsia="zh-CN"/>
              </w:rPr>
              <w:t>。</w:t>
            </w:r>
          </w:p>
          <w:p w14:paraId="701B167E">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b/>
                <w:bCs/>
                <w:sz w:val="24"/>
                <w:szCs w:val="32"/>
              </w:rPr>
            </w:pPr>
            <w:r>
              <w:rPr>
                <w:b/>
                <w:bCs/>
                <w:sz w:val="24"/>
                <w:szCs w:val="32"/>
              </w:rPr>
              <w:t>表4-</w:t>
            </w:r>
            <w:r>
              <w:rPr>
                <w:rFonts w:hint="eastAsia"/>
                <w:b/>
                <w:bCs/>
                <w:sz w:val="24"/>
                <w:szCs w:val="32"/>
              </w:rPr>
              <w:t>1</w:t>
            </w:r>
            <w:r>
              <w:rPr>
                <w:rFonts w:hint="eastAsia"/>
                <w:b/>
                <w:bCs/>
                <w:sz w:val="24"/>
                <w:szCs w:val="32"/>
                <w:lang w:val="en-US" w:eastAsia="zh-CN"/>
              </w:rPr>
              <w:t>3：</w:t>
            </w:r>
            <w:r>
              <w:rPr>
                <w:b/>
                <w:bCs/>
                <w:sz w:val="24"/>
                <w:szCs w:val="32"/>
              </w:rPr>
              <w:t>项目监测计划一览表</w:t>
            </w:r>
          </w:p>
          <w:tbl>
            <w:tblPr>
              <w:tblStyle w:val="41"/>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54"/>
              <w:gridCol w:w="1703"/>
              <w:gridCol w:w="846"/>
              <w:gridCol w:w="2131"/>
              <w:gridCol w:w="1077"/>
            </w:tblGrid>
            <w:tr w14:paraId="44B9F6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73" w:type="pct"/>
                  <w:tcBorders>
                    <w:top w:val="single" w:color="auto" w:sz="4" w:space="0"/>
                    <w:left w:val="single" w:color="auto" w:sz="0" w:space="0"/>
                  </w:tcBorders>
                  <w:noWrap w:val="0"/>
                  <w:vAlign w:val="center"/>
                </w:tcPr>
                <w:p w14:paraId="115E0862">
                  <w:pPr>
                    <w:spacing w:line="240" w:lineRule="exact"/>
                    <w:jc w:val="center"/>
                    <w:rPr>
                      <w:b/>
                      <w:szCs w:val="21"/>
                    </w:rPr>
                  </w:pPr>
                  <w:r>
                    <w:rPr>
                      <w:b/>
                      <w:szCs w:val="21"/>
                    </w:rPr>
                    <w:t>项目</w:t>
                  </w:r>
                </w:p>
              </w:tc>
              <w:tc>
                <w:tcPr>
                  <w:tcW w:w="1165" w:type="pct"/>
                  <w:tcBorders>
                    <w:top w:val="single" w:color="auto" w:sz="4" w:space="0"/>
                  </w:tcBorders>
                  <w:noWrap w:val="0"/>
                  <w:vAlign w:val="center"/>
                </w:tcPr>
                <w:p w14:paraId="3D1AC146">
                  <w:pPr>
                    <w:spacing w:line="240" w:lineRule="exact"/>
                    <w:jc w:val="center"/>
                    <w:rPr>
                      <w:b/>
                      <w:szCs w:val="21"/>
                    </w:rPr>
                  </w:pPr>
                  <w:r>
                    <w:rPr>
                      <w:b/>
                      <w:szCs w:val="21"/>
                    </w:rPr>
                    <w:t>监测点位</w:t>
                  </w:r>
                </w:p>
              </w:tc>
              <w:tc>
                <w:tcPr>
                  <w:tcW w:w="1017" w:type="pct"/>
                  <w:tcBorders>
                    <w:top w:val="single" w:color="auto" w:sz="4" w:space="0"/>
                  </w:tcBorders>
                  <w:noWrap w:val="0"/>
                  <w:vAlign w:val="center"/>
                </w:tcPr>
                <w:p w14:paraId="536CECD5">
                  <w:pPr>
                    <w:spacing w:line="240" w:lineRule="exact"/>
                    <w:jc w:val="center"/>
                    <w:rPr>
                      <w:b/>
                      <w:szCs w:val="21"/>
                    </w:rPr>
                  </w:pPr>
                  <w:r>
                    <w:rPr>
                      <w:b/>
                      <w:szCs w:val="21"/>
                    </w:rPr>
                    <w:t>监测指标</w:t>
                  </w:r>
                </w:p>
              </w:tc>
              <w:tc>
                <w:tcPr>
                  <w:tcW w:w="481" w:type="pct"/>
                  <w:tcBorders>
                    <w:top w:val="single" w:color="auto" w:sz="4" w:space="0"/>
                  </w:tcBorders>
                  <w:noWrap w:val="0"/>
                  <w:vAlign w:val="center"/>
                </w:tcPr>
                <w:p w14:paraId="0ED2D7E4">
                  <w:pPr>
                    <w:spacing w:line="240" w:lineRule="exact"/>
                    <w:jc w:val="center"/>
                    <w:rPr>
                      <w:b/>
                      <w:szCs w:val="21"/>
                    </w:rPr>
                  </w:pPr>
                  <w:r>
                    <w:rPr>
                      <w:b/>
                      <w:szCs w:val="21"/>
                    </w:rPr>
                    <w:t>监测频次</w:t>
                  </w:r>
                </w:p>
              </w:tc>
              <w:tc>
                <w:tcPr>
                  <w:tcW w:w="1213" w:type="pct"/>
                  <w:tcBorders>
                    <w:top w:val="single" w:color="auto" w:sz="4" w:space="0"/>
                  </w:tcBorders>
                  <w:noWrap w:val="0"/>
                  <w:vAlign w:val="center"/>
                </w:tcPr>
                <w:p w14:paraId="3EA23FF8">
                  <w:pPr>
                    <w:spacing w:line="240" w:lineRule="exact"/>
                    <w:jc w:val="center"/>
                    <w:rPr>
                      <w:b/>
                      <w:szCs w:val="21"/>
                    </w:rPr>
                  </w:pPr>
                  <w:r>
                    <w:rPr>
                      <w:b/>
                      <w:szCs w:val="21"/>
                    </w:rPr>
                    <w:t>执行标准</w:t>
                  </w:r>
                </w:p>
              </w:tc>
              <w:tc>
                <w:tcPr>
                  <w:tcW w:w="648" w:type="pct"/>
                  <w:tcBorders>
                    <w:top w:val="single" w:color="auto" w:sz="4" w:space="0"/>
                    <w:right w:val="single" w:color="auto" w:sz="4" w:space="0"/>
                  </w:tcBorders>
                  <w:noWrap w:val="0"/>
                  <w:vAlign w:val="center"/>
                </w:tcPr>
                <w:p w14:paraId="23C6814D">
                  <w:pPr>
                    <w:spacing w:line="240" w:lineRule="exact"/>
                    <w:jc w:val="center"/>
                    <w:rPr>
                      <w:rFonts w:hint="eastAsia"/>
                      <w:b/>
                      <w:szCs w:val="21"/>
                    </w:rPr>
                  </w:pPr>
                  <w:r>
                    <w:rPr>
                      <w:rFonts w:hint="eastAsia"/>
                      <w:b/>
                      <w:szCs w:val="21"/>
                    </w:rPr>
                    <w:t>备注</w:t>
                  </w:r>
                </w:p>
              </w:tc>
            </w:tr>
            <w:tr w14:paraId="76D947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473" w:type="pct"/>
                  <w:tcBorders>
                    <w:left w:val="single" w:color="auto" w:sz="4" w:space="0"/>
                  </w:tcBorders>
                  <w:noWrap w:val="0"/>
                  <w:vAlign w:val="center"/>
                </w:tcPr>
                <w:p w14:paraId="7429D92E">
                  <w:pPr>
                    <w:spacing w:line="240" w:lineRule="exact"/>
                    <w:jc w:val="center"/>
                    <w:rPr>
                      <w:szCs w:val="21"/>
                    </w:rPr>
                  </w:pPr>
                  <w:r>
                    <w:rPr>
                      <w:rFonts w:hint="eastAsia"/>
                      <w:szCs w:val="21"/>
                      <w:lang w:val="en-US" w:eastAsia="zh-CN"/>
                    </w:rPr>
                    <w:t>地下水</w:t>
                  </w:r>
                </w:p>
              </w:tc>
              <w:tc>
                <w:tcPr>
                  <w:tcW w:w="1165" w:type="pct"/>
                  <w:noWrap w:val="0"/>
                  <w:vAlign w:val="center"/>
                </w:tcPr>
                <w:p w14:paraId="5596E1A6">
                  <w:pPr>
                    <w:jc w:val="center"/>
                    <w:rPr>
                      <w:rFonts w:hint="default" w:eastAsia="宋体"/>
                      <w:szCs w:val="21"/>
                      <w:lang w:val="en-US" w:eastAsia="zh-CN"/>
                    </w:rPr>
                  </w:pPr>
                  <w:r>
                    <w:rPr>
                      <w:rFonts w:hint="eastAsia"/>
                      <w:szCs w:val="21"/>
                      <w:lang w:val="en-US" w:eastAsia="zh-CN"/>
                    </w:rPr>
                    <w:t>1#</w:t>
                  </w:r>
                </w:p>
              </w:tc>
              <w:tc>
                <w:tcPr>
                  <w:tcW w:w="1017" w:type="pct"/>
                  <w:noWrap w:val="0"/>
                  <w:vAlign w:val="center"/>
                </w:tcPr>
                <w:p w14:paraId="480F26AB">
                  <w:pPr>
                    <w:jc w:val="center"/>
                    <w:rPr>
                      <w:rFonts w:hint="default"/>
                      <w:szCs w:val="21"/>
                      <w:lang w:val="en-US" w:eastAsia="zh-CN"/>
                    </w:rPr>
                  </w:pPr>
                  <w:r>
                    <w:rPr>
                      <w:rFonts w:hint="eastAsia"/>
                      <w:szCs w:val="21"/>
                      <w:lang w:val="en-US" w:eastAsia="zh-CN"/>
                    </w:rPr>
                    <w:t>pH、COD、BOD、氨氮、氟化物、石油类、总硬度、铜、锌、镉、砷、汞、铅、六价铬、氯化物、硫酸盐、溶解性总固体、总硬度、地下水位等。</w:t>
                  </w:r>
                </w:p>
              </w:tc>
              <w:tc>
                <w:tcPr>
                  <w:tcW w:w="481" w:type="pct"/>
                  <w:noWrap w:val="0"/>
                  <w:vAlign w:val="center"/>
                </w:tcPr>
                <w:p w14:paraId="654D5965">
                  <w:pPr>
                    <w:jc w:val="center"/>
                    <w:rPr>
                      <w:rFonts w:hint="eastAsia" w:eastAsia="宋体"/>
                      <w:szCs w:val="21"/>
                      <w:lang w:eastAsia="zh-CN"/>
                    </w:rPr>
                  </w:pPr>
                  <w:r>
                    <w:rPr>
                      <w:rFonts w:hint="eastAsia"/>
                      <w:szCs w:val="21"/>
                    </w:rPr>
                    <w:t>每年监测2次（枯、丰水期各一次）</w:t>
                  </w:r>
                  <w:r>
                    <w:rPr>
                      <w:rFonts w:hint="eastAsia"/>
                      <w:szCs w:val="21"/>
                      <w:lang w:eastAsia="zh-CN"/>
                    </w:rPr>
                    <w:t>。</w:t>
                  </w:r>
                </w:p>
              </w:tc>
              <w:tc>
                <w:tcPr>
                  <w:tcW w:w="1213" w:type="pct"/>
                  <w:noWrap w:val="0"/>
                  <w:vAlign w:val="center"/>
                </w:tcPr>
                <w:p w14:paraId="2EDF58EB">
                  <w:pPr>
                    <w:jc w:val="center"/>
                    <w:rPr>
                      <w:rFonts w:hint="eastAsia" w:eastAsia="宋体"/>
                      <w:szCs w:val="21"/>
                      <w:lang w:eastAsia="zh-CN"/>
                    </w:rPr>
                  </w:pPr>
                  <w:r>
                    <w:rPr>
                      <w:rFonts w:hint="eastAsia"/>
                    </w:rPr>
                    <w:t>《地下水质量标准》（GB/T14848-2017）Ⅲ类标准，石油类参照执行《地表水环境质量标准》（GB 3838-2002）Ⅲ类标准</w:t>
                  </w:r>
                  <w:r>
                    <w:rPr>
                      <w:rFonts w:hint="eastAsia"/>
                      <w:lang w:eastAsia="zh-CN"/>
                    </w:rPr>
                    <w:t>。</w:t>
                  </w:r>
                </w:p>
              </w:tc>
              <w:tc>
                <w:tcPr>
                  <w:tcW w:w="648" w:type="pct"/>
                  <w:tcBorders>
                    <w:right w:val="single" w:color="auto" w:sz="4" w:space="0"/>
                  </w:tcBorders>
                  <w:noWrap w:val="0"/>
                  <w:vAlign w:val="center"/>
                </w:tcPr>
                <w:p w14:paraId="29F3209E">
                  <w:pPr>
                    <w:jc w:val="center"/>
                    <w:rPr>
                      <w:rFonts w:hint="eastAsia"/>
                      <w:kern w:val="0"/>
                      <w:szCs w:val="21"/>
                    </w:rPr>
                  </w:pPr>
                  <w:r>
                    <w:rPr>
                      <w:rFonts w:hint="eastAsia"/>
                      <w:kern w:val="0"/>
                      <w:szCs w:val="21"/>
                    </w:rPr>
                    <w:t>并入现有监测计划内，不单独开展</w:t>
                  </w:r>
                </w:p>
              </w:tc>
            </w:tr>
            <w:tr w14:paraId="5DD27D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73" w:type="pct"/>
                  <w:vMerge w:val="restart"/>
                  <w:tcBorders>
                    <w:left w:val="single" w:color="auto" w:sz="4" w:space="0"/>
                  </w:tcBorders>
                  <w:noWrap w:val="0"/>
                  <w:vAlign w:val="center"/>
                </w:tcPr>
                <w:p w14:paraId="4E2B4A02">
                  <w:pPr>
                    <w:spacing w:line="240" w:lineRule="exact"/>
                    <w:jc w:val="center"/>
                    <w:rPr>
                      <w:rFonts w:hint="eastAsia" w:eastAsia="宋体"/>
                      <w:szCs w:val="21"/>
                      <w:lang w:val="en-US" w:eastAsia="zh-CN"/>
                    </w:rPr>
                  </w:pPr>
                  <w:r>
                    <w:rPr>
                      <w:rFonts w:hint="eastAsia"/>
                      <w:szCs w:val="21"/>
                      <w:lang w:val="en-US" w:eastAsia="zh-CN"/>
                    </w:rPr>
                    <w:t>土壤</w:t>
                  </w:r>
                </w:p>
              </w:tc>
              <w:tc>
                <w:tcPr>
                  <w:tcW w:w="1165" w:type="pct"/>
                  <w:noWrap w:val="0"/>
                  <w:vAlign w:val="center"/>
                </w:tcPr>
                <w:p w14:paraId="1E97D5FA">
                  <w:pPr>
                    <w:jc w:val="center"/>
                    <w:rPr>
                      <w:rFonts w:hint="default" w:eastAsia="宋体"/>
                      <w:szCs w:val="21"/>
                      <w:lang w:val="en-US" w:eastAsia="zh-CN"/>
                    </w:rPr>
                  </w:pPr>
                  <w:r>
                    <w:rPr>
                      <w:rFonts w:hint="eastAsia"/>
                      <w:szCs w:val="21"/>
                      <w:lang w:val="en-US" w:eastAsia="zh-CN"/>
                    </w:rPr>
                    <w:t>AT1危废库周围</w:t>
                  </w:r>
                </w:p>
              </w:tc>
              <w:tc>
                <w:tcPr>
                  <w:tcW w:w="1017" w:type="pct"/>
                  <w:vMerge w:val="restart"/>
                  <w:noWrap w:val="0"/>
                  <w:vAlign w:val="center"/>
                </w:tcPr>
                <w:p w14:paraId="48797F1E">
                  <w:pPr>
                    <w:jc w:val="center"/>
                    <w:rPr>
                      <w:rFonts w:hint="default" w:eastAsia="宋体"/>
                      <w:szCs w:val="21"/>
                      <w:lang w:val="en-US" w:eastAsia="zh-CN"/>
                    </w:rPr>
                  </w:pPr>
                  <w:r>
                    <w:rPr>
                      <w:rFonts w:hint="eastAsia"/>
                      <w:szCs w:val="21"/>
                      <w:highlight w:val="none"/>
                    </w:rPr>
                    <w:t>pH、</w:t>
                  </w:r>
                  <w:r>
                    <w:rPr>
                      <w:rFonts w:hint="eastAsia"/>
                      <w:szCs w:val="21"/>
                      <w:highlight w:val="none"/>
                      <w:lang w:val="en-US" w:eastAsia="zh-CN"/>
                    </w:rPr>
                    <w:t>石油烃</w:t>
                  </w:r>
                </w:p>
              </w:tc>
              <w:tc>
                <w:tcPr>
                  <w:tcW w:w="481" w:type="pct"/>
                  <w:vMerge w:val="restart"/>
                  <w:noWrap w:val="0"/>
                  <w:vAlign w:val="center"/>
                </w:tcPr>
                <w:p w14:paraId="7114DB68">
                  <w:pPr>
                    <w:jc w:val="center"/>
                    <w:rPr>
                      <w:rFonts w:hint="eastAsia" w:eastAsia="宋体"/>
                      <w:kern w:val="2"/>
                      <w:sz w:val="21"/>
                      <w:szCs w:val="21"/>
                      <w:lang w:val="en-US" w:eastAsia="zh-CN" w:bidi="ar-SA"/>
                    </w:rPr>
                  </w:pPr>
                  <w:r>
                    <w:rPr>
                      <w:szCs w:val="21"/>
                    </w:rPr>
                    <w:t>表层样1次/年、深层样</w:t>
                  </w:r>
                  <w:r>
                    <w:rPr>
                      <w:rFonts w:hint="eastAsia"/>
                      <w:szCs w:val="21"/>
                      <w:lang w:val="en-US" w:eastAsia="zh-CN"/>
                    </w:rPr>
                    <w:t>1</w:t>
                  </w:r>
                  <w:r>
                    <w:rPr>
                      <w:szCs w:val="21"/>
                    </w:rPr>
                    <w:t>次/3年</w:t>
                  </w:r>
                  <w:r>
                    <w:rPr>
                      <w:rFonts w:hint="eastAsia"/>
                      <w:szCs w:val="21"/>
                      <w:lang w:eastAsia="zh-CN"/>
                    </w:rPr>
                    <w:t>。</w:t>
                  </w:r>
                </w:p>
              </w:tc>
              <w:tc>
                <w:tcPr>
                  <w:tcW w:w="1213" w:type="pct"/>
                  <w:vMerge w:val="restart"/>
                  <w:noWrap w:val="0"/>
                  <w:vAlign w:val="center"/>
                </w:tcPr>
                <w:p w14:paraId="473DB02A">
                  <w:pPr>
                    <w:jc w:val="center"/>
                    <w:rPr>
                      <w:rFonts w:hint="eastAsia" w:eastAsia="宋体"/>
                      <w:kern w:val="2"/>
                      <w:sz w:val="21"/>
                      <w:szCs w:val="21"/>
                      <w:lang w:val="en-US" w:eastAsia="zh-CN" w:bidi="ar-SA"/>
                    </w:rPr>
                  </w:pPr>
                  <w:r>
                    <w:rPr>
                      <w:szCs w:val="21"/>
                      <w:lang w:bidi="ar"/>
                    </w:rPr>
                    <w:t>执行《土壤环境质量建设用地土壤污染风险管控标</w:t>
                  </w:r>
                  <w:r>
                    <w:rPr>
                      <w:rFonts w:hint="eastAsia"/>
                      <w:szCs w:val="21"/>
                      <w:lang w:eastAsia="zh-CN" w:bidi="ar"/>
                    </w:rPr>
                    <w:t>准</w:t>
                  </w:r>
                  <w:r>
                    <w:rPr>
                      <w:szCs w:val="21"/>
                      <w:lang w:bidi="ar"/>
                    </w:rPr>
                    <w:t>》</w:t>
                  </w:r>
                  <w:r>
                    <w:rPr>
                      <w:szCs w:val="21"/>
                    </w:rPr>
                    <w:t>（GB36600-2018）第二类用地筛选值标准</w:t>
                  </w:r>
                  <w:r>
                    <w:rPr>
                      <w:rFonts w:hint="eastAsia"/>
                      <w:szCs w:val="21"/>
                      <w:lang w:eastAsia="zh-CN"/>
                    </w:rPr>
                    <w:t>。</w:t>
                  </w:r>
                </w:p>
              </w:tc>
              <w:tc>
                <w:tcPr>
                  <w:tcW w:w="648" w:type="pct"/>
                  <w:vMerge w:val="restart"/>
                  <w:tcBorders>
                    <w:right w:val="single" w:color="auto" w:sz="4" w:space="0"/>
                  </w:tcBorders>
                  <w:noWrap w:val="0"/>
                  <w:vAlign w:val="center"/>
                </w:tcPr>
                <w:p w14:paraId="01F768FB">
                  <w:pPr>
                    <w:jc w:val="center"/>
                    <w:rPr>
                      <w:rFonts w:hint="eastAsia"/>
                      <w:kern w:val="0"/>
                      <w:szCs w:val="21"/>
                    </w:rPr>
                  </w:pPr>
                  <w:r>
                    <w:rPr>
                      <w:rFonts w:hint="eastAsia"/>
                      <w:kern w:val="0"/>
                      <w:szCs w:val="21"/>
                    </w:rPr>
                    <w:t>并入现有监测计划内，不单独开展</w:t>
                  </w:r>
                </w:p>
              </w:tc>
            </w:tr>
            <w:tr w14:paraId="130FC0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73" w:type="pct"/>
                  <w:vMerge w:val="continue"/>
                  <w:tcBorders>
                    <w:left w:val="single" w:color="auto" w:sz="4" w:space="0"/>
                  </w:tcBorders>
                  <w:noWrap w:val="0"/>
                  <w:vAlign w:val="center"/>
                </w:tcPr>
                <w:p w14:paraId="30FBFA3C">
                  <w:pPr>
                    <w:jc w:val="center"/>
                  </w:pPr>
                </w:p>
              </w:tc>
              <w:tc>
                <w:tcPr>
                  <w:tcW w:w="1165" w:type="pct"/>
                  <w:noWrap w:val="0"/>
                  <w:vAlign w:val="center"/>
                </w:tcPr>
                <w:p w14:paraId="54D7E950">
                  <w:pPr>
                    <w:jc w:val="center"/>
                    <w:rPr>
                      <w:rFonts w:hint="default" w:eastAsia="宋体"/>
                      <w:szCs w:val="21"/>
                      <w:lang w:val="en-US" w:eastAsia="zh-CN"/>
                    </w:rPr>
                  </w:pPr>
                  <w:r>
                    <w:rPr>
                      <w:rFonts w:hint="eastAsia"/>
                      <w:szCs w:val="21"/>
                      <w:lang w:val="en-US" w:eastAsia="zh-CN"/>
                    </w:rPr>
                    <w:t>AT2装置周围</w:t>
                  </w:r>
                </w:p>
              </w:tc>
              <w:tc>
                <w:tcPr>
                  <w:tcW w:w="1017" w:type="pct"/>
                  <w:vMerge w:val="continue"/>
                  <w:noWrap w:val="0"/>
                  <w:vAlign w:val="center"/>
                </w:tcPr>
                <w:p w14:paraId="55B0CFD9">
                  <w:pPr>
                    <w:jc w:val="center"/>
                    <w:rPr>
                      <w:szCs w:val="21"/>
                      <w:lang w:val="zh-CN"/>
                    </w:rPr>
                  </w:pPr>
                </w:p>
              </w:tc>
              <w:tc>
                <w:tcPr>
                  <w:tcW w:w="481" w:type="pct"/>
                  <w:vMerge w:val="continue"/>
                  <w:noWrap w:val="0"/>
                  <w:vAlign w:val="center"/>
                </w:tcPr>
                <w:p w14:paraId="729043B2">
                  <w:pPr>
                    <w:jc w:val="center"/>
                    <w:rPr>
                      <w:szCs w:val="21"/>
                      <w:lang w:val="zh-CN"/>
                    </w:rPr>
                  </w:pPr>
                </w:p>
              </w:tc>
              <w:tc>
                <w:tcPr>
                  <w:tcW w:w="1213" w:type="pct"/>
                  <w:vMerge w:val="continue"/>
                  <w:noWrap w:val="0"/>
                  <w:vAlign w:val="center"/>
                </w:tcPr>
                <w:p w14:paraId="608FA40F">
                  <w:pPr>
                    <w:jc w:val="center"/>
                    <w:rPr>
                      <w:szCs w:val="21"/>
                      <w:lang w:val="zh-CN"/>
                    </w:rPr>
                  </w:pPr>
                </w:p>
              </w:tc>
              <w:tc>
                <w:tcPr>
                  <w:tcW w:w="648" w:type="pct"/>
                  <w:vMerge w:val="continue"/>
                  <w:tcBorders>
                    <w:right w:val="single" w:color="auto" w:sz="4" w:space="0"/>
                  </w:tcBorders>
                  <w:noWrap w:val="0"/>
                  <w:vAlign w:val="center"/>
                </w:tcPr>
                <w:p w14:paraId="4020760C">
                  <w:pPr>
                    <w:jc w:val="center"/>
                    <w:rPr>
                      <w:szCs w:val="21"/>
                      <w:lang w:val="zh-CN"/>
                    </w:rPr>
                  </w:pPr>
                </w:p>
              </w:tc>
            </w:tr>
            <w:tr w14:paraId="0DC62B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73" w:type="pct"/>
                  <w:vMerge w:val="continue"/>
                  <w:tcBorders>
                    <w:left w:val="single" w:color="auto" w:sz="4" w:space="0"/>
                  </w:tcBorders>
                  <w:noWrap w:val="0"/>
                  <w:vAlign w:val="center"/>
                </w:tcPr>
                <w:p w14:paraId="409E838B">
                  <w:pPr>
                    <w:jc w:val="center"/>
                  </w:pPr>
                </w:p>
              </w:tc>
              <w:tc>
                <w:tcPr>
                  <w:tcW w:w="1165" w:type="pct"/>
                  <w:noWrap w:val="0"/>
                  <w:vAlign w:val="center"/>
                </w:tcPr>
                <w:p w14:paraId="1EE9AB5B">
                  <w:pPr>
                    <w:jc w:val="center"/>
                    <w:rPr>
                      <w:rFonts w:hint="default"/>
                      <w:szCs w:val="21"/>
                      <w:lang w:val="en-US" w:eastAsia="zh-CN"/>
                    </w:rPr>
                  </w:pPr>
                  <w:r>
                    <w:rPr>
                      <w:rFonts w:hint="eastAsia"/>
                      <w:szCs w:val="21"/>
                      <w:lang w:val="en-US" w:eastAsia="zh-CN"/>
                    </w:rPr>
                    <w:t>AT3罐区</w:t>
                  </w:r>
                </w:p>
              </w:tc>
              <w:tc>
                <w:tcPr>
                  <w:tcW w:w="1017" w:type="pct"/>
                  <w:vMerge w:val="continue"/>
                  <w:noWrap w:val="0"/>
                  <w:vAlign w:val="center"/>
                </w:tcPr>
                <w:p w14:paraId="589DF4AA">
                  <w:pPr>
                    <w:jc w:val="center"/>
                    <w:rPr>
                      <w:szCs w:val="21"/>
                      <w:lang w:val="zh-CN"/>
                    </w:rPr>
                  </w:pPr>
                </w:p>
              </w:tc>
              <w:tc>
                <w:tcPr>
                  <w:tcW w:w="481" w:type="pct"/>
                  <w:vMerge w:val="continue"/>
                  <w:noWrap w:val="0"/>
                  <w:vAlign w:val="center"/>
                </w:tcPr>
                <w:p w14:paraId="6F289D1C">
                  <w:pPr>
                    <w:jc w:val="center"/>
                    <w:rPr>
                      <w:szCs w:val="21"/>
                      <w:lang w:val="zh-CN"/>
                    </w:rPr>
                  </w:pPr>
                </w:p>
              </w:tc>
              <w:tc>
                <w:tcPr>
                  <w:tcW w:w="1213" w:type="pct"/>
                  <w:vMerge w:val="continue"/>
                  <w:noWrap w:val="0"/>
                  <w:vAlign w:val="center"/>
                </w:tcPr>
                <w:p w14:paraId="33F65548">
                  <w:pPr>
                    <w:jc w:val="center"/>
                    <w:rPr>
                      <w:szCs w:val="21"/>
                      <w:lang w:val="zh-CN"/>
                    </w:rPr>
                  </w:pPr>
                </w:p>
              </w:tc>
              <w:tc>
                <w:tcPr>
                  <w:tcW w:w="648" w:type="pct"/>
                  <w:vMerge w:val="continue"/>
                  <w:tcBorders>
                    <w:right w:val="single" w:color="auto" w:sz="4" w:space="0"/>
                  </w:tcBorders>
                  <w:noWrap w:val="0"/>
                  <w:vAlign w:val="center"/>
                </w:tcPr>
                <w:p w14:paraId="1E2B8294">
                  <w:pPr>
                    <w:jc w:val="center"/>
                    <w:rPr>
                      <w:szCs w:val="21"/>
                      <w:lang w:val="zh-CN"/>
                    </w:rPr>
                  </w:pPr>
                </w:p>
              </w:tc>
            </w:tr>
            <w:tr w14:paraId="054BDD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9" w:hRule="atLeast"/>
                <w:jc w:val="center"/>
              </w:trPr>
              <w:tc>
                <w:tcPr>
                  <w:tcW w:w="473" w:type="pct"/>
                  <w:vMerge w:val="continue"/>
                  <w:tcBorders>
                    <w:left w:val="single" w:color="auto" w:sz="4" w:space="0"/>
                  </w:tcBorders>
                  <w:noWrap w:val="0"/>
                  <w:vAlign w:val="center"/>
                </w:tcPr>
                <w:p w14:paraId="6F1BBDDD">
                  <w:pPr>
                    <w:jc w:val="center"/>
                    <w:rPr>
                      <w:szCs w:val="21"/>
                      <w:lang w:val="zh-CN"/>
                    </w:rPr>
                  </w:pPr>
                </w:p>
              </w:tc>
              <w:tc>
                <w:tcPr>
                  <w:tcW w:w="1165" w:type="pct"/>
                  <w:noWrap w:val="0"/>
                  <w:vAlign w:val="center"/>
                </w:tcPr>
                <w:p w14:paraId="2BE16D25">
                  <w:pPr>
                    <w:jc w:val="center"/>
                    <w:rPr>
                      <w:rFonts w:hint="default" w:eastAsia="宋体"/>
                      <w:szCs w:val="21"/>
                      <w:lang w:val="en-US" w:eastAsia="zh-CN"/>
                    </w:rPr>
                  </w:pPr>
                  <w:r>
                    <w:rPr>
                      <w:rFonts w:hint="eastAsia"/>
                      <w:szCs w:val="21"/>
                      <w:lang w:val="en-US" w:eastAsia="zh-CN"/>
                    </w:rPr>
                    <w:t>AT4成品装卸区</w:t>
                  </w:r>
                </w:p>
              </w:tc>
              <w:tc>
                <w:tcPr>
                  <w:tcW w:w="1017" w:type="pct"/>
                  <w:vMerge w:val="continue"/>
                  <w:noWrap w:val="0"/>
                  <w:vAlign w:val="center"/>
                </w:tcPr>
                <w:p w14:paraId="065AD992">
                  <w:pPr>
                    <w:jc w:val="center"/>
                    <w:rPr>
                      <w:szCs w:val="21"/>
                      <w:lang w:val="zh-CN"/>
                    </w:rPr>
                  </w:pPr>
                </w:p>
              </w:tc>
              <w:tc>
                <w:tcPr>
                  <w:tcW w:w="481" w:type="pct"/>
                  <w:vMerge w:val="continue"/>
                  <w:noWrap w:val="0"/>
                  <w:vAlign w:val="center"/>
                </w:tcPr>
                <w:p w14:paraId="47961362">
                  <w:pPr>
                    <w:jc w:val="center"/>
                    <w:rPr>
                      <w:szCs w:val="21"/>
                      <w:lang w:val="zh-CN"/>
                    </w:rPr>
                  </w:pPr>
                </w:p>
              </w:tc>
              <w:tc>
                <w:tcPr>
                  <w:tcW w:w="1213" w:type="pct"/>
                  <w:vMerge w:val="continue"/>
                  <w:noWrap w:val="0"/>
                  <w:vAlign w:val="center"/>
                </w:tcPr>
                <w:p w14:paraId="0E0D7540">
                  <w:pPr>
                    <w:jc w:val="center"/>
                    <w:rPr>
                      <w:szCs w:val="21"/>
                      <w:lang w:val="zh-CN"/>
                    </w:rPr>
                  </w:pPr>
                </w:p>
              </w:tc>
              <w:tc>
                <w:tcPr>
                  <w:tcW w:w="648" w:type="pct"/>
                  <w:vMerge w:val="continue"/>
                  <w:tcBorders>
                    <w:right w:val="single" w:color="auto" w:sz="4" w:space="0"/>
                  </w:tcBorders>
                  <w:noWrap w:val="0"/>
                  <w:vAlign w:val="center"/>
                </w:tcPr>
                <w:p w14:paraId="2D2F33DA">
                  <w:pPr>
                    <w:jc w:val="center"/>
                    <w:rPr>
                      <w:szCs w:val="21"/>
                      <w:lang w:val="zh-CN"/>
                    </w:rPr>
                  </w:pPr>
                </w:p>
              </w:tc>
            </w:tr>
          </w:tbl>
          <w:p w14:paraId="59343D41">
            <w:pPr>
              <w:autoSpaceDE w:val="0"/>
              <w:autoSpaceDN w:val="0"/>
              <w:spacing w:line="240" w:lineRule="auto"/>
              <w:contextualSpacing/>
              <w:rPr>
                <w:b/>
                <w:bCs/>
                <w:sz w:val="24"/>
              </w:rPr>
            </w:pPr>
            <w:r>
              <w:rPr>
                <w:b/>
                <w:bCs/>
                <w:sz w:val="24"/>
              </w:rPr>
              <w:t>6</w:t>
            </w:r>
            <w:r>
              <w:rPr>
                <w:rFonts w:hint="eastAsia"/>
                <w:b/>
                <w:bCs/>
                <w:sz w:val="24"/>
              </w:rPr>
              <w:t>.</w:t>
            </w:r>
            <w:r>
              <w:rPr>
                <w:b/>
                <w:bCs/>
                <w:sz w:val="24"/>
              </w:rPr>
              <w:t>环境风险分析及防治措施</w:t>
            </w:r>
          </w:p>
          <w:p w14:paraId="6D3D0773">
            <w:pPr>
              <w:spacing w:line="360" w:lineRule="auto"/>
              <w:ind w:firstLine="480" w:firstLineChars="200"/>
              <w:rPr>
                <w:sz w:val="24"/>
                <w:szCs w:val="24"/>
                <w:highlight w:val="none"/>
              </w:rPr>
            </w:pPr>
            <w:r>
              <w:rPr>
                <w:rFonts w:hint="eastAsia"/>
                <w:sz w:val="24"/>
                <w:szCs w:val="24"/>
                <w:highlight w:val="none"/>
                <w:lang w:val="en-US" w:eastAsia="zh-CN"/>
              </w:rPr>
              <w:t>6.1</w:t>
            </w:r>
            <w:r>
              <w:rPr>
                <w:rFonts w:hint="default" w:ascii="Times New Roman" w:hAnsi="Times New Roman" w:cs="Times New Roman"/>
                <w:color w:val="auto"/>
                <w:sz w:val="24"/>
                <w:szCs w:val="24"/>
                <w:highlight w:val="none"/>
              </w:rPr>
              <w:t>评价原则</w:t>
            </w:r>
          </w:p>
          <w:p w14:paraId="5E5CE915">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根据</w:t>
            </w:r>
            <w:r>
              <w:rPr>
                <w:rFonts w:hint="default" w:ascii="Times New Roman" w:hAnsi="Times New Roman" w:cs="Times New Roman"/>
                <w:color w:val="auto"/>
                <w:sz w:val="24"/>
                <w:szCs w:val="24"/>
                <w:highlight w:val="none"/>
              </w:rPr>
              <w:t>《建设项目环境风险评价技术导则》（HJ169-2018）的要求，环境风险评价应以突发性事故导致的危险物质环境急性损害防控为目标，对建设项目的环境风险进行分析、预测和评估，提出环境风险预防、控制、减缓措施，</w:t>
            </w:r>
            <w:r>
              <w:rPr>
                <w:rFonts w:hint="eastAsia" w:cs="Times New Roman"/>
                <w:color w:val="auto"/>
                <w:sz w:val="24"/>
                <w:szCs w:val="24"/>
                <w:highlight w:val="none"/>
                <w:lang w:eastAsia="zh-CN"/>
              </w:rPr>
              <w:t>并</w:t>
            </w:r>
            <w:r>
              <w:rPr>
                <w:rFonts w:hint="default" w:ascii="Times New Roman" w:hAnsi="Times New Roman" w:cs="Times New Roman"/>
                <w:color w:val="auto"/>
                <w:sz w:val="24"/>
                <w:szCs w:val="24"/>
                <w:highlight w:val="none"/>
              </w:rPr>
              <w:t>明确环境风险监控及应急要求，为建设项目环境风险防控提供科学依据。</w:t>
            </w:r>
          </w:p>
          <w:p w14:paraId="52F33608">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6.2</w:t>
            </w:r>
            <w:r>
              <w:rPr>
                <w:rFonts w:hint="default" w:ascii="Times New Roman" w:hAnsi="Times New Roman" w:cs="Times New Roman"/>
                <w:color w:val="auto"/>
                <w:sz w:val="24"/>
                <w:szCs w:val="24"/>
                <w:highlight w:val="none"/>
              </w:rPr>
              <w:t>环境风险潜势初判</w:t>
            </w:r>
          </w:p>
          <w:p w14:paraId="32CD5F6D">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根据《建设项目环境风险评价技术导则》，建设项目环境风险潜势划分为I、</w:t>
            </w:r>
            <w:r>
              <w:rPr>
                <w:rFonts w:hint="eastAsia" w:ascii="Times New Roman" w:hAnsi="Times New Roman" w:cs="Times New Roman"/>
                <w:color w:val="auto"/>
                <w:sz w:val="24"/>
                <w:szCs w:val="24"/>
                <w:highlight w:val="none"/>
                <w:lang w:eastAsia="zh-CN"/>
              </w:rPr>
              <w:t>Ⅱ</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Ⅲ</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Ⅳ</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Ⅳ</w:t>
            </w:r>
            <w:r>
              <w:rPr>
                <w:rFonts w:hint="default" w:ascii="Times New Roman" w:hAnsi="Times New Roman" w:cs="Times New Roman"/>
                <w:color w:val="auto"/>
                <w:sz w:val="24"/>
                <w:szCs w:val="24"/>
                <w:highlight w:val="none"/>
              </w:rPr>
              <w:t>+级。</w:t>
            </w:r>
          </w:p>
          <w:p w14:paraId="74760D8B">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根据建设项目涉及的物质和工艺系统的危险性及其所在地的环境敏感程度，结合事故情形下环境影响途径，对建设项目潜在环境危害程度进行概化分析，按下表确定风险潜势。</w:t>
            </w:r>
          </w:p>
          <w:p w14:paraId="2A676B54">
            <w:pPr>
              <w:bidi w:val="0"/>
              <w:jc w:val="center"/>
              <w:rPr>
                <w:rFonts w:hint="default" w:ascii="Times New Roman" w:hAnsi="Times New Roman" w:eastAsia="宋体" w:cs="Times New Roman"/>
                <w:b/>
                <w:bCs/>
                <w:color w:val="auto"/>
                <w:szCs w:val="21"/>
                <w:highlight w:val="none"/>
              </w:rPr>
            </w:pPr>
            <w:r>
              <w:rPr>
                <w:rFonts w:hint="default"/>
                <w:b/>
                <w:bCs/>
                <w:sz w:val="24"/>
                <w:szCs w:val="32"/>
                <w:highlight w:val="none"/>
              </w:rPr>
              <w:t>表</w:t>
            </w:r>
            <w:r>
              <w:rPr>
                <w:rFonts w:hint="eastAsia"/>
                <w:b/>
                <w:bCs/>
                <w:sz w:val="24"/>
                <w:szCs w:val="32"/>
                <w:highlight w:val="none"/>
                <w:lang w:val="en-US" w:eastAsia="zh-CN"/>
              </w:rPr>
              <w:t>4-14</w:t>
            </w:r>
            <w:r>
              <w:rPr>
                <w:rFonts w:hint="default"/>
                <w:b/>
                <w:bCs/>
                <w:sz w:val="24"/>
                <w:szCs w:val="32"/>
                <w:highlight w:val="none"/>
              </w:rPr>
              <w:t>建设项目环境风险潜势划分</w:t>
            </w:r>
          </w:p>
          <w:tbl>
            <w:tblPr>
              <w:tblStyle w:val="41"/>
              <w:tblW w:w="4999"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2113"/>
              <w:gridCol w:w="1594"/>
              <w:gridCol w:w="1594"/>
              <w:gridCol w:w="1594"/>
              <w:gridCol w:w="1600"/>
            </w:tblGrid>
            <w:tr w14:paraId="511C0CA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vMerge w:val="restart"/>
                  <w:tcBorders>
                    <w:top w:val="single" w:color="auto" w:sz="4" w:space="0"/>
                    <w:left w:val="single" w:color="auto" w:sz="0" w:space="0"/>
                    <w:tl2br w:val="nil"/>
                    <w:tr2bl w:val="nil"/>
                  </w:tcBorders>
                  <w:noWrap w:val="0"/>
                  <w:vAlign w:val="center"/>
                </w:tcPr>
                <w:p w14:paraId="2284FA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环境敏感程度（E）</w:t>
                  </w:r>
                </w:p>
              </w:tc>
              <w:tc>
                <w:tcPr>
                  <w:tcW w:w="3755" w:type="pct"/>
                  <w:gridSpan w:val="4"/>
                  <w:tcBorders>
                    <w:top w:val="single" w:color="auto" w:sz="4" w:space="0"/>
                    <w:right w:val="single" w:color="auto" w:sz="4" w:space="0"/>
                    <w:tl2br w:val="nil"/>
                    <w:tr2bl w:val="nil"/>
                  </w:tcBorders>
                  <w:noWrap w:val="0"/>
                  <w:vAlign w:val="center"/>
                </w:tcPr>
                <w:p w14:paraId="7A73A9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危险物质及工艺系统危险性（P）</w:t>
                  </w:r>
                </w:p>
              </w:tc>
            </w:tr>
            <w:tr w14:paraId="7B46DED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vMerge w:val="continue"/>
                  <w:tcBorders>
                    <w:left w:val="single" w:color="auto" w:sz="4" w:space="0"/>
                    <w:tl2br w:val="nil"/>
                    <w:tr2bl w:val="nil"/>
                  </w:tcBorders>
                  <w:noWrap w:val="0"/>
                  <w:vAlign w:val="center"/>
                </w:tcPr>
                <w:p w14:paraId="25D898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p>
              </w:tc>
              <w:tc>
                <w:tcPr>
                  <w:tcW w:w="938" w:type="pct"/>
                  <w:tcBorders>
                    <w:tl2br w:val="nil"/>
                    <w:tr2bl w:val="nil"/>
                  </w:tcBorders>
                  <w:noWrap w:val="0"/>
                  <w:vAlign w:val="center"/>
                </w:tcPr>
                <w:p w14:paraId="1887A3B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极高危害（P1）</w:t>
                  </w:r>
                </w:p>
              </w:tc>
              <w:tc>
                <w:tcPr>
                  <w:tcW w:w="938" w:type="pct"/>
                  <w:tcBorders>
                    <w:tl2br w:val="nil"/>
                    <w:tr2bl w:val="nil"/>
                  </w:tcBorders>
                  <w:noWrap w:val="0"/>
                  <w:vAlign w:val="center"/>
                </w:tcPr>
                <w:p w14:paraId="407088F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高度危害（P2）</w:t>
                  </w:r>
                </w:p>
              </w:tc>
              <w:tc>
                <w:tcPr>
                  <w:tcW w:w="938" w:type="pct"/>
                  <w:tcBorders>
                    <w:tl2br w:val="nil"/>
                    <w:tr2bl w:val="nil"/>
                  </w:tcBorders>
                  <w:noWrap w:val="0"/>
                  <w:vAlign w:val="center"/>
                </w:tcPr>
                <w:p w14:paraId="19B463A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中度危害（P3）</w:t>
                  </w:r>
                </w:p>
              </w:tc>
              <w:tc>
                <w:tcPr>
                  <w:tcW w:w="940" w:type="pct"/>
                  <w:tcBorders>
                    <w:right w:val="single" w:color="auto" w:sz="4" w:space="0"/>
                    <w:tl2br w:val="nil"/>
                    <w:tr2bl w:val="nil"/>
                  </w:tcBorders>
                  <w:noWrap w:val="0"/>
                  <w:vAlign w:val="center"/>
                </w:tcPr>
                <w:p w14:paraId="1E6B12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轻度危害（P4）</w:t>
                  </w:r>
                </w:p>
              </w:tc>
            </w:tr>
            <w:tr w14:paraId="52ACA82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tcBorders>
                    <w:left w:val="single" w:color="auto" w:sz="4" w:space="0"/>
                    <w:tl2br w:val="nil"/>
                    <w:tr2bl w:val="nil"/>
                  </w:tcBorders>
                  <w:noWrap w:val="0"/>
                  <w:vAlign w:val="center"/>
                </w:tcPr>
                <w:p w14:paraId="2D0C52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环境高度敏感区（E1）</w:t>
                  </w:r>
                </w:p>
              </w:tc>
              <w:tc>
                <w:tcPr>
                  <w:tcW w:w="938" w:type="pct"/>
                  <w:tcBorders>
                    <w:tl2br w:val="nil"/>
                    <w:tr2bl w:val="nil"/>
                  </w:tcBorders>
                  <w:noWrap w:val="0"/>
                  <w:vAlign w:val="center"/>
                </w:tcPr>
                <w:p w14:paraId="52F937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938" w:type="pct"/>
                  <w:tcBorders>
                    <w:tl2br w:val="nil"/>
                    <w:tr2bl w:val="nil"/>
                  </w:tcBorders>
                  <w:noWrap w:val="0"/>
                  <w:vAlign w:val="center"/>
                </w:tcPr>
                <w:p w14:paraId="5AAB02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938" w:type="pct"/>
                  <w:tcBorders>
                    <w:tl2br w:val="nil"/>
                    <w:tr2bl w:val="nil"/>
                  </w:tcBorders>
                  <w:noWrap w:val="0"/>
                  <w:vAlign w:val="center"/>
                </w:tcPr>
                <w:p w14:paraId="6CFADA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40" w:type="pct"/>
                  <w:tcBorders>
                    <w:right w:val="single" w:color="auto" w:sz="4" w:space="0"/>
                    <w:tl2br w:val="nil"/>
                    <w:tr2bl w:val="nil"/>
                  </w:tcBorders>
                  <w:noWrap w:val="0"/>
                  <w:vAlign w:val="center"/>
                </w:tcPr>
                <w:p w14:paraId="664610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r>
            <w:tr w14:paraId="2716765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tcBorders>
                    <w:left w:val="single" w:color="auto" w:sz="4" w:space="0"/>
                    <w:tl2br w:val="nil"/>
                    <w:tr2bl w:val="nil"/>
                  </w:tcBorders>
                  <w:noWrap w:val="0"/>
                  <w:vAlign w:val="center"/>
                </w:tcPr>
                <w:p w14:paraId="3B2997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环境中度敏感区（E2）</w:t>
                  </w:r>
                </w:p>
              </w:tc>
              <w:tc>
                <w:tcPr>
                  <w:tcW w:w="938" w:type="pct"/>
                  <w:tcBorders>
                    <w:tl2br w:val="nil"/>
                    <w:tr2bl w:val="nil"/>
                  </w:tcBorders>
                  <w:noWrap w:val="0"/>
                  <w:vAlign w:val="center"/>
                </w:tcPr>
                <w:p w14:paraId="31C989D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938" w:type="pct"/>
                  <w:tcBorders>
                    <w:tl2br w:val="nil"/>
                    <w:tr2bl w:val="nil"/>
                  </w:tcBorders>
                  <w:noWrap w:val="0"/>
                  <w:vAlign w:val="center"/>
                </w:tcPr>
                <w:p w14:paraId="5A5B49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38" w:type="pct"/>
                  <w:tcBorders>
                    <w:tl2br w:val="nil"/>
                    <w:tr2bl w:val="nil"/>
                  </w:tcBorders>
                  <w:noWrap w:val="0"/>
                  <w:vAlign w:val="center"/>
                </w:tcPr>
                <w:p w14:paraId="42D6CA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40" w:type="pct"/>
                  <w:tcBorders>
                    <w:right w:val="single" w:color="auto" w:sz="4" w:space="0"/>
                    <w:tl2br w:val="nil"/>
                    <w:tr2bl w:val="nil"/>
                  </w:tcBorders>
                  <w:noWrap w:val="0"/>
                  <w:vAlign w:val="center"/>
                </w:tcPr>
                <w:p w14:paraId="4CEAE0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p>
              </w:tc>
            </w:tr>
            <w:tr w14:paraId="3CA60CF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1244" w:type="pct"/>
                  <w:tcBorders>
                    <w:left w:val="single" w:color="auto" w:sz="4" w:space="0"/>
                    <w:tl2br w:val="nil"/>
                    <w:tr2bl w:val="nil"/>
                  </w:tcBorders>
                  <w:noWrap w:val="0"/>
                  <w:vAlign w:val="center"/>
                </w:tcPr>
                <w:p w14:paraId="797AD4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环境低度敏感区（E3）</w:t>
                  </w:r>
                </w:p>
              </w:tc>
              <w:tc>
                <w:tcPr>
                  <w:tcW w:w="938" w:type="pct"/>
                  <w:tcBorders>
                    <w:tl2br w:val="nil"/>
                    <w:tr2bl w:val="nil"/>
                  </w:tcBorders>
                  <w:noWrap w:val="0"/>
                  <w:vAlign w:val="center"/>
                </w:tcPr>
                <w:p w14:paraId="1893BD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38" w:type="pct"/>
                  <w:tcBorders>
                    <w:tl2br w:val="nil"/>
                    <w:tr2bl w:val="nil"/>
                  </w:tcBorders>
                  <w:noWrap w:val="0"/>
                  <w:vAlign w:val="center"/>
                </w:tcPr>
                <w:p w14:paraId="2D4733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3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Ⅲ</w:t>
                  </w:r>
                  <w:r>
                    <w:rPr>
                      <w:rFonts w:hint="default" w:ascii="Times New Roman" w:hAnsi="Times New Roman" w:cs="Times New Roman"/>
                      <w:color w:val="auto"/>
                      <w:sz w:val="21"/>
                      <w:szCs w:val="21"/>
                      <w:highlight w:val="none"/>
                    </w:rPr>
                    <w:fldChar w:fldCharType="end"/>
                  </w:r>
                </w:p>
              </w:tc>
              <w:tc>
                <w:tcPr>
                  <w:tcW w:w="938" w:type="pct"/>
                  <w:tcBorders>
                    <w:tl2br w:val="nil"/>
                    <w:tr2bl w:val="nil"/>
                  </w:tcBorders>
                  <w:noWrap w:val="0"/>
                  <w:vAlign w:val="center"/>
                </w:tcPr>
                <w:p w14:paraId="72BB41F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p>
              </w:tc>
              <w:tc>
                <w:tcPr>
                  <w:tcW w:w="940" w:type="pct"/>
                  <w:tcBorders>
                    <w:right w:val="single" w:color="auto" w:sz="4" w:space="0"/>
                    <w:tl2br w:val="nil"/>
                    <w:tr2bl w:val="nil"/>
                  </w:tcBorders>
                  <w:noWrap w:val="0"/>
                  <w:vAlign w:val="center"/>
                </w:tcPr>
                <w:p w14:paraId="2C9316E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1 \* ROMAN </w:instrText>
                  </w:r>
                  <w:r>
                    <w:rPr>
                      <w:rFonts w:hint="default" w:ascii="Times New Roman" w:hAnsi="Times New Roman" w:cs="Times New Roman"/>
                      <w:color w:val="auto"/>
                      <w:sz w:val="21"/>
                      <w:szCs w:val="21"/>
                      <w:highlight w:val="none"/>
                    </w:rPr>
                    <w:fldChar w:fldCharType="separate"/>
                  </w:r>
                  <w:r>
                    <w:rPr>
                      <w:rFonts w:hint="default" w:ascii="Times New Roman" w:hAnsi="Times New Roman" w:cs="Times New Roman"/>
                      <w:color w:val="auto"/>
                      <w:sz w:val="21"/>
                      <w:szCs w:val="21"/>
                      <w:highlight w:val="none"/>
                    </w:rPr>
                    <w:t>I</w:t>
                  </w:r>
                  <w:r>
                    <w:rPr>
                      <w:rFonts w:hint="default" w:ascii="Times New Roman" w:hAnsi="Times New Roman" w:cs="Times New Roman"/>
                      <w:color w:val="auto"/>
                      <w:sz w:val="21"/>
                      <w:szCs w:val="21"/>
                      <w:highlight w:val="none"/>
                    </w:rPr>
                    <w:fldChar w:fldCharType="end"/>
                  </w:r>
                </w:p>
              </w:tc>
            </w:tr>
            <w:tr w14:paraId="5CD8DF4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227" w:hRule="atLeast"/>
              </w:trPr>
              <w:tc>
                <w:tcPr>
                  <w:tcW w:w="5000" w:type="pct"/>
                  <w:gridSpan w:val="5"/>
                  <w:tcBorders>
                    <w:left w:val="single" w:color="auto" w:sz="4" w:space="0"/>
                    <w:bottom w:val="single" w:color="auto" w:sz="4" w:space="0"/>
                    <w:right w:val="single" w:color="auto" w:sz="4" w:space="0"/>
                    <w:tl2br w:val="nil"/>
                    <w:tr2bl w:val="nil"/>
                  </w:tcBorders>
                  <w:noWrap w:val="0"/>
                  <w:vAlign w:val="center"/>
                </w:tcPr>
                <w:p w14:paraId="336E28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w:t>
                  </w:r>
                  <w:r>
                    <w:rPr>
                      <w:rFonts w:hint="default" w:ascii="Times New Roman" w:hAnsi="Times New Roman" w:cs="Times New Roman"/>
                      <w:color w:val="auto"/>
                      <w:sz w:val="21"/>
                      <w:szCs w:val="21"/>
                      <w:highlight w:val="none"/>
                    </w:rPr>
                    <w:fldChar w:fldCharType="begin"/>
                  </w:r>
                  <w:r>
                    <w:rPr>
                      <w:rFonts w:hint="default" w:ascii="Times New Roman" w:hAnsi="Times New Roman" w:cs="Times New Roman"/>
                      <w:color w:val="auto"/>
                      <w:sz w:val="21"/>
                      <w:szCs w:val="21"/>
                      <w:highlight w:val="none"/>
                    </w:rPr>
                    <w:instrText xml:space="preserve"> = 4 \* ROMAN </w:instrText>
                  </w:r>
                  <w:r>
                    <w:rPr>
                      <w:rFonts w:hint="default" w:ascii="Times New Roman" w:hAnsi="Times New Roman" w:cs="Times New Roman"/>
                      <w:color w:val="auto"/>
                      <w:sz w:val="21"/>
                      <w:szCs w:val="21"/>
                      <w:highlight w:val="none"/>
                    </w:rPr>
                    <w:fldChar w:fldCharType="separate"/>
                  </w:r>
                  <w:r>
                    <w:rPr>
                      <w:rFonts w:hint="eastAsia" w:ascii="Times New Roman" w:hAnsi="Times New Roman" w:cs="Times New Roman"/>
                      <w:color w:val="auto"/>
                      <w:sz w:val="21"/>
                      <w:szCs w:val="21"/>
                      <w:highlight w:val="none"/>
                      <w:lang w:eastAsia="zh-CN"/>
                    </w:rPr>
                    <w:t>Ⅳ</w:t>
                  </w:r>
                  <w:r>
                    <w:rPr>
                      <w:rFonts w:hint="default" w:ascii="Times New Roman" w:hAnsi="Times New Roman" w:cs="Times New Roman"/>
                      <w:color w:val="auto"/>
                      <w:sz w:val="21"/>
                      <w:szCs w:val="21"/>
                      <w:highlight w:val="none"/>
                    </w:rPr>
                    <w:fldChar w:fldCharType="end"/>
                  </w:r>
                  <w:r>
                    <w:rPr>
                      <w:rFonts w:hint="default" w:ascii="Times New Roman" w:hAnsi="Times New Roman" w:cs="Times New Roman"/>
                      <w:color w:val="auto"/>
                      <w:sz w:val="21"/>
                      <w:szCs w:val="21"/>
                      <w:highlight w:val="none"/>
                    </w:rPr>
                    <w:t>+为极高环境风险。</w:t>
                  </w:r>
                </w:p>
              </w:tc>
            </w:tr>
          </w:tbl>
          <w:p w14:paraId="4EBC3ECD">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20" w:firstLineChars="200"/>
              <w:jc w:val="left"/>
              <w:textAlignment w:val="auto"/>
              <w:rPr>
                <w:rFonts w:hint="default" w:ascii="Times New Roman" w:hAnsi="Times New Roman" w:cs="Times New Roman"/>
                <w:color w:val="auto"/>
                <w:sz w:val="24"/>
                <w:szCs w:val="24"/>
                <w:highlight w:val="none"/>
              </w:rPr>
            </w:pPr>
            <w:r>
              <w:rPr>
                <w:rFonts w:hint="eastAsia" w:cs="Times New Roman"/>
                <w:color w:val="auto"/>
                <w:sz w:val="21"/>
                <w:szCs w:val="21"/>
                <w:highlight w:val="none"/>
                <w:lang w:val="en-US" w:eastAsia="zh-CN"/>
              </w:rPr>
              <w:t>6.3</w:t>
            </w:r>
            <w:r>
              <w:rPr>
                <w:rFonts w:hint="default" w:ascii="Times New Roman" w:hAnsi="Times New Roman" w:cs="Times New Roman"/>
                <w:color w:val="auto"/>
                <w:sz w:val="24"/>
                <w:szCs w:val="24"/>
                <w:highlight w:val="none"/>
              </w:rPr>
              <w:t>P的分级确定</w:t>
            </w:r>
          </w:p>
          <w:p w14:paraId="163A778D">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1</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危险物质数量与临界量</w:t>
            </w:r>
            <w:r>
              <w:rPr>
                <w:rFonts w:hint="eastAsia" w:cs="Times New Roman"/>
                <w:color w:val="auto"/>
                <w:sz w:val="24"/>
                <w:szCs w:val="24"/>
                <w:highlight w:val="none"/>
                <w:lang w:eastAsia="zh-CN"/>
              </w:rPr>
              <w:t>的</w:t>
            </w:r>
            <w:r>
              <w:rPr>
                <w:rFonts w:hint="default" w:ascii="Times New Roman" w:hAnsi="Times New Roman" w:cs="Times New Roman"/>
                <w:color w:val="auto"/>
                <w:sz w:val="24"/>
                <w:szCs w:val="24"/>
                <w:highlight w:val="none"/>
              </w:rPr>
              <w:t>比值（Q）</w:t>
            </w:r>
          </w:p>
          <w:p w14:paraId="62B0B990">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①危险物质及工艺系统危险性（P）的分级确定</w:t>
            </w:r>
          </w:p>
          <w:p w14:paraId="6B865685">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分析本项目生产、使用、储存过程中涉及的有毒有害、易燃易爆物质，参照《建设项目环境风险评价技术导则》（HJ169-2018）附录B</w:t>
            </w:r>
            <w:r>
              <w:rPr>
                <w:rFonts w:hint="default" w:ascii="Times New Roman" w:hAnsi="Times New Roman" w:cs="Times New Roman"/>
                <w:color w:val="auto"/>
                <w:sz w:val="24"/>
                <w:szCs w:val="24"/>
                <w:highlight w:val="none"/>
                <w:lang w:eastAsia="zh-CN"/>
              </w:rPr>
              <w:t>以及《企业突发环境事件风险分级方法》（</w:t>
            </w:r>
            <w:r>
              <w:rPr>
                <w:rFonts w:hint="default" w:ascii="Times New Roman" w:hAnsi="Times New Roman" w:cs="Times New Roman"/>
                <w:color w:val="auto"/>
                <w:sz w:val="24"/>
                <w:szCs w:val="24"/>
                <w:highlight w:val="none"/>
                <w:lang w:val="en-US" w:eastAsia="zh-CN"/>
              </w:rPr>
              <w:t>HJ941-2018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确定危险物质的临界量。定量分析危险物质数量与临界量的比值（Q）和所属行业及生产工艺特点（M），按照附录C对危险物质及工艺系统危险性（P）等级进行判断。</w:t>
            </w:r>
          </w:p>
          <w:p w14:paraId="177C9C64">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rPr>
              <w:t>②</w:t>
            </w:r>
            <w:r>
              <w:rPr>
                <w:rFonts w:hint="default" w:ascii="Times New Roman" w:hAnsi="Times New Roman" w:cs="Times New Roman"/>
                <w:color w:val="auto"/>
                <w:sz w:val="24"/>
                <w:szCs w:val="24"/>
                <w:highlight w:val="none"/>
              </w:rPr>
              <w:t>危险物质数量与临界量的比值（Q）</w:t>
            </w:r>
          </w:p>
          <w:p w14:paraId="64AA80CF">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计算所涉及的每种危险物质在厂界内的最大存在总量与其在附录B中对应临界量的比值Q。</w:t>
            </w:r>
          </w:p>
          <w:p w14:paraId="470E8A0E">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当只涉及一种危险物质时，计算该</w:t>
            </w:r>
            <w:r>
              <w:rPr>
                <w:rFonts w:hint="eastAsia" w:cs="Times New Roman"/>
                <w:color w:val="auto"/>
                <w:sz w:val="24"/>
                <w:szCs w:val="24"/>
                <w:highlight w:val="none"/>
                <w:lang w:eastAsia="zh-CN"/>
              </w:rPr>
              <w:t>危险</w:t>
            </w:r>
            <w:r>
              <w:rPr>
                <w:rFonts w:hint="default" w:ascii="Times New Roman" w:hAnsi="Times New Roman" w:cs="Times New Roman"/>
                <w:color w:val="auto"/>
                <w:sz w:val="24"/>
                <w:szCs w:val="24"/>
                <w:highlight w:val="none"/>
              </w:rPr>
              <w:t>物质的总量与其临界值</w:t>
            </w:r>
            <w:r>
              <w:rPr>
                <w:rFonts w:hint="eastAsia" w:cs="Times New Roman"/>
                <w:color w:val="auto"/>
                <w:sz w:val="24"/>
                <w:szCs w:val="24"/>
                <w:highlight w:val="none"/>
                <w:lang w:eastAsia="zh-CN"/>
              </w:rPr>
              <w:t>的</w:t>
            </w:r>
            <w:r>
              <w:rPr>
                <w:rFonts w:hint="default" w:ascii="Times New Roman" w:hAnsi="Times New Roman" w:cs="Times New Roman"/>
                <w:color w:val="auto"/>
                <w:sz w:val="24"/>
                <w:szCs w:val="24"/>
                <w:highlight w:val="none"/>
              </w:rPr>
              <w:t>比值，即为Q；</w:t>
            </w:r>
          </w:p>
          <w:p w14:paraId="4FD291EB">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当存在多种危险物质时，则按下式计算物质总量与其临界值</w:t>
            </w:r>
            <w:r>
              <w:rPr>
                <w:rFonts w:hint="eastAsia" w:cs="Times New Roman"/>
                <w:color w:val="auto"/>
                <w:sz w:val="24"/>
                <w:szCs w:val="24"/>
                <w:highlight w:val="none"/>
                <w:lang w:eastAsia="zh-CN"/>
              </w:rPr>
              <w:t>的</w:t>
            </w:r>
            <w:r>
              <w:rPr>
                <w:rFonts w:hint="default" w:ascii="Times New Roman" w:hAnsi="Times New Roman" w:cs="Times New Roman"/>
                <w:color w:val="auto"/>
                <w:sz w:val="24"/>
                <w:szCs w:val="24"/>
                <w:highlight w:val="none"/>
              </w:rPr>
              <w:t>比值Q；</w:t>
            </w:r>
          </w:p>
          <w:p w14:paraId="338833E0">
            <w:pPr>
              <w:pStyle w:val="401"/>
              <w:keepNext w:val="0"/>
              <w:keepLines w:val="0"/>
              <w:pageBreakBefore w:val="0"/>
              <w:widowControl w:val="0"/>
              <w:kinsoku/>
              <w:wordWrap/>
              <w:overflowPunct/>
              <w:topLinePunct w:val="0"/>
              <w:bidi w:val="0"/>
              <w:adjustRightInd/>
              <w:snapToGrid/>
              <w:spacing w:line="360" w:lineRule="auto"/>
              <w:ind w:firstLine="482"/>
              <w:jc w:val="center"/>
              <w:textAlignment w:val="auto"/>
              <w:rPr>
                <w:rFonts w:hint="default" w:ascii="Times New Roman" w:hAnsi="Times New Roman" w:cs="Times New Roman"/>
                <w:color w:val="auto"/>
                <w:sz w:val="24"/>
                <w:szCs w:val="24"/>
                <w:highlight w:val="none"/>
              </w:rPr>
            </w:pPr>
            <m:oMathPara>
              <m:oMath>
                <m:r>
                  <m:rPr>
                    <m:sty m:val="p"/>
                  </m:rPr>
                  <w:rPr>
                    <w:rFonts w:hint="default" w:ascii="Cambria Math" w:hAnsi="Cambria Math"/>
                    <w:sz w:val="32"/>
                    <w:szCs w:val="36"/>
                    <w:highlight w:val="none"/>
                    <w:lang w:val="en-US"/>
                  </w:rPr>
                  <m:t>Q=</m:t>
                </m:r>
                <m:f>
                  <m:fPr>
                    <m:ctrlPr>
                      <w:rPr>
                        <w:rFonts w:hint="default" w:ascii="Cambria Math" w:hAnsi="Cambria Math"/>
                        <w:sz w:val="32"/>
                        <w:szCs w:val="36"/>
                        <w:highlight w:val="none"/>
                        <w:lang w:val="en-US"/>
                      </w:rPr>
                    </m:ctrlPr>
                  </m:fPr>
                  <m:num>
                    <m:sSub>
                      <m:sSubPr>
                        <m:ctrlPr>
                          <w:rPr>
                            <w:rFonts w:hint="default" w:ascii="Cambria Math" w:hAnsi="Cambria Math"/>
                            <w:sz w:val="32"/>
                            <w:szCs w:val="36"/>
                            <w:highlight w:val="none"/>
                            <w:lang w:val="en-US"/>
                          </w:rPr>
                        </m:ctrlPr>
                      </m:sSubPr>
                      <m:e>
                        <m:r>
                          <m:rPr>
                            <m:sty m:val="p"/>
                          </m:rPr>
                          <w:rPr>
                            <w:rFonts w:hint="default" w:ascii="Cambria Math" w:hAnsi="Cambria Math"/>
                            <w:sz w:val="32"/>
                            <w:szCs w:val="36"/>
                            <w:highlight w:val="none"/>
                            <w:lang w:val="en-US"/>
                          </w:rPr>
                          <m:t>q</m:t>
                        </m:r>
                        <m:ctrlPr>
                          <w:rPr>
                            <w:rFonts w:hint="default" w:ascii="Cambria Math" w:hAnsi="Cambria Math"/>
                            <w:sz w:val="32"/>
                            <w:szCs w:val="36"/>
                            <w:highlight w:val="none"/>
                            <w:lang w:val="en-US"/>
                          </w:rPr>
                        </m:ctrlPr>
                      </m:e>
                      <m:sub>
                        <m:r>
                          <m:rPr>
                            <m:sty m:val="p"/>
                          </m:rPr>
                          <w:rPr>
                            <w:rFonts w:hint="default" w:ascii="Cambria Math" w:hAnsi="Cambria Math"/>
                            <w:sz w:val="32"/>
                            <w:szCs w:val="36"/>
                            <w:highlight w:val="none"/>
                            <w:lang w:val="en-US"/>
                          </w:rPr>
                          <m:t>1</m:t>
                        </m:r>
                        <m:ctrlPr>
                          <w:rPr>
                            <w:rFonts w:hint="default" w:ascii="Cambria Math" w:hAnsi="Cambria Math"/>
                            <w:sz w:val="32"/>
                            <w:szCs w:val="36"/>
                            <w:highlight w:val="none"/>
                            <w:lang w:val="en-US"/>
                          </w:rPr>
                        </m:ctrlPr>
                      </m:sub>
                    </m:sSub>
                    <m:ctrlPr>
                      <w:rPr>
                        <w:rFonts w:hint="default" w:ascii="Cambria Math" w:hAnsi="Cambria Math"/>
                        <w:sz w:val="32"/>
                        <w:szCs w:val="36"/>
                        <w:highlight w:val="none"/>
                        <w:lang w:val="en-US"/>
                      </w:rPr>
                    </m:ctrlPr>
                  </m:num>
                  <m:den>
                    <m:sSub>
                      <m:sSubPr>
                        <m:ctrlPr>
                          <w:rPr>
                            <w:rFonts w:hint="default" w:ascii="Cambria Math" w:hAnsi="Cambria Math"/>
                            <w:sz w:val="32"/>
                            <w:szCs w:val="36"/>
                            <w:highlight w:val="none"/>
                            <w:lang w:val="en-US"/>
                          </w:rPr>
                        </m:ctrlPr>
                      </m:sSubPr>
                      <m:e>
                        <m:r>
                          <m:rPr>
                            <m:sty m:val="p"/>
                          </m:rPr>
                          <w:rPr>
                            <w:rFonts w:hint="default" w:ascii="Cambria Math" w:hAnsi="Cambria Math"/>
                            <w:sz w:val="32"/>
                            <w:szCs w:val="36"/>
                            <w:highlight w:val="none"/>
                            <w:lang w:val="en-US"/>
                          </w:rPr>
                          <m:t>Q</m:t>
                        </m:r>
                        <m:ctrlPr>
                          <w:rPr>
                            <w:rFonts w:hint="default" w:ascii="Cambria Math" w:hAnsi="Cambria Math"/>
                            <w:sz w:val="32"/>
                            <w:szCs w:val="36"/>
                            <w:highlight w:val="none"/>
                            <w:lang w:val="en-US"/>
                          </w:rPr>
                        </m:ctrlPr>
                      </m:e>
                      <m:sub>
                        <m:r>
                          <m:rPr>
                            <m:sty m:val="p"/>
                          </m:rPr>
                          <w:rPr>
                            <w:rFonts w:hint="default" w:ascii="Cambria Math" w:hAnsi="Cambria Math"/>
                            <w:sz w:val="32"/>
                            <w:szCs w:val="36"/>
                            <w:highlight w:val="none"/>
                            <w:lang w:val="en-US"/>
                          </w:rPr>
                          <m:t>1</m:t>
                        </m:r>
                        <m:ctrlPr>
                          <w:rPr>
                            <w:rFonts w:hint="default" w:ascii="Cambria Math" w:hAnsi="Cambria Math"/>
                            <w:sz w:val="32"/>
                            <w:szCs w:val="36"/>
                            <w:highlight w:val="none"/>
                            <w:lang w:val="en-US"/>
                          </w:rPr>
                        </m:ctrlPr>
                      </m:sub>
                    </m:sSub>
                    <m:ctrlPr>
                      <w:rPr>
                        <w:rFonts w:hint="default" w:ascii="Cambria Math" w:hAnsi="Cambria Math"/>
                        <w:sz w:val="32"/>
                        <w:szCs w:val="36"/>
                        <w:highlight w:val="none"/>
                        <w:lang w:val="en-US"/>
                      </w:rPr>
                    </m:ctrlPr>
                  </m:den>
                </m:f>
                <m:r>
                  <m:rPr>
                    <m:sty m:val="p"/>
                  </m:rPr>
                  <w:rPr>
                    <w:rFonts w:hint="default" w:ascii="Cambria Math" w:hAnsi="Cambria Math"/>
                    <w:sz w:val="32"/>
                    <w:szCs w:val="36"/>
                    <w:highlight w:val="none"/>
                    <w:lang w:val="en-US"/>
                  </w:rPr>
                  <m:t>+</m:t>
                </m:r>
                <m:f>
                  <m:fPr>
                    <m:ctrlPr>
                      <w:rPr>
                        <w:rFonts w:hint="default" w:ascii="Cambria Math" w:hAnsi="Cambria Math"/>
                        <w:sz w:val="32"/>
                        <w:szCs w:val="36"/>
                        <w:highlight w:val="none"/>
                        <w:lang w:val="en-US"/>
                      </w:rPr>
                    </m:ctrlPr>
                  </m:fPr>
                  <m:num>
                    <m:sSub>
                      <m:sSubPr>
                        <m:ctrlPr>
                          <w:rPr>
                            <w:rFonts w:hint="default" w:ascii="Cambria Math" w:hAnsi="Cambria Math"/>
                            <w:sz w:val="32"/>
                            <w:szCs w:val="36"/>
                            <w:highlight w:val="none"/>
                            <w:lang w:val="en-US"/>
                          </w:rPr>
                        </m:ctrlPr>
                      </m:sSubPr>
                      <m:e>
                        <m:r>
                          <m:rPr>
                            <m:sty m:val="p"/>
                          </m:rPr>
                          <w:rPr>
                            <w:rFonts w:hint="default" w:ascii="Cambria Math" w:hAnsi="Cambria Math"/>
                            <w:sz w:val="32"/>
                            <w:szCs w:val="36"/>
                            <w:highlight w:val="none"/>
                            <w:lang w:val="en-US"/>
                          </w:rPr>
                          <m:t>q</m:t>
                        </m:r>
                        <m:ctrlPr>
                          <w:rPr>
                            <w:rFonts w:hint="default" w:ascii="Cambria Math" w:hAnsi="Cambria Math"/>
                            <w:sz w:val="32"/>
                            <w:szCs w:val="36"/>
                            <w:highlight w:val="none"/>
                            <w:lang w:val="en-US"/>
                          </w:rPr>
                        </m:ctrlPr>
                      </m:e>
                      <m:sub>
                        <m:r>
                          <m:rPr>
                            <m:sty m:val="p"/>
                          </m:rPr>
                          <w:rPr>
                            <w:rFonts w:hint="default" w:ascii="Cambria Math" w:hAnsi="Cambria Math"/>
                            <w:sz w:val="32"/>
                            <w:szCs w:val="36"/>
                            <w:highlight w:val="none"/>
                            <w:lang w:val="en-US"/>
                          </w:rPr>
                          <m:t>2</m:t>
                        </m:r>
                        <m:ctrlPr>
                          <w:rPr>
                            <w:rFonts w:hint="default" w:ascii="Cambria Math" w:hAnsi="Cambria Math"/>
                            <w:sz w:val="32"/>
                            <w:szCs w:val="36"/>
                            <w:highlight w:val="none"/>
                            <w:lang w:val="en-US"/>
                          </w:rPr>
                        </m:ctrlPr>
                      </m:sub>
                    </m:sSub>
                    <m:ctrlPr>
                      <w:rPr>
                        <w:rFonts w:hint="default" w:ascii="Cambria Math" w:hAnsi="Cambria Math"/>
                        <w:sz w:val="32"/>
                        <w:szCs w:val="36"/>
                        <w:highlight w:val="none"/>
                        <w:lang w:val="en-US"/>
                      </w:rPr>
                    </m:ctrlPr>
                  </m:num>
                  <m:den>
                    <m:sSub>
                      <m:sSubPr>
                        <m:ctrlPr>
                          <w:rPr>
                            <w:rFonts w:hint="default" w:ascii="Cambria Math" w:hAnsi="Cambria Math"/>
                            <w:sz w:val="32"/>
                            <w:szCs w:val="36"/>
                            <w:highlight w:val="none"/>
                            <w:lang w:val="en-US"/>
                          </w:rPr>
                        </m:ctrlPr>
                      </m:sSubPr>
                      <m:e>
                        <m:r>
                          <m:rPr>
                            <m:sty m:val="p"/>
                          </m:rPr>
                          <w:rPr>
                            <w:rFonts w:hint="default" w:ascii="Cambria Math" w:hAnsi="Cambria Math"/>
                            <w:sz w:val="32"/>
                            <w:szCs w:val="36"/>
                            <w:highlight w:val="none"/>
                            <w:lang w:val="en-US"/>
                          </w:rPr>
                          <m:t>Q</m:t>
                        </m:r>
                        <m:ctrlPr>
                          <w:rPr>
                            <w:rFonts w:hint="default" w:ascii="Cambria Math" w:hAnsi="Cambria Math"/>
                            <w:sz w:val="32"/>
                            <w:szCs w:val="36"/>
                            <w:highlight w:val="none"/>
                            <w:lang w:val="en-US"/>
                          </w:rPr>
                        </m:ctrlPr>
                      </m:e>
                      <m:sub>
                        <m:r>
                          <m:rPr>
                            <m:sty m:val="p"/>
                          </m:rPr>
                          <w:rPr>
                            <w:rFonts w:hint="default" w:ascii="Cambria Math" w:hAnsi="Cambria Math"/>
                            <w:sz w:val="32"/>
                            <w:szCs w:val="36"/>
                            <w:highlight w:val="none"/>
                            <w:lang w:val="en-US"/>
                          </w:rPr>
                          <m:t>2</m:t>
                        </m:r>
                        <m:ctrlPr>
                          <w:rPr>
                            <w:rFonts w:hint="default" w:ascii="Cambria Math" w:hAnsi="Cambria Math"/>
                            <w:sz w:val="32"/>
                            <w:szCs w:val="36"/>
                            <w:highlight w:val="none"/>
                            <w:lang w:val="en-US"/>
                          </w:rPr>
                        </m:ctrlPr>
                      </m:sub>
                    </m:sSub>
                    <m:ctrlPr>
                      <w:rPr>
                        <w:rFonts w:hint="default" w:ascii="Cambria Math" w:hAnsi="Cambria Math"/>
                        <w:sz w:val="32"/>
                        <w:szCs w:val="36"/>
                        <w:highlight w:val="none"/>
                        <w:lang w:val="en-US"/>
                      </w:rPr>
                    </m:ctrlPr>
                  </m:den>
                </m:f>
                <m:r>
                  <m:rPr>
                    <m:sty m:val="p"/>
                  </m:rPr>
                  <w:rPr>
                    <w:rFonts w:hint="default" w:ascii="Cambria Math" w:hAnsi="Cambria Math"/>
                    <w:sz w:val="32"/>
                    <w:szCs w:val="36"/>
                    <w:highlight w:val="none"/>
                    <w:lang w:val="en-US"/>
                  </w:rPr>
                  <m:t>+⋯+</m:t>
                </m:r>
                <m:f>
                  <m:fPr>
                    <m:ctrlPr>
                      <w:rPr>
                        <w:rFonts w:hint="default" w:ascii="Cambria Math" w:hAnsi="Cambria Math"/>
                        <w:sz w:val="32"/>
                        <w:szCs w:val="36"/>
                        <w:highlight w:val="none"/>
                        <w:lang w:val="en-US"/>
                      </w:rPr>
                    </m:ctrlPr>
                  </m:fPr>
                  <m:num>
                    <m:sSub>
                      <m:sSubPr>
                        <m:ctrlPr>
                          <w:rPr>
                            <w:rFonts w:hint="default" w:ascii="Cambria Math" w:hAnsi="Cambria Math"/>
                            <w:sz w:val="32"/>
                            <w:szCs w:val="36"/>
                            <w:highlight w:val="none"/>
                            <w:lang w:val="en-US"/>
                          </w:rPr>
                        </m:ctrlPr>
                      </m:sSubPr>
                      <m:e>
                        <m:r>
                          <m:rPr>
                            <m:sty m:val="p"/>
                          </m:rPr>
                          <w:rPr>
                            <w:rFonts w:hint="default" w:ascii="Cambria Math" w:hAnsi="Cambria Math"/>
                            <w:sz w:val="32"/>
                            <w:szCs w:val="36"/>
                            <w:highlight w:val="none"/>
                            <w:lang w:val="en-US"/>
                          </w:rPr>
                          <m:t>q</m:t>
                        </m:r>
                        <m:ctrlPr>
                          <w:rPr>
                            <w:rFonts w:hint="default" w:ascii="Cambria Math" w:hAnsi="Cambria Math"/>
                            <w:sz w:val="32"/>
                            <w:szCs w:val="36"/>
                            <w:highlight w:val="none"/>
                            <w:lang w:val="en-US"/>
                          </w:rPr>
                        </m:ctrlPr>
                      </m:e>
                      <m:sub>
                        <m:r>
                          <m:rPr>
                            <m:sty m:val="p"/>
                          </m:rPr>
                          <w:rPr>
                            <w:rFonts w:hint="default" w:ascii="Cambria Math" w:hAnsi="Cambria Math"/>
                            <w:sz w:val="32"/>
                            <w:szCs w:val="36"/>
                            <w:highlight w:val="none"/>
                            <w:lang w:val="en-US"/>
                          </w:rPr>
                          <m:t>n</m:t>
                        </m:r>
                        <m:ctrlPr>
                          <w:rPr>
                            <w:rFonts w:hint="default" w:ascii="Cambria Math" w:hAnsi="Cambria Math"/>
                            <w:sz w:val="32"/>
                            <w:szCs w:val="36"/>
                            <w:highlight w:val="none"/>
                            <w:lang w:val="en-US"/>
                          </w:rPr>
                        </m:ctrlPr>
                      </m:sub>
                    </m:sSub>
                    <m:ctrlPr>
                      <w:rPr>
                        <w:rFonts w:hint="default" w:ascii="Cambria Math" w:hAnsi="Cambria Math"/>
                        <w:sz w:val="32"/>
                        <w:szCs w:val="36"/>
                        <w:highlight w:val="none"/>
                        <w:lang w:val="en-US"/>
                      </w:rPr>
                    </m:ctrlPr>
                  </m:num>
                  <m:den>
                    <m:sSub>
                      <m:sSubPr>
                        <m:ctrlPr>
                          <w:rPr>
                            <w:rFonts w:hint="default" w:ascii="Cambria Math" w:hAnsi="Cambria Math"/>
                            <w:sz w:val="32"/>
                            <w:szCs w:val="36"/>
                            <w:highlight w:val="none"/>
                            <w:lang w:val="en-US"/>
                          </w:rPr>
                        </m:ctrlPr>
                      </m:sSubPr>
                      <m:e>
                        <m:r>
                          <m:rPr>
                            <m:sty m:val="p"/>
                          </m:rPr>
                          <w:rPr>
                            <w:rFonts w:hint="default" w:ascii="Cambria Math" w:hAnsi="Cambria Math"/>
                            <w:sz w:val="32"/>
                            <w:szCs w:val="36"/>
                            <w:highlight w:val="none"/>
                            <w:lang w:val="en-US"/>
                          </w:rPr>
                          <m:t>Q</m:t>
                        </m:r>
                        <m:ctrlPr>
                          <w:rPr>
                            <w:rFonts w:hint="default" w:ascii="Cambria Math" w:hAnsi="Cambria Math"/>
                            <w:sz w:val="32"/>
                            <w:szCs w:val="36"/>
                            <w:highlight w:val="none"/>
                            <w:lang w:val="en-US"/>
                          </w:rPr>
                        </m:ctrlPr>
                      </m:e>
                      <m:sub>
                        <m:r>
                          <m:rPr>
                            <m:sty m:val="p"/>
                          </m:rPr>
                          <w:rPr>
                            <w:rFonts w:hint="default" w:ascii="Cambria Math" w:hAnsi="Cambria Math"/>
                            <w:sz w:val="32"/>
                            <w:szCs w:val="36"/>
                            <w:highlight w:val="none"/>
                            <w:lang w:val="en-US"/>
                          </w:rPr>
                          <m:t>n</m:t>
                        </m:r>
                        <m:ctrlPr>
                          <w:rPr>
                            <w:rFonts w:hint="default" w:ascii="Cambria Math" w:hAnsi="Cambria Math"/>
                            <w:sz w:val="32"/>
                            <w:szCs w:val="36"/>
                            <w:highlight w:val="none"/>
                            <w:lang w:val="en-US"/>
                          </w:rPr>
                        </m:ctrlPr>
                      </m:sub>
                    </m:sSub>
                    <m:ctrlPr>
                      <w:rPr>
                        <w:rFonts w:hint="default" w:ascii="Cambria Math" w:hAnsi="Cambria Math"/>
                        <w:sz w:val="32"/>
                        <w:szCs w:val="36"/>
                        <w:highlight w:val="none"/>
                        <w:lang w:val="en-US"/>
                      </w:rPr>
                    </m:ctrlPr>
                  </m:den>
                </m:f>
              </m:oMath>
            </m:oMathPara>
          </w:p>
          <w:p w14:paraId="126CB3FF">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式中：q1，q2，……，qn——每种危险物质的最大存在总量，t；</w:t>
            </w:r>
          </w:p>
          <w:p w14:paraId="425509BB">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1200" w:firstLineChars="5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Q1，Q2，……，Qn——每种危险物质的临界量，t；</w:t>
            </w:r>
          </w:p>
          <w:p w14:paraId="10FCCEF2">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当Q&lt;1时，该项目环境风险潜势为Ⅰ。</w:t>
            </w:r>
          </w:p>
          <w:p w14:paraId="4830BF00">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当Q≥1时，将Q值划分为：（1）1≤Q&lt;10；（2）10≤Q&lt;100</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（3）Q≥100</w:t>
            </w:r>
            <w:r>
              <w:rPr>
                <w:rFonts w:hint="eastAsia" w:cs="Times New Roman"/>
                <w:color w:val="auto"/>
                <w:sz w:val="24"/>
                <w:szCs w:val="24"/>
                <w:highlight w:val="none"/>
                <w:lang w:eastAsia="zh-CN"/>
              </w:rPr>
              <w:t>。</w:t>
            </w:r>
          </w:p>
          <w:p w14:paraId="28F2AB26">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szCs w:val="24"/>
                <w:highlight w:val="none"/>
              </w:rPr>
              <w:t>根据附录B所确定的重大危险源物质临界量表，本项目具体临界量见下表：</w:t>
            </w:r>
          </w:p>
          <w:p w14:paraId="64E0B107">
            <w:pPr>
              <w:bidi w:val="0"/>
              <w:jc w:val="center"/>
              <w:rPr>
                <w:b/>
                <w:bCs/>
                <w:color w:val="auto"/>
                <w:sz w:val="24"/>
                <w:szCs w:val="32"/>
                <w:highlight w:val="none"/>
              </w:rPr>
            </w:pPr>
            <w:r>
              <w:rPr>
                <w:b/>
                <w:bCs/>
                <w:sz w:val="24"/>
                <w:szCs w:val="32"/>
                <w:highlight w:val="none"/>
              </w:rPr>
              <w:t>表</w:t>
            </w:r>
            <w:r>
              <w:rPr>
                <w:rFonts w:hint="eastAsia"/>
                <w:b/>
                <w:bCs/>
                <w:sz w:val="24"/>
                <w:szCs w:val="32"/>
                <w:highlight w:val="none"/>
                <w:lang w:val="en-US" w:eastAsia="zh-CN"/>
              </w:rPr>
              <w:t>4-15：</w:t>
            </w:r>
            <w:r>
              <w:rPr>
                <w:b/>
                <w:bCs/>
                <w:sz w:val="24"/>
                <w:szCs w:val="32"/>
                <w:highlight w:val="none"/>
              </w:rPr>
              <w:t>危险物质数量与临界量的比值</w:t>
            </w:r>
          </w:p>
          <w:tbl>
            <w:tblPr>
              <w:tblStyle w:val="42"/>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777"/>
              <w:gridCol w:w="1777"/>
              <w:gridCol w:w="1918"/>
              <w:gridCol w:w="1094"/>
              <w:gridCol w:w="1150"/>
            </w:tblGrid>
            <w:tr w14:paraId="4145AE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7" w:type="pct"/>
                  <w:tcBorders>
                    <w:top w:val="single" w:color="auto" w:sz="4" w:space="0"/>
                    <w:left w:val="single" w:color="auto" w:sz="0" w:space="0"/>
                    <w:tl2br w:val="nil"/>
                    <w:tr2bl w:val="nil"/>
                  </w:tcBorders>
                  <w:noWrap w:val="0"/>
                  <w:vAlign w:val="center"/>
                </w:tcPr>
                <w:p w14:paraId="51E35B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046" w:type="pct"/>
                  <w:tcBorders>
                    <w:top w:val="single" w:color="auto" w:sz="4" w:space="0"/>
                    <w:tl2br w:val="nil"/>
                    <w:tr2bl w:val="nil"/>
                  </w:tcBorders>
                  <w:noWrap w:val="0"/>
                  <w:vAlign w:val="center"/>
                </w:tcPr>
                <w:p w14:paraId="168C10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风险物质</w:t>
                  </w:r>
                </w:p>
              </w:tc>
              <w:tc>
                <w:tcPr>
                  <w:tcW w:w="1046" w:type="pct"/>
                  <w:tcBorders>
                    <w:top w:val="single" w:color="auto" w:sz="4" w:space="0"/>
                    <w:tl2br w:val="nil"/>
                    <w:tr2bl w:val="nil"/>
                  </w:tcBorders>
                  <w:noWrap w:val="0"/>
                  <w:vAlign w:val="center"/>
                </w:tcPr>
                <w:p w14:paraId="6D112F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环境风险物质名称</w:t>
                  </w:r>
                </w:p>
              </w:tc>
              <w:tc>
                <w:tcPr>
                  <w:tcW w:w="1129" w:type="pct"/>
                  <w:tcBorders>
                    <w:top w:val="single" w:color="auto" w:sz="4" w:space="0"/>
                    <w:tl2br w:val="nil"/>
                    <w:tr2bl w:val="nil"/>
                  </w:tcBorders>
                  <w:noWrap w:val="0"/>
                  <w:vAlign w:val="center"/>
                </w:tcPr>
                <w:p w14:paraId="1DE8B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实际最大存在量（t）</w:t>
                  </w:r>
                </w:p>
              </w:tc>
              <w:tc>
                <w:tcPr>
                  <w:tcW w:w="643" w:type="pct"/>
                  <w:tcBorders>
                    <w:top w:val="single" w:color="auto" w:sz="4" w:space="0"/>
                    <w:tl2br w:val="nil"/>
                    <w:tr2bl w:val="nil"/>
                  </w:tcBorders>
                  <w:noWrap w:val="0"/>
                  <w:vAlign w:val="center"/>
                </w:tcPr>
                <w:p w14:paraId="45205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临界值（t）</w:t>
                  </w:r>
                </w:p>
              </w:tc>
              <w:tc>
                <w:tcPr>
                  <w:tcW w:w="677" w:type="pct"/>
                  <w:tcBorders>
                    <w:top w:val="single" w:color="auto" w:sz="4" w:space="0"/>
                    <w:right w:val="single" w:color="auto" w:sz="4" w:space="0"/>
                    <w:tl2br w:val="nil"/>
                    <w:tr2bl w:val="nil"/>
                  </w:tcBorders>
                  <w:noWrap w:val="0"/>
                  <w:vAlign w:val="center"/>
                </w:tcPr>
                <w:p w14:paraId="47F793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q/Q</w:t>
                  </w:r>
                </w:p>
              </w:tc>
            </w:tr>
            <w:tr w14:paraId="7183B3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7" w:type="pct"/>
                  <w:tcBorders>
                    <w:left w:val="single" w:color="auto" w:sz="4" w:space="0"/>
                    <w:tl2br w:val="nil"/>
                    <w:tr2bl w:val="nil"/>
                  </w:tcBorders>
                  <w:noWrap w:val="0"/>
                  <w:vAlign w:val="center"/>
                </w:tcPr>
                <w:p w14:paraId="07BDB1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046" w:type="pct"/>
                  <w:vMerge w:val="restart"/>
                  <w:tcBorders>
                    <w:tl2br w:val="nil"/>
                    <w:tr2bl w:val="nil"/>
                  </w:tcBorders>
                  <w:noWrap w:val="0"/>
                  <w:vAlign w:val="center"/>
                </w:tcPr>
                <w:p w14:paraId="52F2BF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费托合成油</w:t>
                  </w:r>
                </w:p>
              </w:tc>
              <w:tc>
                <w:tcPr>
                  <w:tcW w:w="1046" w:type="pct"/>
                  <w:tcBorders>
                    <w:tl2br w:val="nil"/>
                    <w:tr2bl w:val="nil"/>
                  </w:tcBorders>
                  <w:noWrap w:val="0"/>
                  <w:vAlign w:val="center"/>
                </w:tcPr>
                <w:p w14:paraId="22F159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丁烷</w:t>
                  </w:r>
                </w:p>
              </w:tc>
              <w:tc>
                <w:tcPr>
                  <w:tcW w:w="1129" w:type="pct"/>
                  <w:tcBorders>
                    <w:tl2br w:val="nil"/>
                    <w:tr2bl w:val="nil"/>
                  </w:tcBorders>
                  <w:noWrap w:val="0"/>
                  <w:vAlign w:val="center"/>
                </w:tcPr>
                <w:p w14:paraId="42EB0D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0.28</w:t>
                  </w:r>
                </w:p>
              </w:tc>
              <w:tc>
                <w:tcPr>
                  <w:tcW w:w="643" w:type="pct"/>
                  <w:tcBorders>
                    <w:tl2br w:val="nil"/>
                    <w:tr2bl w:val="nil"/>
                  </w:tcBorders>
                  <w:noWrap w:val="0"/>
                  <w:vAlign w:val="center"/>
                </w:tcPr>
                <w:p w14:paraId="6C40E2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677" w:type="pct"/>
                  <w:tcBorders>
                    <w:right w:val="single" w:color="auto" w:sz="4" w:space="0"/>
                    <w:tl2br w:val="nil"/>
                    <w:tr2bl w:val="nil"/>
                  </w:tcBorders>
                  <w:noWrap w:val="0"/>
                  <w:vAlign w:val="center"/>
                </w:tcPr>
                <w:p w14:paraId="2B88B7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0.028</w:t>
                  </w:r>
                </w:p>
              </w:tc>
            </w:tr>
            <w:tr w14:paraId="69FF2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7" w:type="pct"/>
                  <w:tcBorders>
                    <w:left w:val="single" w:color="auto" w:sz="4" w:space="0"/>
                    <w:tl2br w:val="nil"/>
                    <w:tr2bl w:val="nil"/>
                  </w:tcBorders>
                  <w:noWrap w:val="0"/>
                  <w:vAlign w:val="center"/>
                </w:tcPr>
                <w:p w14:paraId="119AE0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046" w:type="pct"/>
                  <w:vMerge w:val="continue"/>
                  <w:tcBorders>
                    <w:tl2br w:val="nil"/>
                    <w:tr2bl w:val="nil"/>
                  </w:tcBorders>
                  <w:noWrap w:val="0"/>
                  <w:vAlign w:val="center"/>
                </w:tcPr>
                <w:p w14:paraId="24A3D1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1046" w:type="pct"/>
                  <w:tcBorders>
                    <w:tl2br w:val="nil"/>
                    <w:tr2bl w:val="nil"/>
                  </w:tcBorders>
                  <w:noWrap w:val="0"/>
                  <w:vAlign w:val="center"/>
                </w:tcPr>
                <w:p w14:paraId="595CCC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丁烯</w:t>
                  </w:r>
                </w:p>
              </w:tc>
              <w:tc>
                <w:tcPr>
                  <w:tcW w:w="1129" w:type="pct"/>
                  <w:tcBorders>
                    <w:tl2br w:val="nil"/>
                    <w:tr2bl w:val="nil"/>
                  </w:tcBorders>
                  <w:noWrap w:val="0"/>
                  <w:vAlign w:val="center"/>
                </w:tcPr>
                <w:p w14:paraId="68BD1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0.53</w:t>
                  </w:r>
                </w:p>
              </w:tc>
              <w:tc>
                <w:tcPr>
                  <w:tcW w:w="643" w:type="pct"/>
                  <w:tcBorders>
                    <w:tl2br w:val="nil"/>
                    <w:tr2bl w:val="nil"/>
                  </w:tcBorders>
                  <w:noWrap w:val="0"/>
                  <w:vAlign w:val="center"/>
                </w:tcPr>
                <w:p w14:paraId="39D992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677" w:type="pct"/>
                  <w:tcBorders>
                    <w:right w:val="single" w:color="auto" w:sz="4" w:space="0"/>
                    <w:tl2br w:val="nil"/>
                    <w:tr2bl w:val="nil"/>
                  </w:tcBorders>
                  <w:noWrap w:val="0"/>
                  <w:vAlign w:val="center"/>
                </w:tcPr>
                <w:p w14:paraId="6AE864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0.053</w:t>
                  </w:r>
                </w:p>
              </w:tc>
            </w:tr>
            <w:tr w14:paraId="638116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7" w:type="pct"/>
                  <w:tcBorders>
                    <w:left w:val="single" w:color="auto" w:sz="4" w:space="0"/>
                    <w:tl2br w:val="nil"/>
                    <w:tr2bl w:val="nil"/>
                  </w:tcBorders>
                  <w:noWrap w:val="0"/>
                  <w:vAlign w:val="center"/>
                </w:tcPr>
                <w:p w14:paraId="68F4E5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1046" w:type="pct"/>
                  <w:vMerge w:val="continue"/>
                  <w:tcBorders>
                    <w:tl2br w:val="nil"/>
                    <w:tr2bl w:val="nil"/>
                  </w:tcBorders>
                  <w:noWrap w:val="0"/>
                  <w:vAlign w:val="center"/>
                </w:tcPr>
                <w:p w14:paraId="726463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Cs w:val="21"/>
                      <w:highlight w:val="none"/>
                      <w:lang w:val="en-US" w:eastAsia="zh-CN"/>
                    </w:rPr>
                  </w:pPr>
                </w:p>
              </w:tc>
              <w:tc>
                <w:tcPr>
                  <w:tcW w:w="1046" w:type="pct"/>
                  <w:tcBorders>
                    <w:tl2br w:val="nil"/>
                    <w:tr2bl w:val="nil"/>
                  </w:tcBorders>
                  <w:noWrap w:val="0"/>
                  <w:vAlign w:val="center"/>
                </w:tcPr>
                <w:p w14:paraId="7027C0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Cs w:val="21"/>
                      <w:highlight w:val="none"/>
                      <w:lang w:val="en-US" w:eastAsia="zh-CN"/>
                    </w:rPr>
                  </w:pPr>
                  <w:r>
                    <w:rPr>
                      <w:rFonts w:hint="eastAsia"/>
                      <w:szCs w:val="21"/>
                      <w:highlight w:val="none"/>
                      <w:lang w:val="en-US" w:eastAsia="zh-CN"/>
                    </w:rPr>
                    <w:t>戊烷</w:t>
                  </w:r>
                </w:p>
              </w:tc>
              <w:tc>
                <w:tcPr>
                  <w:tcW w:w="1129" w:type="pct"/>
                  <w:tcBorders>
                    <w:tl2br w:val="nil"/>
                    <w:tr2bl w:val="nil"/>
                  </w:tcBorders>
                  <w:noWrap w:val="0"/>
                  <w:vAlign w:val="center"/>
                </w:tcPr>
                <w:p w14:paraId="16EE38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0.73</w:t>
                  </w:r>
                </w:p>
              </w:tc>
              <w:tc>
                <w:tcPr>
                  <w:tcW w:w="643" w:type="pct"/>
                  <w:tcBorders>
                    <w:tl2br w:val="nil"/>
                    <w:tr2bl w:val="nil"/>
                  </w:tcBorders>
                  <w:noWrap w:val="0"/>
                  <w:vAlign w:val="center"/>
                </w:tcPr>
                <w:p w14:paraId="10B61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677" w:type="pct"/>
                  <w:tcBorders>
                    <w:right w:val="single" w:color="auto" w:sz="4" w:space="0"/>
                    <w:tl2br w:val="nil"/>
                    <w:tr2bl w:val="nil"/>
                  </w:tcBorders>
                  <w:noWrap w:val="0"/>
                  <w:vAlign w:val="center"/>
                </w:tcPr>
                <w:p w14:paraId="0FCBB4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0.073</w:t>
                  </w:r>
                </w:p>
              </w:tc>
            </w:tr>
            <w:tr w14:paraId="27B175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7" w:type="pct"/>
                  <w:tcBorders>
                    <w:left w:val="single" w:color="auto" w:sz="4" w:space="0"/>
                    <w:tl2br w:val="nil"/>
                    <w:tr2bl w:val="nil"/>
                  </w:tcBorders>
                  <w:noWrap w:val="0"/>
                  <w:vAlign w:val="center"/>
                </w:tcPr>
                <w:p w14:paraId="15CF5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1046" w:type="pct"/>
                  <w:vMerge w:val="continue"/>
                  <w:tcBorders>
                    <w:tl2br w:val="nil"/>
                    <w:tr2bl w:val="nil"/>
                  </w:tcBorders>
                  <w:noWrap w:val="0"/>
                  <w:vAlign w:val="center"/>
                </w:tcPr>
                <w:p w14:paraId="079E1C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Cs w:val="21"/>
                      <w:highlight w:val="none"/>
                      <w:lang w:val="en-US" w:eastAsia="zh-CN"/>
                    </w:rPr>
                  </w:pPr>
                </w:p>
              </w:tc>
              <w:tc>
                <w:tcPr>
                  <w:tcW w:w="1046" w:type="pct"/>
                  <w:tcBorders>
                    <w:tl2br w:val="nil"/>
                    <w:tr2bl w:val="nil"/>
                  </w:tcBorders>
                  <w:noWrap w:val="0"/>
                  <w:vAlign w:val="center"/>
                </w:tcPr>
                <w:p w14:paraId="24615E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Cs w:val="21"/>
                      <w:highlight w:val="none"/>
                      <w:lang w:val="en-US" w:eastAsia="zh-CN"/>
                    </w:rPr>
                  </w:pPr>
                  <w:r>
                    <w:rPr>
                      <w:rFonts w:hint="eastAsia"/>
                      <w:szCs w:val="21"/>
                      <w:highlight w:val="none"/>
                      <w:lang w:val="en-US" w:eastAsia="zh-CN"/>
                    </w:rPr>
                    <w:t>戊烯</w:t>
                  </w:r>
                </w:p>
              </w:tc>
              <w:tc>
                <w:tcPr>
                  <w:tcW w:w="1129" w:type="pct"/>
                  <w:tcBorders>
                    <w:tl2br w:val="nil"/>
                    <w:tr2bl w:val="nil"/>
                  </w:tcBorders>
                  <w:noWrap w:val="0"/>
                  <w:vAlign w:val="center"/>
                </w:tcPr>
                <w:p w14:paraId="315368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1.68</w:t>
                  </w:r>
                </w:p>
              </w:tc>
              <w:tc>
                <w:tcPr>
                  <w:tcW w:w="643" w:type="pct"/>
                  <w:tcBorders>
                    <w:tl2br w:val="nil"/>
                    <w:tr2bl w:val="nil"/>
                  </w:tcBorders>
                  <w:noWrap w:val="0"/>
                  <w:vAlign w:val="center"/>
                </w:tcPr>
                <w:p w14:paraId="4544EE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677" w:type="pct"/>
                  <w:tcBorders>
                    <w:right w:val="single" w:color="auto" w:sz="4" w:space="0"/>
                    <w:tl2br w:val="nil"/>
                    <w:tr2bl w:val="nil"/>
                  </w:tcBorders>
                  <w:noWrap w:val="0"/>
                  <w:vAlign w:val="center"/>
                </w:tcPr>
                <w:p w14:paraId="32A551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0.168</w:t>
                  </w:r>
                </w:p>
              </w:tc>
            </w:tr>
            <w:tr w14:paraId="1BD8F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57" w:type="pct"/>
                  <w:tcBorders>
                    <w:left w:val="single" w:color="auto" w:sz="4" w:space="0"/>
                    <w:tl2br w:val="nil"/>
                    <w:tr2bl w:val="nil"/>
                  </w:tcBorders>
                  <w:noWrap w:val="0"/>
                  <w:vAlign w:val="center"/>
                </w:tcPr>
                <w:p w14:paraId="241DEA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1046" w:type="pct"/>
                  <w:vMerge w:val="continue"/>
                  <w:tcBorders>
                    <w:tl2br w:val="nil"/>
                    <w:tr2bl w:val="nil"/>
                  </w:tcBorders>
                  <w:noWrap w:val="0"/>
                  <w:vAlign w:val="center"/>
                </w:tcPr>
                <w:p w14:paraId="56839A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szCs w:val="21"/>
                      <w:highlight w:val="none"/>
                      <w:lang w:val="en-US" w:eastAsia="zh-CN"/>
                    </w:rPr>
                  </w:pPr>
                </w:p>
              </w:tc>
              <w:tc>
                <w:tcPr>
                  <w:tcW w:w="1046" w:type="pct"/>
                  <w:tcBorders>
                    <w:tl2br w:val="nil"/>
                    <w:tr2bl w:val="nil"/>
                  </w:tcBorders>
                  <w:noWrap w:val="0"/>
                  <w:vAlign w:val="center"/>
                </w:tcPr>
                <w:p w14:paraId="669AED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Cs w:val="21"/>
                      <w:highlight w:val="none"/>
                      <w:lang w:val="en-US" w:eastAsia="zh-CN"/>
                    </w:rPr>
                  </w:pPr>
                  <w:r>
                    <w:rPr>
                      <w:rFonts w:hint="eastAsia"/>
                      <w:szCs w:val="21"/>
                      <w:highlight w:val="none"/>
                      <w:lang w:val="en-US" w:eastAsia="zh-CN"/>
                    </w:rPr>
                    <w:t>正己烷</w:t>
                  </w:r>
                </w:p>
              </w:tc>
              <w:tc>
                <w:tcPr>
                  <w:tcW w:w="1129" w:type="pct"/>
                  <w:tcBorders>
                    <w:tl2br w:val="nil"/>
                    <w:tr2bl w:val="nil"/>
                  </w:tcBorders>
                  <w:noWrap w:val="0"/>
                  <w:vAlign w:val="center"/>
                </w:tcPr>
                <w:p w14:paraId="23D1EF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1.02</w:t>
                  </w:r>
                </w:p>
              </w:tc>
              <w:tc>
                <w:tcPr>
                  <w:tcW w:w="643" w:type="pct"/>
                  <w:tcBorders>
                    <w:tl2br w:val="nil"/>
                    <w:tr2bl w:val="nil"/>
                  </w:tcBorders>
                  <w:noWrap w:val="0"/>
                  <w:vAlign w:val="center"/>
                </w:tcPr>
                <w:p w14:paraId="537AC0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10</w:t>
                  </w:r>
                </w:p>
              </w:tc>
              <w:tc>
                <w:tcPr>
                  <w:tcW w:w="677" w:type="pct"/>
                  <w:tcBorders>
                    <w:right w:val="single" w:color="auto" w:sz="4" w:space="0"/>
                    <w:tl2br w:val="nil"/>
                    <w:tr2bl w:val="nil"/>
                  </w:tcBorders>
                  <w:noWrap w:val="0"/>
                  <w:vAlign w:val="center"/>
                </w:tcPr>
                <w:p w14:paraId="48A5D8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0.102</w:t>
                  </w:r>
                </w:p>
              </w:tc>
            </w:tr>
            <w:tr w14:paraId="3292F9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22" w:type="pct"/>
                  <w:gridSpan w:val="5"/>
                  <w:tcBorders>
                    <w:left w:val="single" w:color="auto" w:sz="4" w:space="0"/>
                    <w:bottom w:val="single" w:color="auto" w:sz="4" w:space="0"/>
                    <w:tl2br w:val="nil"/>
                    <w:tr2bl w:val="nil"/>
                  </w:tcBorders>
                  <w:noWrap w:val="0"/>
                  <w:vAlign w:val="center"/>
                </w:tcPr>
                <w:p w14:paraId="4E9ED8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677" w:type="pct"/>
                  <w:tcBorders>
                    <w:bottom w:val="single" w:color="auto" w:sz="4" w:space="0"/>
                    <w:right w:val="single" w:color="auto" w:sz="4" w:space="0"/>
                    <w:tl2br w:val="nil"/>
                    <w:tr2bl w:val="nil"/>
                  </w:tcBorders>
                  <w:noWrap w:val="0"/>
                  <w:vAlign w:val="center"/>
                </w:tcPr>
                <w:p w14:paraId="479093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0.434</w:t>
                  </w:r>
                </w:p>
              </w:tc>
            </w:tr>
          </w:tbl>
          <w:p w14:paraId="1B4C517D">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kern w:val="2"/>
                <w:sz w:val="24"/>
                <w:szCs w:val="32"/>
                <w:highlight w:val="none"/>
                <w:lang w:val="en-US" w:eastAsia="zh-CN" w:bidi="ar-SA"/>
              </w:rPr>
            </w:pPr>
            <w:r>
              <w:rPr>
                <w:rFonts w:hint="eastAsia" w:ascii="Times New Roman" w:hAnsi="Times New Roman" w:eastAsia="宋体" w:cs="Times New Roman"/>
                <w:kern w:val="2"/>
                <w:sz w:val="24"/>
                <w:szCs w:val="32"/>
                <w:highlight w:val="none"/>
                <w:lang w:val="en-US" w:eastAsia="zh-CN" w:bidi="ar-SA"/>
              </w:rPr>
              <w:t>由上表的计算可知，本项目Q值为0.</w:t>
            </w:r>
            <w:r>
              <w:rPr>
                <w:rFonts w:hint="eastAsia" w:ascii="Times New Roman" w:hAnsi="Times New Roman" w:cs="Times New Roman"/>
                <w:kern w:val="2"/>
                <w:sz w:val="24"/>
                <w:szCs w:val="32"/>
                <w:highlight w:val="none"/>
                <w:lang w:val="en-US" w:eastAsia="zh-CN" w:bidi="ar-SA"/>
              </w:rPr>
              <w:t>43</w:t>
            </w:r>
            <w:r>
              <w:rPr>
                <w:rFonts w:hint="eastAsia" w:ascii="Times New Roman" w:hAnsi="Times New Roman" w:eastAsia="宋体" w:cs="Times New Roman"/>
                <w:kern w:val="2"/>
                <w:sz w:val="24"/>
                <w:szCs w:val="32"/>
                <w:highlight w:val="none"/>
                <w:lang w:val="en-US" w:eastAsia="zh-CN" w:bidi="ar-SA"/>
              </w:rPr>
              <w:t>＜1，则本项目环境风险潜势为I级。</w:t>
            </w:r>
          </w:p>
          <w:p w14:paraId="7577ED3E">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kern w:val="2"/>
                <w:sz w:val="24"/>
                <w:szCs w:val="32"/>
                <w:highlight w:val="none"/>
                <w:lang w:val="en-US" w:eastAsia="zh-CN" w:bidi="ar-SA"/>
              </w:rPr>
            </w:pPr>
            <w:r>
              <w:rPr>
                <w:rFonts w:hint="eastAsia" w:cs="Times New Roman"/>
                <w:kern w:val="2"/>
                <w:sz w:val="24"/>
                <w:szCs w:val="32"/>
                <w:highlight w:val="none"/>
                <w:lang w:val="en-US" w:eastAsia="zh-CN" w:bidi="ar-SA"/>
              </w:rPr>
              <w:t>6.4</w:t>
            </w:r>
            <w:r>
              <w:rPr>
                <w:rFonts w:hint="default" w:ascii="Times New Roman" w:hAnsi="Times New Roman" w:eastAsia="宋体" w:cs="Times New Roman"/>
                <w:kern w:val="2"/>
                <w:sz w:val="24"/>
                <w:szCs w:val="32"/>
                <w:highlight w:val="none"/>
                <w:lang w:val="en-US" w:eastAsia="zh-CN" w:bidi="ar-SA"/>
              </w:rPr>
              <w:t>环境风险评价等级</w:t>
            </w:r>
          </w:p>
          <w:p w14:paraId="29F5A163">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kern w:val="2"/>
                <w:sz w:val="24"/>
                <w:szCs w:val="32"/>
                <w:highlight w:val="none"/>
                <w:lang w:val="en-US" w:eastAsia="zh-CN" w:bidi="ar-SA"/>
              </w:rPr>
            </w:pPr>
            <w:r>
              <w:rPr>
                <w:rFonts w:hint="default" w:ascii="Times New Roman" w:hAnsi="Times New Roman" w:eastAsia="宋体" w:cs="Times New Roman"/>
                <w:kern w:val="2"/>
                <w:sz w:val="24"/>
                <w:szCs w:val="32"/>
                <w:highlight w:val="none"/>
                <w:lang w:val="en-US" w:eastAsia="zh-CN" w:bidi="ar-SA"/>
              </w:rPr>
              <w:t>环境风险评价等级划分为一级、二级、三级。等级划分见下表。</w:t>
            </w:r>
          </w:p>
          <w:p w14:paraId="72982DB9">
            <w:pPr>
              <w:bidi w:val="0"/>
              <w:jc w:val="center"/>
              <w:rPr>
                <w:rFonts w:hint="default" w:ascii="Times New Roman" w:hAnsi="Times New Roman" w:eastAsia="宋体" w:cs="Times New Roman"/>
                <w:b/>
                <w:bCs/>
                <w:color w:val="auto"/>
                <w:sz w:val="24"/>
                <w:szCs w:val="32"/>
                <w:highlight w:val="none"/>
              </w:rPr>
            </w:pPr>
            <w:r>
              <w:rPr>
                <w:rFonts w:hint="default"/>
                <w:b/>
                <w:bCs/>
                <w:sz w:val="24"/>
                <w:szCs w:val="32"/>
                <w:highlight w:val="none"/>
              </w:rPr>
              <w:t>表</w:t>
            </w:r>
            <w:r>
              <w:rPr>
                <w:rFonts w:hint="eastAsia"/>
                <w:b/>
                <w:bCs/>
                <w:sz w:val="24"/>
                <w:szCs w:val="32"/>
                <w:highlight w:val="none"/>
                <w:lang w:val="en-US" w:eastAsia="zh-CN"/>
              </w:rPr>
              <w:t>4-16：</w:t>
            </w:r>
            <w:r>
              <w:rPr>
                <w:rFonts w:hint="default"/>
                <w:b/>
                <w:bCs/>
                <w:sz w:val="24"/>
                <w:szCs w:val="32"/>
                <w:highlight w:val="none"/>
              </w:rPr>
              <w:t>评价工作等级划分</w:t>
            </w:r>
          </w:p>
          <w:tbl>
            <w:tblPr>
              <w:tblStyle w:val="4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5"/>
              <w:gridCol w:w="1556"/>
              <w:gridCol w:w="1840"/>
              <w:gridCol w:w="2122"/>
              <w:gridCol w:w="1561"/>
            </w:tblGrid>
            <w:tr w14:paraId="7817CB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833" w:type="pct"/>
                  <w:tcBorders>
                    <w:top w:val="single" w:color="auto" w:sz="4" w:space="0"/>
                    <w:left w:val="single" w:color="auto" w:sz="0" w:space="0"/>
                  </w:tcBorders>
                  <w:noWrap w:val="0"/>
                  <w:tcMar>
                    <w:left w:w="0" w:type="dxa"/>
                    <w:right w:w="0" w:type="dxa"/>
                  </w:tcMar>
                  <w:vAlign w:val="center"/>
                </w:tcPr>
                <w:p w14:paraId="352E9E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环境风险潜势</w:t>
                  </w:r>
                </w:p>
              </w:tc>
              <w:tc>
                <w:tcPr>
                  <w:tcW w:w="916" w:type="pct"/>
                  <w:tcBorders>
                    <w:top w:val="single" w:color="auto" w:sz="4" w:space="0"/>
                  </w:tcBorders>
                  <w:noWrap w:val="0"/>
                  <w:tcMar>
                    <w:left w:w="0" w:type="dxa"/>
                    <w:right w:w="0" w:type="dxa"/>
                  </w:tcMar>
                  <w:vAlign w:val="center"/>
                </w:tcPr>
                <w:p w14:paraId="48B160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Ⅳ</w:t>
                  </w:r>
                  <w:r>
                    <w:rPr>
                      <w:rFonts w:hint="default" w:ascii="Times New Roman" w:hAnsi="Times New Roman" w:eastAsia="宋体" w:cs="Times New Roman"/>
                      <w:color w:val="auto"/>
                      <w:kern w:val="2"/>
                      <w:sz w:val="21"/>
                      <w:szCs w:val="21"/>
                      <w:highlight w:val="none"/>
                    </w:rPr>
                    <w:t>、Ⅳ</w:t>
                  </w:r>
                  <w:r>
                    <w:rPr>
                      <w:rFonts w:hint="default" w:ascii="Times New Roman" w:hAnsi="Times New Roman" w:eastAsia="宋体" w:cs="Times New Roman"/>
                      <w:color w:val="auto"/>
                      <w:kern w:val="2"/>
                      <w:sz w:val="21"/>
                      <w:szCs w:val="21"/>
                      <w:highlight w:val="none"/>
                      <w:vertAlign w:val="superscript"/>
                    </w:rPr>
                    <w:t>+</w:t>
                  </w:r>
                </w:p>
              </w:tc>
              <w:tc>
                <w:tcPr>
                  <w:tcW w:w="1083" w:type="pct"/>
                  <w:tcBorders>
                    <w:top w:val="single" w:color="auto" w:sz="4" w:space="0"/>
                  </w:tcBorders>
                  <w:noWrap w:val="0"/>
                  <w:tcMar>
                    <w:left w:w="0" w:type="dxa"/>
                    <w:right w:w="0" w:type="dxa"/>
                  </w:tcMar>
                  <w:vAlign w:val="center"/>
                </w:tcPr>
                <w:p w14:paraId="671DC9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Ⅲ</w:t>
                  </w:r>
                </w:p>
              </w:tc>
              <w:tc>
                <w:tcPr>
                  <w:tcW w:w="1249" w:type="pct"/>
                  <w:tcBorders>
                    <w:top w:val="single" w:color="auto" w:sz="4" w:space="0"/>
                  </w:tcBorders>
                  <w:noWrap w:val="0"/>
                  <w:tcMar>
                    <w:left w:w="0" w:type="dxa"/>
                    <w:right w:w="0" w:type="dxa"/>
                  </w:tcMar>
                  <w:vAlign w:val="center"/>
                </w:tcPr>
                <w:p w14:paraId="0F8191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Ⅱ</w:t>
                  </w:r>
                </w:p>
              </w:tc>
              <w:tc>
                <w:tcPr>
                  <w:tcW w:w="916" w:type="pct"/>
                  <w:tcBorders>
                    <w:top w:val="single" w:color="auto" w:sz="4" w:space="0"/>
                    <w:right w:val="single" w:color="auto" w:sz="4" w:space="0"/>
                  </w:tcBorders>
                  <w:noWrap w:val="0"/>
                  <w:tcMar>
                    <w:left w:w="0" w:type="dxa"/>
                    <w:right w:w="0" w:type="dxa"/>
                  </w:tcMar>
                  <w:vAlign w:val="center"/>
                </w:tcPr>
                <w:p w14:paraId="7EA50F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Times New Roman" w:cs="Times New Roman"/>
                      <w:color w:val="auto"/>
                      <w:kern w:val="2"/>
                      <w:sz w:val="21"/>
                      <w:szCs w:val="21"/>
                      <w:highlight w:val="none"/>
                    </w:rPr>
                    <w:t>Ⅰ</w:t>
                  </w:r>
                </w:p>
              </w:tc>
            </w:tr>
            <w:tr w14:paraId="3C3358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833" w:type="pct"/>
                  <w:tcBorders>
                    <w:left w:val="single" w:color="auto" w:sz="4" w:space="0"/>
                  </w:tcBorders>
                  <w:noWrap w:val="0"/>
                  <w:tcMar>
                    <w:left w:w="0" w:type="dxa"/>
                    <w:right w:w="0" w:type="dxa"/>
                  </w:tcMar>
                  <w:vAlign w:val="center"/>
                </w:tcPr>
                <w:p w14:paraId="4ACDDC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评价工作等级</w:t>
                  </w:r>
                </w:p>
              </w:tc>
              <w:tc>
                <w:tcPr>
                  <w:tcW w:w="916" w:type="pct"/>
                  <w:noWrap w:val="0"/>
                  <w:tcMar>
                    <w:left w:w="0" w:type="dxa"/>
                    <w:right w:w="0" w:type="dxa"/>
                  </w:tcMar>
                  <w:vAlign w:val="center"/>
                </w:tcPr>
                <w:p w14:paraId="04BC9F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一</w:t>
                  </w:r>
                </w:p>
              </w:tc>
              <w:tc>
                <w:tcPr>
                  <w:tcW w:w="1083" w:type="pct"/>
                  <w:noWrap w:val="0"/>
                  <w:tcMar>
                    <w:left w:w="0" w:type="dxa"/>
                    <w:right w:w="0" w:type="dxa"/>
                  </w:tcMar>
                  <w:vAlign w:val="center"/>
                </w:tcPr>
                <w:p w14:paraId="6E7B43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二</w:t>
                  </w:r>
                </w:p>
              </w:tc>
              <w:tc>
                <w:tcPr>
                  <w:tcW w:w="1249" w:type="pct"/>
                  <w:noWrap w:val="0"/>
                  <w:tcMar>
                    <w:left w:w="0" w:type="dxa"/>
                    <w:right w:w="0" w:type="dxa"/>
                  </w:tcMar>
                  <w:vAlign w:val="center"/>
                </w:tcPr>
                <w:p w14:paraId="1F99E3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三</w:t>
                  </w:r>
                </w:p>
              </w:tc>
              <w:tc>
                <w:tcPr>
                  <w:tcW w:w="916" w:type="pct"/>
                  <w:tcBorders>
                    <w:right w:val="single" w:color="auto" w:sz="4" w:space="0"/>
                  </w:tcBorders>
                  <w:noWrap w:val="0"/>
                  <w:tcMar>
                    <w:left w:w="0" w:type="dxa"/>
                    <w:right w:w="0" w:type="dxa"/>
                  </w:tcMar>
                  <w:vAlign w:val="center"/>
                </w:tcPr>
                <w:p w14:paraId="6E104E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简单分析</w:t>
                  </w:r>
                  <w:r>
                    <w:rPr>
                      <w:rFonts w:hint="default" w:ascii="Times New Roman" w:hAnsi="Times New Roman" w:eastAsia="Times New Roman" w:cs="Times New Roman"/>
                      <w:color w:val="auto"/>
                      <w:kern w:val="2"/>
                      <w:sz w:val="21"/>
                      <w:szCs w:val="21"/>
                      <w:highlight w:val="none"/>
                      <w:vertAlign w:val="superscript"/>
                    </w:rPr>
                    <w:t>a</w:t>
                  </w:r>
                </w:p>
              </w:tc>
            </w:tr>
            <w:tr w14:paraId="32A5F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000" w:type="pct"/>
                  <w:gridSpan w:val="5"/>
                  <w:tcBorders>
                    <w:left w:val="single" w:color="auto" w:sz="4" w:space="0"/>
                    <w:bottom w:val="single" w:color="auto" w:sz="4" w:space="0"/>
                    <w:right w:val="single" w:color="auto" w:sz="4" w:space="0"/>
                  </w:tcBorders>
                  <w:noWrap w:val="0"/>
                  <w:tcMar>
                    <w:left w:w="0" w:type="dxa"/>
                    <w:right w:w="0" w:type="dxa"/>
                  </w:tcMar>
                  <w:vAlign w:val="center"/>
                </w:tcPr>
                <w:p w14:paraId="7FDE57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Times New Roman"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a是相对于详细评价工作内容而言，在描述危险物质、环境影响途径、环境危害后果、风险防范措施等方面给出定性说明。</w:t>
                  </w:r>
                </w:p>
              </w:tc>
            </w:tr>
          </w:tbl>
          <w:p w14:paraId="174A0D99">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eastAsia" w:ascii="Times New Roman" w:hAnsi="Times New Roman" w:eastAsia="宋体" w:cs="Times New Roman"/>
                <w:kern w:val="2"/>
                <w:sz w:val="24"/>
                <w:szCs w:val="32"/>
                <w:highlight w:val="none"/>
                <w:lang w:val="en-US" w:eastAsia="zh-CN" w:bidi="ar-SA"/>
              </w:rPr>
            </w:pPr>
            <w:r>
              <w:rPr>
                <w:rFonts w:hint="eastAsia" w:ascii="Times New Roman" w:hAnsi="Times New Roman" w:eastAsia="宋体" w:cs="Times New Roman"/>
                <w:kern w:val="2"/>
                <w:sz w:val="24"/>
                <w:szCs w:val="32"/>
                <w:highlight w:val="none"/>
                <w:lang w:val="en-US" w:eastAsia="zh-CN" w:bidi="ar-SA"/>
              </w:rPr>
              <w:t>综上所述，本项目环境风险评价等级为简单分析。</w:t>
            </w:r>
          </w:p>
          <w:p w14:paraId="3E603B14">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kern w:val="2"/>
                <w:sz w:val="24"/>
                <w:szCs w:val="32"/>
                <w:highlight w:val="none"/>
                <w:lang w:val="en-US" w:eastAsia="zh-CN" w:bidi="ar-SA"/>
              </w:rPr>
            </w:pPr>
            <w:r>
              <w:rPr>
                <w:rFonts w:hint="eastAsia" w:cs="Times New Roman"/>
                <w:kern w:val="2"/>
                <w:sz w:val="24"/>
                <w:szCs w:val="32"/>
                <w:highlight w:val="none"/>
                <w:lang w:val="en-US" w:eastAsia="zh-CN" w:bidi="ar-SA"/>
              </w:rPr>
              <w:t>6.5</w:t>
            </w:r>
            <w:r>
              <w:rPr>
                <w:rFonts w:hint="default" w:ascii="Times New Roman" w:hAnsi="Times New Roman" w:eastAsia="宋体" w:cs="Times New Roman"/>
                <w:kern w:val="2"/>
                <w:sz w:val="24"/>
                <w:szCs w:val="32"/>
                <w:highlight w:val="none"/>
                <w:lang w:val="en-US" w:eastAsia="zh-CN" w:bidi="ar-SA"/>
              </w:rPr>
              <w:t>环境风险识别</w:t>
            </w:r>
          </w:p>
          <w:p w14:paraId="057EC758">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kern w:val="2"/>
                <w:sz w:val="24"/>
                <w:szCs w:val="32"/>
                <w:highlight w:val="none"/>
                <w:lang w:val="en-US" w:eastAsia="zh-CN" w:bidi="ar-SA"/>
              </w:rPr>
            </w:pPr>
            <w:r>
              <w:rPr>
                <w:rFonts w:hint="eastAsia" w:cs="Times New Roman"/>
                <w:color w:val="auto"/>
                <w:sz w:val="24"/>
                <w:szCs w:val="24"/>
                <w:highlight w:val="none"/>
                <w:lang w:eastAsia="zh-CN"/>
              </w:rPr>
              <w:t>（</w:t>
            </w:r>
            <w:r>
              <w:rPr>
                <w:rFonts w:hint="default" w:ascii="Times New Roman" w:hAnsi="Times New Roman" w:eastAsia="宋体" w:cs="Times New Roman"/>
                <w:kern w:val="2"/>
                <w:sz w:val="24"/>
                <w:szCs w:val="32"/>
                <w:highlight w:val="none"/>
                <w:lang w:val="en-US" w:eastAsia="zh-CN" w:bidi="ar-SA"/>
              </w:rPr>
              <w:t>1）物质风险识别</w:t>
            </w:r>
          </w:p>
          <w:p w14:paraId="294CBD85">
            <w:pPr>
              <w:pStyle w:val="20"/>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jc w:val="left"/>
              <w:textAlignment w:val="auto"/>
              <w:rPr>
                <w:rFonts w:hint="default" w:ascii="Times New Roman" w:hAnsi="Times New Roman" w:eastAsia="宋体" w:cs="Times New Roman"/>
                <w:kern w:val="2"/>
                <w:sz w:val="24"/>
                <w:szCs w:val="32"/>
                <w:highlight w:val="none"/>
                <w:lang w:val="en-US" w:eastAsia="zh-CN" w:bidi="ar-SA"/>
              </w:rPr>
            </w:pPr>
            <w:r>
              <w:rPr>
                <w:rFonts w:hint="default" w:ascii="Times New Roman" w:hAnsi="Times New Roman" w:eastAsia="宋体" w:cs="Times New Roman"/>
                <w:kern w:val="2"/>
                <w:sz w:val="24"/>
                <w:szCs w:val="32"/>
                <w:highlight w:val="none"/>
                <w:lang w:val="en-US" w:eastAsia="zh-CN" w:bidi="ar-SA"/>
              </w:rPr>
              <w:t>根据《建设项目环境风险评价技术导则》（HJ169-2018）附录B</w:t>
            </w:r>
            <w:r>
              <w:rPr>
                <w:rFonts w:hint="eastAsia" w:ascii="Times New Roman" w:hAnsi="Times New Roman" w:eastAsia="宋体" w:cs="Times New Roman"/>
                <w:kern w:val="2"/>
                <w:sz w:val="24"/>
                <w:szCs w:val="32"/>
                <w:highlight w:val="none"/>
                <w:lang w:val="en-US" w:eastAsia="zh-CN" w:bidi="ar-SA"/>
              </w:rPr>
              <w:t>以及《企业突发环境事件风险分级方法》（HJ 941-2018）</w:t>
            </w:r>
            <w:r>
              <w:rPr>
                <w:rFonts w:hint="default" w:ascii="Times New Roman" w:hAnsi="Times New Roman" w:eastAsia="宋体" w:cs="Times New Roman"/>
                <w:kern w:val="2"/>
                <w:sz w:val="24"/>
                <w:szCs w:val="32"/>
                <w:highlight w:val="none"/>
                <w:lang w:val="en-US" w:eastAsia="zh-CN" w:bidi="ar-SA"/>
              </w:rPr>
              <w:t>，识别本项目危险物质</w:t>
            </w:r>
            <w:r>
              <w:rPr>
                <w:rFonts w:hint="eastAsia" w:cs="Times New Roman"/>
                <w:kern w:val="2"/>
                <w:sz w:val="24"/>
                <w:szCs w:val="32"/>
                <w:highlight w:val="none"/>
                <w:lang w:val="en-US" w:eastAsia="zh-CN" w:bidi="ar-SA"/>
              </w:rPr>
              <w:t>为丁烷、丁烯、戊烷、戊烯、正己烷</w:t>
            </w:r>
            <w:r>
              <w:rPr>
                <w:rFonts w:hint="default" w:ascii="Times New Roman" w:hAnsi="Times New Roman" w:eastAsia="宋体" w:cs="Times New Roman"/>
                <w:kern w:val="2"/>
                <w:sz w:val="24"/>
                <w:szCs w:val="32"/>
                <w:highlight w:val="none"/>
                <w:lang w:val="en-US" w:eastAsia="zh-CN" w:bidi="ar-SA"/>
              </w:rPr>
              <w:t>，其易燃易爆特性见下表。</w:t>
            </w:r>
          </w:p>
          <w:p w14:paraId="3C3E0A27">
            <w:pPr>
              <w:bidi w:val="0"/>
              <w:jc w:val="center"/>
              <w:rPr>
                <w:rFonts w:hint="default" w:ascii="Times New Roman" w:hAnsi="Times New Roman" w:eastAsia="宋体" w:cs="Times New Roman"/>
                <w:b/>
                <w:bCs/>
                <w:color w:val="auto"/>
                <w:sz w:val="24"/>
                <w:szCs w:val="32"/>
                <w:highlight w:val="none"/>
              </w:rPr>
            </w:pPr>
            <w:r>
              <w:rPr>
                <w:rFonts w:hint="default"/>
                <w:b/>
                <w:bCs/>
                <w:sz w:val="24"/>
                <w:szCs w:val="32"/>
                <w:highlight w:val="none"/>
              </w:rPr>
              <w:t>表</w:t>
            </w:r>
            <w:r>
              <w:rPr>
                <w:rFonts w:hint="eastAsia"/>
                <w:b/>
                <w:bCs/>
                <w:sz w:val="24"/>
                <w:szCs w:val="32"/>
                <w:highlight w:val="none"/>
                <w:lang w:val="en-US" w:eastAsia="zh-CN"/>
              </w:rPr>
              <w:t>4-17：丁烷</w:t>
            </w:r>
            <w:r>
              <w:rPr>
                <w:rFonts w:hint="default"/>
                <w:b/>
                <w:bCs/>
                <w:sz w:val="24"/>
                <w:szCs w:val="32"/>
                <w:highlight w:val="none"/>
              </w:rPr>
              <w:t>的理化性质和危险特性</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215"/>
              <w:gridCol w:w="2495"/>
              <w:gridCol w:w="393"/>
              <w:gridCol w:w="399"/>
              <w:gridCol w:w="1412"/>
              <w:gridCol w:w="139"/>
              <w:gridCol w:w="265"/>
              <w:gridCol w:w="2179"/>
            </w:tblGrid>
            <w:tr w14:paraId="7CF3438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top w:val="single" w:color="auto" w:sz="4" w:space="0"/>
                    <w:left w:val="single" w:color="auto" w:sz="0" w:space="0"/>
                    <w:right w:val="single" w:color="auto" w:sz="4" w:space="0"/>
                    <w:tl2br w:val="nil"/>
                    <w:tr2bl w:val="nil"/>
                  </w:tcBorders>
                  <w:noWrap w:val="0"/>
                  <w:vAlign w:val="center"/>
                </w:tcPr>
                <w:p w14:paraId="6CD541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第一部分危险性概述</w:t>
                  </w:r>
                </w:p>
              </w:tc>
            </w:tr>
            <w:tr w14:paraId="3C25443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64462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危险性类别：</w:t>
                  </w:r>
                </w:p>
              </w:tc>
              <w:tc>
                <w:tcPr>
                  <w:tcW w:w="1934" w:type="pct"/>
                  <w:gridSpan w:val="3"/>
                  <w:tcBorders>
                    <w:tl2br w:val="nil"/>
                    <w:tr2bl w:val="nil"/>
                  </w:tcBorders>
                  <w:noWrap w:val="0"/>
                  <w:vAlign w:val="center"/>
                </w:tcPr>
                <w:p w14:paraId="0ACD86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易燃气体、高压气体、压缩气体</w:t>
                  </w:r>
                </w:p>
              </w:tc>
              <w:tc>
                <w:tcPr>
                  <w:tcW w:w="1069" w:type="pct"/>
                  <w:gridSpan w:val="3"/>
                  <w:tcBorders>
                    <w:tl2br w:val="nil"/>
                    <w:tr2bl w:val="nil"/>
                  </w:tcBorders>
                  <w:noWrap w:val="0"/>
                  <w:vAlign w:val="center"/>
                </w:tcPr>
                <w:p w14:paraId="5069DC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燃爆危险：</w:t>
                  </w:r>
                </w:p>
              </w:tc>
              <w:tc>
                <w:tcPr>
                  <w:tcW w:w="1280" w:type="pct"/>
                  <w:tcBorders>
                    <w:right w:val="single" w:color="auto" w:sz="4" w:space="0"/>
                    <w:tl2br w:val="nil"/>
                    <w:tr2bl w:val="nil"/>
                  </w:tcBorders>
                  <w:noWrap w:val="0"/>
                  <w:vAlign w:val="center"/>
                </w:tcPr>
                <w:p w14:paraId="6CB9E1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极端易燃</w:t>
                  </w:r>
                </w:p>
              </w:tc>
            </w:tr>
            <w:tr w14:paraId="647CEB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0733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侵入途径：</w:t>
                  </w:r>
                </w:p>
              </w:tc>
              <w:tc>
                <w:tcPr>
                  <w:tcW w:w="1934" w:type="pct"/>
                  <w:gridSpan w:val="3"/>
                  <w:tcBorders>
                    <w:tl2br w:val="nil"/>
                    <w:tr2bl w:val="nil"/>
                  </w:tcBorders>
                  <w:noWrap w:val="0"/>
                  <w:vAlign w:val="center"/>
                </w:tcPr>
                <w:p w14:paraId="6CA4CC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吸入、食入、经皮吸收</w:t>
                  </w:r>
                </w:p>
              </w:tc>
              <w:tc>
                <w:tcPr>
                  <w:tcW w:w="1069" w:type="pct"/>
                  <w:gridSpan w:val="3"/>
                  <w:tcBorders>
                    <w:tl2br w:val="nil"/>
                    <w:tr2bl w:val="nil"/>
                  </w:tcBorders>
                  <w:noWrap w:val="0"/>
                  <w:vAlign w:val="center"/>
                </w:tcPr>
                <w:p w14:paraId="6F3D34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有害燃烧产物：</w:t>
                  </w:r>
                </w:p>
              </w:tc>
              <w:tc>
                <w:tcPr>
                  <w:tcW w:w="1280" w:type="pct"/>
                  <w:tcBorders>
                    <w:right w:val="single" w:color="auto" w:sz="4" w:space="0"/>
                    <w:tl2br w:val="nil"/>
                    <w:tr2bl w:val="nil"/>
                  </w:tcBorders>
                  <w:noWrap w:val="0"/>
                  <w:vAlign w:val="center"/>
                </w:tcPr>
                <w:p w14:paraId="1418FD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34A3752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378CC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环境危害：</w:t>
                  </w:r>
                </w:p>
              </w:tc>
              <w:tc>
                <w:tcPr>
                  <w:tcW w:w="4284" w:type="pct"/>
                  <w:gridSpan w:val="7"/>
                  <w:tcBorders>
                    <w:right w:val="single" w:color="auto" w:sz="4" w:space="0"/>
                    <w:tl2br w:val="nil"/>
                    <w:tr2bl w:val="nil"/>
                  </w:tcBorders>
                  <w:noWrap w:val="0"/>
                  <w:vAlign w:val="center"/>
                </w:tcPr>
                <w:p w14:paraId="308DD5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该物质对环境有危害，应特别注意对地表水、土壤、大气和饮用水的污染。</w:t>
                  </w:r>
                </w:p>
              </w:tc>
            </w:tr>
            <w:tr w14:paraId="11250C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752CD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第二部分理化特性</w:t>
                  </w:r>
                </w:p>
              </w:tc>
            </w:tr>
            <w:tr w14:paraId="5E3EE51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F4027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外观及性状：</w:t>
                  </w:r>
                </w:p>
              </w:tc>
              <w:tc>
                <w:tcPr>
                  <w:tcW w:w="1699" w:type="pct"/>
                  <w:gridSpan w:val="2"/>
                  <w:tcBorders>
                    <w:tl2br w:val="nil"/>
                    <w:tr2bl w:val="nil"/>
                  </w:tcBorders>
                  <w:noWrap w:val="0"/>
                  <w:vAlign w:val="center"/>
                </w:tcPr>
                <w:p w14:paraId="6FF2A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无色</w:t>
                  </w:r>
                  <w:r>
                    <w:rPr>
                      <w:rFonts w:hint="default" w:ascii="Times New Roman" w:hAnsi="Times New Roman" w:eastAsia="宋体" w:cs="Times New Roman"/>
                      <w:color w:val="auto"/>
                      <w:sz w:val="21"/>
                      <w:szCs w:val="21"/>
                      <w:highlight w:val="none"/>
                    </w:rPr>
                    <w:t>液体。</w:t>
                  </w:r>
                </w:p>
              </w:tc>
              <w:tc>
                <w:tcPr>
                  <w:tcW w:w="1148" w:type="pct"/>
                  <w:gridSpan w:val="3"/>
                  <w:tcBorders>
                    <w:tl2br w:val="nil"/>
                    <w:tr2bl w:val="nil"/>
                  </w:tcBorders>
                  <w:noWrap w:val="0"/>
                  <w:vAlign w:val="center"/>
                </w:tcPr>
                <w:p w14:paraId="2B304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主要用途：</w:t>
                  </w:r>
                </w:p>
              </w:tc>
              <w:tc>
                <w:tcPr>
                  <w:tcW w:w="1436" w:type="pct"/>
                  <w:gridSpan w:val="2"/>
                  <w:tcBorders>
                    <w:right w:val="single" w:color="auto" w:sz="4" w:space="0"/>
                    <w:tl2br w:val="nil"/>
                    <w:tr2bl w:val="nil"/>
                  </w:tcBorders>
                  <w:noWrap w:val="0"/>
                  <w:vAlign w:val="center"/>
                </w:tcPr>
                <w:p w14:paraId="26F20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w:t>
                  </w:r>
                </w:p>
              </w:tc>
            </w:tr>
            <w:tr w14:paraId="58A7D0E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80C56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闪点（℃）：</w:t>
                  </w:r>
                </w:p>
              </w:tc>
              <w:tc>
                <w:tcPr>
                  <w:tcW w:w="1699" w:type="pct"/>
                  <w:gridSpan w:val="2"/>
                  <w:tcBorders>
                    <w:tl2br w:val="nil"/>
                    <w:tr2bl w:val="nil"/>
                  </w:tcBorders>
                  <w:noWrap w:val="0"/>
                  <w:vAlign w:val="center"/>
                </w:tcPr>
                <w:p w14:paraId="5FC47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1148" w:type="pct"/>
                  <w:gridSpan w:val="3"/>
                  <w:tcBorders>
                    <w:tl2br w:val="nil"/>
                    <w:tr2bl w:val="nil"/>
                  </w:tcBorders>
                  <w:noWrap w:val="0"/>
                  <w:vAlign w:val="center"/>
                </w:tcPr>
                <w:p w14:paraId="4C5E2D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相对密度（水＝1）：</w:t>
                  </w:r>
                </w:p>
              </w:tc>
              <w:tc>
                <w:tcPr>
                  <w:tcW w:w="1436" w:type="pct"/>
                  <w:gridSpan w:val="2"/>
                  <w:tcBorders>
                    <w:right w:val="single" w:color="auto" w:sz="4" w:space="0"/>
                    <w:tl2br w:val="nil"/>
                    <w:tr2bl w:val="nil"/>
                  </w:tcBorders>
                  <w:noWrap w:val="0"/>
                  <w:vAlign w:val="center"/>
                </w:tcPr>
                <w:p w14:paraId="19D279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0.6</w:t>
                  </w:r>
                </w:p>
              </w:tc>
            </w:tr>
            <w:tr w14:paraId="6B64576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5CBB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沸点（℃）：</w:t>
                  </w:r>
                </w:p>
              </w:tc>
              <w:tc>
                <w:tcPr>
                  <w:tcW w:w="1699" w:type="pct"/>
                  <w:gridSpan w:val="2"/>
                  <w:tcBorders>
                    <w:tl2br w:val="nil"/>
                    <w:tr2bl w:val="nil"/>
                  </w:tcBorders>
                  <w:noWrap w:val="0"/>
                  <w:vAlign w:val="center"/>
                </w:tcPr>
                <w:p w14:paraId="61DE83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-0.5</w:t>
                  </w:r>
                </w:p>
              </w:tc>
              <w:tc>
                <w:tcPr>
                  <w:tcW w:w="1148" w:type="pct"/>
                  <w:gridSpan w:val="3"/>
                  <w:tcBorders>
                    <w:tl2br w:val="nil"/>
                    <w:tr2bl w:val="nil"/>
                  </w:tcBorders>
                  <w:noWrap w:val="0"/>
                  <w:vAlign w:val="center"/>
                </w:tcPr>
                <w:p w14:paraId="25C6C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爆炸上限％（V/V）：</w:t>
                  </w:r>
                </w:p>
              </w:tc>
              <w:tc>
                <w:tcPr>
                  <w:tcW w:w="1436" w:type="pct"/>
                  <w:gridSpan w:val="2"/>
                  <w:tcBorders>
                    <w:right w:val="single" w:color="auto" w:sz="4" w:space="0"/>
                    <w:tl2br w:val="nil"/>
                    <w:tr2bl w:val="nil"/>
                  </w:tcBorders>
                  <w:noWrap w:val="0"/>
                  <w:vAlign w:val="center"/>
                </w:tcPr>
                <w:p w14:paraId="3BC345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8.4</w:t>
                  </w:r>
                </w:p>
              </w:tc>
            </w:tr>
            <w:tr w14:paraId="7394505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3C141B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自然点（℃）：</w:t>
                  </w:r>
                </w:p>
              </w:tc>
              <w:tc>
                <w:tcPr>
                  <w:tcW w:w="1699" w:type="pct"/>
                  <w:gridSpan w:val="2"/>
                  <w:tcBorders>
                    <w:tl2br w:val="nil"/>
                    <w:tr2bl w:val="nil"/>
                  </w:tcBorders>
                  <w:noWrap w:val="0"/>
                  <w:vAlign w:val="center"/>
                </w:tcPr>
                <w:p w14:paraId="5CCD7A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365</w:t>
                  </w:r>
                </w:p>
              </w:tc>
              <w:tc>
                <w:tcPr>
                  <w:tcW w:w="1148" w:type="pct"/>
                  <w:gridSpan w:val="3"/>
                  <w:tcBorders>
                    <w:tl2br w:val="nil"/>
                    <w:tr2bl w:val="nil"/>
                  </w:tcBorders>
                  <w:noWrap w:val="0"/>
                  <w:vAlign w:val="center"/>
                </w:tcPr>
                <w:p w14:paraId="53D6F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爆炸下限％（V/V）：</w:t>
                  </w:r>
                </w:p>
              </w:tc>
              <w:tc>
                <w:tcPr>
                  <w:tcW w:w="1436" w:type="pct"/>
                  <w:gridSpan w:val="2"/>
                  <w:tcBorders>
                    <w:right w:val="single" w:color="auto" w:sz="4" w:space="0"/>
                    <w:tl2br w:val="nil"/>
                    <w:tr2bl w:val="nil"/>
                  </w:tcBorders>
                  <w:noWrap w:val="0"/>
                  <w:vAlign w:val="center"/>
                </w:tcPr>
                <w:p w14:paraId="414F6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r>
            <w:tr w14:paraId="084007F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9E22A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溶解性：</w:t>
                  </w:r>
                </w:p>
              </w:tc>
              <w:tc>
                <w:tcPr>
                  <w:tcW w:w="4284" w:type="pct"/>
                  <w:gridSpan w:val="7"/>
                  <w:tcBorders>
                    <w:right w:val="single" w:color="auto" w:sz="4" w:space="0"/>
                    <w:tl2br w:val="nil"/>
                    <w:tr2bl w:val="nil"/>
                  </w:tcBorders>
                  <w:noWrap w:val="0"/>
                  <w:vAlign w:val="center"/>
                </w:tcPr>
                <w:p w14:paraId="2EA817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不溶于水</w:t>
                  </w:r>
                </w:p>
              </w:tc>
            </w:tr>
            <w:tr w14:paraId="669B82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74256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第三部分稳定性及化学活性</w:t>
                  </w:r>
                </w:p>
              </w:tc>
            </w:tr>
            <w:tr w14:paraId="012234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913F0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稳定性：</w:t>
                  </w:r>
                </w:p>
              </w:tc>
              <w:tc>
                <w:tcPr>
                  <w:tcW w:w="1468" w:type="pct"/>
                  <w:tcBorders>
                    <w:tl2br w:val="nil"/>
                    <w:tr2bl w:val="nil"/>
                  </w:tcBorders>
                  <w:noWrap w:val="0"/>
                  <w:vAlign w:val="center"/>
                </w:tcPr>
                <w:p w14:paraId="020714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w:t>
                  </w:r>
                </w:p>
              </w:tc>
              <w:tc>
                <w:tcPr>
                  <w:tcW w:w="1297" w:type="pct"/>
                  <w:gridSpan w:val="3"/>
                  <w:tcBorders>
                    <w:tl2br w:val="nil"/>
                    <w:tr2bl w:val="nil"/>
                  </w:tcBorders>
                  <w:noWrap w:val="0"/>
                  <w:vAlign w:val="center"/>
                </w:tcPr>
                <w:p w14:paraId="650E0E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避免接触的条件：</w:t>
                  </w:r>
                </w:p>
              </w:tc>
              <w:tc>
                <w:tcPr>
                  <w:tcW w:w="1517" w:type="pct"/>
                  <w:gridSpan w:val="3"/>
                  <w:tcBorders>
                    <w:right w:val="single" w:color="auto" w:sz="4" w:space="0"/>
                    <w:tl2br w:val="nil"/>
                    <w:tr2bl w:val="nil"/>
                  </w:tcBorders>
                  <w:noWrap w:val="0"/>
                  <w:vAlign w:val="center"/>
                </w:tcPr>
                <w:p w14:paraId="253A0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明火、高热</w:t>
                  </w:r>
                </w:p>
              </w:tc>
            </w:tr>
            <w:tr w14:paraId="69A612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1B623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禁配物：</w:t>
                  </w:r>
                </w:p>
              </w:tc>
              <w:tc>
                <w:tcPr>
                  <w:tcW w:w="1468" w:type="pct"/>
                  <w:tcBorders>
                    <w:tl2br w:val="nil"/>
                    <w:tr2bl w:val="nil"/>
                  </w:tcBorders>
                  <w:noWrap w:val="0"/>
                  <w:vAlign w:val="center"/>
                </w:tcPr>
                <w:p w14:paraId="58D5C7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氧化剂、卤素</w:t>
                  </w:r>
                </w:p>
              </w:tc>
              <w:tc>
                <w:tcPr>
                  <w:tcW w:w="1297" w:type="pct"/>
                  <w:gridSpan w:val="3"/>
                  <w:tcBorders>
                    <w:tl2br w:val="nil"/>
                    <w:tr2bl w:val="nil"/>
                  </w:tcBorders>
                  <w:noWrap w:val="0"/>
                  <w:vAlign w:val="center"/>
                </w:tcPr>
                <w:p w14:paraId="38E253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聚合危害：</w:t>
                  </w:r>
                </w:p>
              </w:tc>
              <w:tc>
                <w:tcPr>
                  <w:tcW w:w="1517" w:type="pct"/>
                  <w:gridSpan w:val="3"/>
                  <w:tcBorders>
                    <w:right w:val="single" w:color="auto" w:sz="4" w:space="0"/>
                    <w:tl2br w:val="nil"/>
                    <w:tr2bl w:val="nil"/>
                  </w:tcBorders>
                  <w:noWrap w:val="0"/>
                  <w:vAlign w:val="center"/>
                </w:tcPr>
                <w:p w14:paraId="627D64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不聚合</w:t>
                  </w:r>
                </w:p>
              </w:tc>
            </w:tr>
            <w:tr w14:paraId="02D7BC7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E3728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分解产物：</w:t>
                  </w:r>
                </w:p>
              </w:tc>
              <w:tc>
                <w:tcPr>
                  <w:tcW w:w="4284" w:type="pct"/>
                  <w:gridSpan w:val="7"/>
                  <w:tcBorders>
                    <w:right w:val="single" w:color="auto" w:sz="4" w:space="0"/>
                    <w:tl2br w:val="nil"/>
                    <w:tr2bl w:val="nil"/>
                  </w:tcBorders>
                  <w:noWrap w:val="0"/>
                  <w:vAlign w:val="center"/>
                </w:tcPr>
                <w:p w14:paraId="2A67C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011E8C2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1862D1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第四部分毒理学资料</w:t>
                  </w:r>
                </w:p>
              </w:tc>
            </w:tr>
            <w:tr w14:paraId="6168A82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33EB70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急性毒性：</w:t>
                  </w:r>
                </w:p>
              </w:tc>
              <w:tc>
                <w:tcPr>
                  <w:tcW w:w="4284" w:type="pct"/>
                  <w:gridSpan w:val="7"/>
                  <w:tcBorders>
                    <w:right w:val="single" w:color="auto" w:sz="4" w:space="0"/>
                    <w:tl2br w:val="nil"/>
                    <w:tr2bl w:val="nil"/>
                  </w:tcBorders>
                  <w:noWrap w:val="0"/>
                  <w:vAlign w:val="center"/>
                </w:tcPr>
                <w:p w14:paraId="04BB1B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LC50</w:t>
                  </w:r>
                </w:p>
              </w:tc>
            </w:tr>
            <w:tr w14:paraId="50B8CDF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3327CF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急性中毒：</w:t>
                  </w:r>
                </w:p>
              </w:tc>
              <w:tc>
                <w:tcPr>
                  <w:tcW w:w="4284" w:type="pct"/>
                  <w:gridSpan w:val="7"/>
                  <w:tcBorders>
                    <w:right w:val="single" w:color="auto" w:sz="4" w:space="0"/>
                    <w:tl2br w:val="nil"/>
                    <w:tr2bl w:val="nil"/>
                  </w:tcBorders>
                  <w:noWrap w:val="0"/>
                  <w:vAlign w:val="center"/>
                </w:tcPr>
                <w:p w14:paraId="6DA2C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07ECA6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6A8E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慢性中毒：</w:t>
                  </w:r>
                </w:p>
              </w:tc>
              <w:tc>
                <w:tcPr>
                  <w:tcW w:w="4284" w:type="pct"/>
                  <w:gridSpan w:val="7"/>
                  <w:tcBorders>
                    <w:right w:val="single" w:color="auto" w:sz="4" w:space="0"/>
                    <w:tl2br w:val="nil"/>
                    <w:tr2bl w:val="nil"/>
                  </w:tcBorders>
                  <w:noWrap w:val="0"/>
                  <w:vAlign w:val="center"/>
                </w:tcPr>
                <w:p w14:paraId="18DDF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788F517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995AA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刺激性：</w:t>
                  </w:r>
                </w:p>
              </w:tc>
              <w:tc>
                <w:tcPr>
                  <w:tcW w:w="4284" w:type="pct"/>
                  <w:gridSpan w:val="7"/>
                  <w:tcBorders>
                    <w:right w:val="single" w:color="auto" w:sz="4" w:space="0"/>
                    <w:tl2br w:val="nil"/>
                    <w:tr2bl w:val="nil"/>
                  </w:tcBorders>
                  <w:noWrap w:val="0"/>
                  <w:vAlign w:val="center"/>
                </w:tcPr>
                <w:p w14:paraId="5C2B13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r w14:paraId="31B89AB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bottom w:val="single" w:color="auto" w:sz="4" w:space="0"/>
                    <w:tl2br w:val="nil"/>
                    <w:tr2bl w:val="nil"/>
                  </w:tcBorders>
                  <w:noWrap w:val="0"/>
                  <w:vAlign w:val="center"/>
                </w:tcPr>
                <w:p w14:paraId="34265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最高容许浓度</w:t>
                  </w:r>
                </w:p>
              </w:tc>
              <w:tc>
                <w:tcPr>
                  <w:tcW w:w="4284" w:type="pct"/>
                  <w:gridSpan w:val="7"/>
                  <w:tcBorders>
                    <w:bottom w:val="single" w:color="auto" w:sz="4" w:space="0"/>
                    <w:right w:val="single" w:color="auto" w:sz="4" w:space="0"/>
                    <w:tl2br w:val="nil"/>
                    <w:tr2bl w:val="nil"/>
                  </w:tcBorders>
                  <w:noWrap w:val="0"/>
                  <w:vAlign w:val="center"/>
                </w:tcPr>
                <w:p w14:paraId="4BA34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bl>
          <w:p w14:paraId="6329C110">
            <w:pPr>
              <w:bidi w:val="0"/>
              <w:jc w:val="center"/>
              <w:rPr>
                <w:rFonts w:hint="default" w:ascii="Times New Roman" w:hAnsi="Times New Roman" w:eastAsia="宋体" w:cs="Times New Roman"/>
                <w:b/>
                <w:bCs/>
                <w:color w:val="auto"/>
                <w:sz w:val="24"/>
                <w:szCs w:val="32"/>
                <w:highlight w:val="none"/>
              </w:rPr>
            </w:pPr>
            <w:r>
              <w:rPr>
                <w:rFonts w:hint="default"/>
                <w:b/>
                <w:bCs/>
                <w:sz w:val="24"/>
                <w:szCs w:val="32"/>
                <w:highlight w:val="none"/>
              </w:rPr>
              <w:t>表</w:t>
            </w:r>
            <w:r>
              <w:rPr>
                <w:rFonts w:hint="eastAsia"/>
                <w:b/>
                <w:bCs/>
                <w:sz w:val="24"/>
                <w:szCs w:val="32"/>
                <w:highlight w:val="none"/>
                <w:lang w:val="en-US" w:eastAsia="zh-CN"/>
              </w:rPr>
              <w:t>4-18:丁烯</w:t>
            </w:r>
            <w:r>
              <w:rPr>
                <w:rFonts w:hint="default"/>
                <w:b/>
                <w:bCs/>
                <w:sz w:val="24"/>
                <w:szCs w:val="32"/>
                <w:highlight w:val="none"/>
              </w:rPr>
              <w:t>的理化性质和危险特性</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215"/>
              <w:gridCol w:w="2495"/>
              <w:gridCol w:w="393"/>
              <w:gridCol w:w="399"/>
              <w:gridCol w:w="1412"/>
              <w:gridCol w:w="139"/>
              <w:gridCol w:w="265"/>
              <w:gridCol w:w="2179"/>
            </w:tblGrid>
            <w:tr w14:paraId="43DEA8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top w:val="single" w:color="auto" w:sz="4" w:space="0"/>
                    <w:left w:val="single" w:color="auto" w:sz="0" w:space="0"/>
                    <w:right w:val="single" w:color="auto" w:sz="4" w:space="0"/>
                    <w:tl2br w:val="nil"/>
                    <w:tr2bl w:val="nil"/>
                  </w:tcBorders>
                  <w:noWrap w:val="0"/>
                  <w:vAlign w:val="center"/>
                </w:tcPr>
                <w:p w14:paraId="2C5AA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第一部分危险性概述</w:t>
                  </w:r>
                </w:p>
              </w:tc>
            </w:tr>
            <w:tr w14:paraId="241333B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0BC4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危险性类别：</w:t>
                  </w:r>
                </w:p>
              </w:tc>
              <w:tc>
                <w:tcPr>
                  <w:tcW w:w="1934" w:type="pct"/>
                  <w:gridSpan w:val="3"/>
                  <w:tcBorders>
                    <w:tl2br w:val="nil"/>
                    <w:tr2bl w:val="nil"/>
                  </w:tcBorders>
                  <w:noWrap w:val="0"/>
                  <w:vAlign w:val="center"/>
                </w:tcPr>
                <w:p w14:paraId="41746A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易燃气体、高压气体、压缩气体</w:t>
                  </w:r>
                </w:p>
              </w:tc>
              <w:tc>
                <w:tcPr>
                  <w:tcW w:w="1069" w:type="pct"/>
                  <w:gridSpan w:val="3"/>
                  <w:tcBorders>
                    <w:tl2br w:val="nil"/>
                    <w:tr2bl w:val="nil"/>
                  </w:tcBorders>
                  <w:noWrap w:val="0"/>
                  <w:vAlign w:val="center"/>
                </w:tcPr>
                <w:p w14:paraId="25F266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燃爆危险：</w:t>
                  </w:r>
                </w:p>
              </w:tc>
              <w:tc>
                <w:tcPr>
                  <w:tcW w:w="1280" w:type="pct"/>
                  <w:tcBorders>
                    <w:right w:val="single" w:color="auto" w:sz="4" w:space="0"/>
                    <w:tl2br w:val="nil"/>
                    <w:tr2bl w:val="nil"/>
                  </w:tcBorders>
                  <w:noWrap w:val="0"/>
                  <w:vAlign w:val="center"/>
                </w:tcPr>
                <w:p w14:paraId="7550B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极端易燃</w:t>
                  </w:r>
                </w:p>
              </w:tc>
            </w:tr>
            <w:tr w14:paraId="7656C09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6FD4C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侵入途径：</w:t>
                  </w:r>
                </w:p>
              </w:tc>
              <w:tc>
                <w:tcPr>
                  <w:tcW w:w="1934" w:type="pct"/>
                  <w:gridSpan w:val="3"/>
                  <w:tcBorders>
                    <w:tl2br w:val="nil"/>
                    <w:tr2bl w:val="nil"/>
                  </w:tcBorders>
                  <w:noWrap w:val="0"/>
                  <w:vAlign w:val="center"/>
                </w:tcPr>
                <w:p w14:paraId="00AF85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吸入、食入、经皮吸收</w:t>
                  </w:r>
                </w:p>
              </w:tc>
              <w:tc>
                <w:tcPr>
                  <w:tcW w:w="1069" w:type="pct"/>
                  <w:gridSpan w:val="3"/>
                  <w:tcBorders>
                    <w:tl2br w:val="nil"/>
                    <w:tr2bl w:val="nil"/>
                  </w:tcBorders>
                  <w:noWrap w:val="0"/>
                  <w:vAlign w:val="center"/>
                </w:tcPr>
                <w:p w14:paraId="17289D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有害燃烧产物：</w:t>
                  </w:r>
                </w:p>
              </w:tc>
              <w:tc>
                <w:tcPr>
                  <w:tcW w:w="1280" w:type="pct"/>
                  <w:tcBorders>
                    <w:right w:val="single" w:color="auto" w:sz="4" w:space="0"/>
                    <w:tl2br w:val="nil"/>
                    <w:tr2bl w:val="nil"/>
                  </w:tcBorders>
                  <w:noWrap w:val="0"/>
                  <w:vAlign w:val="center"/>
                </w:tcPr>
                <w:p w14:paraId="45A8D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16BBF49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24D69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环境危害：</w:t>
                  </w:r>
                </w:p>
              </w:tc>
              <w:tc>
                <w:tcPr>
                  <w:tcW w:w="4284" w:type="pct"/>
                  <w:gridSpan w:val="7"/>
                  <w:tcBorders>
                    <w:right w:val="single" w:color="auto" w:sz="4" w:space="0"/>
                    <w:tl2br w:val="nil"/>
                    <w:tr2bl w:val="nil"/>
                  </w:tcBorders>
                  <w:noWrap w:val="0"/>
                  <w:vAlign w:val="center"/>
                </w:tcPr>
                <w:p w14:paraId="52073B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该物质对环境有危害，应特别注意对地表水、土壤、大气和饮用水的污染。</w:t>
                  </w:r>
                </w:p>
              </w:tc>
            </w:tr>
            <w:tr w14:paraId="0DC5290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62ACFB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第二部分理化特性</w:t>
                  </w:r>
                </w:p>
              </w:tc>
            </w:tr>
            <w:tr w14:paraId="7BE8AB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7B170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外观及性状：</w:t>
                  </w:r>
                </w:p>
              </w:tc>
              <w:tc>
                <w:tcPr>
                  <w:tcW w:w="1699" w:type="pct"/>
                  <w:gridSpan w:val="2"/>
                  <w:tcBorders>
                    <w:tl2br w:val="nil"/>
                    <w:tr2bl w:val="nil"/>
                  </w:tcBorders>
                  <w:noWrap w:val="0"/>
                  <w:vAlign w:val="center"/>
                </w:tcPr>
                <w:p w14:paraId="1A3A81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无色气体</w:t>
                  </w:r>
                </w:p>
              </w:tc>
              <w:tc>
                <w:tcPr>
                  <w:tcW w:w="1148" w:type="pct"/>
                  <w:gridSpan w:val="3"/>
                  <w:tcBorders>
                    <w:tl2br w:val="nil"/>
                    <w:tr2bl w:val="nil"/>
                  </w:tcBorders>
                  <w:noWrap w:val="0"/>
                  <w:vAlign w:val="center"/>
                </w:tcPr>
                <w:p w14:paraId="4F84DD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主要用途：</w:t>
                  </w:r>
                </w:p>
              </w:tc>
              <w:tc>
                <w:tcPr>
                  <w:tcW w:w="1436" w:type="pct"/>
                  <w:gridSpan w:val="2"/>
                  <w:tcBorders>
                    <w:right w:val="single" w:color="auto" w:sz="4" w:space="0"/>
                    <w:tl2br w:val="nil"/>
                    <w:tr2bl w:val="nil"/>
                  </w:tcBorders>
                  <w:noWrap w:val="0"/>
                  <w:vAlign w:val="center"/>
                </w:tcPr>
                <w:p w14:paraId="471154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0DAA44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EEE9A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闪点（℃）：</w:t>
                  </w:r>
                </w:p>
              </w:tc>
              <w:tc>
                <w:tcPr>
                  <w:tcW w:w="1699" w:type="pct"/>
                  <w:gridSpan w:val="2"/>
                  <w:tcBorders>
                    <w:tl2br w:val="nil"/>
                    <w:tr2bl w:val="nil"/>
                  </w:tcBorders>
                  <w:noWrap w:val="0"/>
                  <w:vAlign w:val="center"/>
                </w:tcPr>
                <w:p w14:paraId="76B361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-60</w:t>
                  </w:r>
                </w:p>
              </w:tc>
              <w:tc>
                <w:tcPr>
                  <w:tcW w:w="1148" w:type="pct"/>
                  <w:gridSpan w:val="3"/>
                  <w:tcBorders>
                    <w:tl2br w:val="nil"/>
                    <w:tr2bl w:val="nil"/>
                  </w:tcBorders>
                  <w:noWrap w:val="0"/>
                  <w:vAlign w:val="center"/>
                </w:tcPr>
                <w:p w14:paraId="7AC5C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相对密度（水＝1）：</w:t>
                  </w:r>
                </w:p>
              </w:tc>
              <w:tc>
                <w:tcPr>
                  <w:tcW w:w="1436" w:type="pct"/>
                  <w:gridSpan w:val="2"/>
                  <w:tcBorders>
                    <w:right w:val="single" w:color="auto" w:sz="4" w:space="0"/>
                    <w:tl2br w:val="nil"/>
                    <w:tr2bl w:val="nil"/>
                  </w:tcBorders>
                  <w:noWrap w:val="0"/>
                  <w:vAlign w:val="center"/>
                </w:tcPr>
                <w:p w14:paraId="31A00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0.6</w:t>
                  </w:r>
                </w:p>
              </w:tc>
            </w:tr>
            <w:tr w14:paraId="6B615C7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31B06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沸点（℃）：</w:t>
                  </w:r>
                </w:p>
              </w:tc>
              <w:tc>
                <w:tcPr>
                  <w:tcW w:w="1699" w:type="pct"/>
                  <w:gridSpan w:val="2"/>
                  <w:tcBorders>
                    <w:tl2br w:val="nil"/>
                    <w:tr2bl w:val="nil"/>
                  </w:tcBorders>
                  <w:noWrap w:val="0"/>
                  <w:vAlign w:val="center"/>
                </w:tcPr>
                <w:p w14:paraId="5F98DB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-0.5</w:t>
                  </w:r>
                </w:p>
              </w:tc>
              <w:tc>
                <w:tcPr>
                  <w:tcW w:w="1148" w:type="pct"/>
                  <w:gridSpan w:val="3"/>
                  <w:tcBorders>
                    <w:tl2br w:val="nil"/>
                    <w:tr2bl w:val="nil"/>
                  </w:tcBorders>
                  <w:noWrap w:val="0"/>
                  <w:vAlign w:val="center"/>
                </w:tcPr>
                <w:p w14:paraId="6FD043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爆炸上限％（V/V）：</w:t>
                  </w:r>
                </w:p>
              </w:tc>
              <w:tc>
                <w:tcPr>
                  <w:tcW w:w="1436" w:type="pct"/>
                  <w:gridSpan w:val="2"/>
                  <w:tcBorders>
                    <w:right w:val="single" w:color="auto" w:sz="4" w:space="0"/>
                    <w:tl2br w:val="nil"/>
                    <w:tr2bl w:val="nil"/>
                  </w:tcBorders>
                  <w:noWrap w:val="0"/>
                  <w:vAlign w:val="center"/>
                </w:tcPr>
                <w:p w14:paraId="196684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8.4</w:t>
                  </w:r>
                </w:p>
              </w:tc>
            </w:tr>
            <w:tr w14:paraId="20DC554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0597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自然点（℃）：</w:t>
                  </w:r>
                </w:p>
              </w:tc>
              <w:tc>
                <w:tcPr>
                  <w:tcW w:w="1699" w:type="pct"/>
                  <w:gridSpan w:val="2"/>
                  <w:tcBorders>
                    <w:tl2br w:val="nil"/>
                    <w:tr2bl w:val="nil"/>
                  </w:tcBorders>
                  <w:noWrap w:val="0"/>
                  <w:vAlign w:val="center"/>
                </w:tcPr>
                <w:p w14:paraId="5E86F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365</w:t>
                  </w:r>
                </w:p>
              </w:tc>
              <w:tc>
                <w:tcPr>
                  <w:tcW w:w="1148" w:type="pct"/>
                  <w:gridSpan w:val="3"/>
                  <w:tcBorders>
                    <w:tl2br w:val="nil"/>
                    <w:tr2bl w:val="nil"/>
                  </w:tcBorders>
                  <w:noWrap w:val="0"/>
                  <w:vAlign w:val="center"/>
                </w:tcPr>
                <w:p w14:paraId="22569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爆炸下限％（V/V）：</w:t>
                  </w:r>
                </w:p>
              </w:tc>
              <w:tc>
                <w:tcPr>
                  <w:tcW w:w="1436" w:type="pct"/>
                  <w:gridSpan w:val="2"/>
                  <w:tcBorders>
                    <w:right w:val="single" w:color="auto" w:sz="4" w:space="0"/>
                    <w:tl2br w:val="nil"/>
                    <w:tr2bl w:val="nil"/>
                  </w:tcBorders>
                  <w:noWrap w:val="0"/>
                  <w:vAlign w:val="center"/>
                </w:tcPr>
                <w:p w14:paraId="7D867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1.8</w:t>
                  </w:r>
                </w:p>
              </w:tc>
            </w:tr>
            <w:tr w14:paraId="69DDB0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76697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溶解性：</w:t>
                  </w:r>
                </w:p>
              </w:tc>
              <w:tc>
                <w:tcPr>
                  <w:tcW w:w="4284" w:type="pct"/>
                  <w:gridSpan w:val="7"/>
                  <w:tcBorders>
                    <w:right w:val="single" w:color="auto" w:sz="4" w:space="0"/>
                    <w:tl2br w:val="nil"/>
                    <w:tr2bl w:val="nil"/>
                  </w:tcBorders>
                  <w:noWrap w:val="0"/>
                  <w:vAlign w:val="center"/>
                </w:tcPr>
                <w:p w14:paraId="796792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不溶于水</w:t>
                  </w:r>
                </w:p>
              </w:tc>
            </w:tr>
            <w:tr w14:paraId="76687F3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04155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第三部分稳定性及化学活性</w:t>
                  </w:r>
                </w:p>
              </w:tc>
            </w:tr>
            <w:tr w14:paraId="6D3200D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D0A47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稳定性：</w:t>
                  </w:r>
                </w:p>
              </w:tc>
              <w:tc>
                <w:tcPr>
                  <w:tcW w:w="1468" w:type="pct"/>
                  <w:tcBorders>
                    <w:tl2br w:val="nil"/>
                    <w:tr2bl w:val="nil"/>
                  </w:tcBorders>
                  <w:noWrap w:val="0"/>
                  <w:vAlign w:val="center"/>
                </w:tcPr>
                <w:p w14:paraId="60C72B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w:t>
                  </w:r>
                </w:p>
              </w:tc>
              <w:tc>
                <w:tcPr>
                  <w:tcW w:w="1297" w:type="pct"/>
                  <w:gridSpan w:val="3"/>
                  <w:tcBorders>
                    <w:tl2br w:val="nil"/>
                    <w:tr2bl w:val="nil"/>
                  </w:tcBorders>
                  <w:noWrap w:val="0"/>
                  <w:vAlign w:val="center"/>
                </w:tcPr>
                <w:p w14:paraId="247953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避免接触的条件：</w:t>
                  </w:r>
                </w:p>
              </w:tc>
              <w:tc>
                <w:tcPr>
                  <w:tcW w:w="1517" w:type="pct"/>
                  <w:gridSpan w:val="3"/>
                  <w:tcBorders>
                    <w:right w:val="single" w:color="auto" w:sz="4" w:space="0"/>
                    <w:tl2br w:val="nil"/>
                    <w:tr2bl w:val="nil"/>
                  </w:tcBorders>
                  <w:noWrap w:val="0"/>
                  <w:vAlign w:val="center"/>
                </w:tcPr>
                <w:p w14:paraId="762727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明火、高热</w:t>
                  </w:r>
                </w:p>
              </w:tc>
            </w:tr>
            <w:tr w14:paraId="1491AFC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C0C00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禁配物：</w:t>
                  </w:r>
                </w:p>
              </w:tc>
              <w:tc>
                <w:tcPr>
                  <w:tcW w:w="1468" w:type="pct"/>
                  <w:tcBorders>
                    <w:tl2br w:val="nil"/>
                    <w:tr2bl w:val="nil"/>
                  </w:tcBorders>
                  <w:noWrap w:val="0"/>
                  <w:vAlign w:val="center"/>
                </w:tcPr>
                <w:p w14:paraId="4C6B1B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氧化剂、卤素</w:t>
                  </w:r>
                </w:p>
              </w:tc>
              <w:tc>
                <w:tcPr>
                  <w:tcW w:w="1297" w:type="pct"/>
                  <w:gridSpan w:val="3"/>
                  <w:tcBorders>
                    <w:tl2br w:val="nil"/>
                    <w:tr2bl w:val="nil"/>
                  </w:tcBorders>
                  <w:noWrap w:val="0"/>
                  <w:vAlign w:val="center"/>
                </w:tcPr>
                <w:p w14:paraId="45E04F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聚合危害：</w:t>
                  </w:r>
                </w:p>
              </w:tc>
              <w:tc>
                <w:tcPr>
                  <w:tcW w:w="1517" w:type="pct"/>
                  <w:gridSpan w:val="3"/>
                  <w:tcBorders>
                    <w:right w:val="single" w:color="auto" w:sz="4" w:space="0"/>
                    <w:tl2br w:val="nil"/>
                    <w:tr2bl w:val="nil"/>
                  </w:tcBorders>
                  <w:noWrap w:val="0"/>
                  <w:vAlign w:val="center"/>
                </w:tcPr>
                <w:p w14:paraId="4AAFC4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不聚合</w:t>
                  </w:r>
                </w:p>
              </w:tc>
            </w:tr>
            <w:tr w14:paraId="362F318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467F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分解产物：</w:t>
                  </w:r>
                </w:p>
              </w:tc>
              <w:tc>
                <w:tcPr>
                  <w:tcW w:w="4284" w:type="pct"/>
                  <w:gridSpan w:val="7"/>
                  <w:tcBorders>
                    <w:right w:val="single" w:color="auto" w:sz="4" w:space="0"/>
                    <w:tl2br w:val="nil"/>
                    <w:tr2bl w:val="nil"/>
                  </w:tcBorders>
                  <w:noWrap w:val="0"/>
                  <w:vAlign w:val="center"/>
                </w:tcPr>
                <w:p w14:paraId="380A4F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2F2716D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31110B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第四部分毒理学资料</w:t>
                  </w:r>
                </w:p>
              </w:tc>
            </w:tr>
            <w:tr w14:paraId="17B9F06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E95FA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急性毒性：</w:t>
                  </w:r>
                </w:p>
              </w:tc>
              <w:tc>
                <w:tcPr>
                  <w:tcW w:w="4284" w:type="pct"/>
                  <w:gridSpan w:val="7"/>
                  <w:tcBorders>
                    <w:right w:val="single" w:color="auto" w:sz="4" w:space="0"/>
                    <w:tl2br w:val="nil"/>
                    <w:tr2bl w:val="nil"/>
                  </w:tcBorders>
                  <w:noWrap w:val="0"/>
                  <w:vAlign w:val="center"/>
                </w:tcPr>
                <w:p w14:paraId="5EECA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6FF0AD3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FA591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急性中毒：</w:t>
                  </w:r>
                </w:p>
              </w:tc>
              <w:tc>
                <w:tcPr>
                  <w:tcW w:w="4284" w:type="pct"/>
                  <w:gridSpan w:val="7"/>
                  <w:tcBorders>
                    <w:right w:val="single" w:color="auto" w:sz="4" w:space="0"/>
                    <w:tl2br w:val="nil"/>
                    <w:tr2bl w:val="nil"/>
                  </w:tcBorders>
                  <w:noWrap w:val="0"/>
                  <w:vAlign w:val="center"/>
                </w:tcPr>
                <w:p w14:paraId="258EF2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70F1509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BD725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慢性中毒：</w:t>
                  </w:r>
                </w:p>
              </w:tc>
              <w:tc>
                <w:tcPr>
                  <w:tcW w:w="4284" w:type="pct"/>
                  <w:gridSpan w:val="7"/>
                  <w:tcBorders>
                    <w:right w:val="single" w:color="auto" w:sz="4" w:space="0"/>
                    <w:tl2br w:val="nil"/>
                    <w:tr2bl w:val="nil"/>
                  </w:tcBorders>
                  <w:noWrap w:val="0"/>
                  <w:vAlign w:val="center"/>
                </w:tcPr>
                <w:p w14:paraId="2AA63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1266E36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CFB4C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刺激性：</w:t>
                  </w:r>
                </w:p>
              </w:tc>
              <w:tc>
                <w:tcPr>
                  <w:tcW w:w="4284" w:type="pct"/>
                  <w:gridSpan w:val="7"/>
                  <w:tcBorders>
                    <w:right w:val="single" w:color="auto" w:sz="4" w:space="0"/>
                    <w:tl2br w:val="nil"/>
                    <w:tr2bl w:val="nil"/>
                  </w:tcBorders>
                  <w:noWrap w:val="0"/>
                  <w:vAlign w:val="center"/>
                </w:tcPr>
                <w:p w14:paraId="2F734E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r w14:paraId="5FFFB62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bottom w:val="single" w:color="auto" w:sz="4" w:space="0"/>
                    <w:tl2br w:val="nil"/>
                    <w:tr2bl w:val="nil"/>
                  </w:tcBorders>
                  <w:noWrap w:val="0"/>
                  <w:vAlign w:val="center"/>
                </w:tcPr>
                <w:p w14:paraId="2D4F20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最高容许浓度</w:t>
                  </w:r>
                </w:p>
              </w:tc>
              <w:tc>
                <w:tcPr>
                  <w:tcW w:w="4284" w:type="pct"/>
                  <w:gridSpan w:val="7"/>
                  <w:tcBorders>
                    <w:bottom w:val="single" w:color="auto" w:sz="4" w:space="0"/>
                    <w:right w:val="single" w:color="auto" w:sz="4" w:space="0"/>
                    <w:tl2br w:val="nil"/>
                    <w:tr2bl w:val="nil"/>
                  </w:tcBorders>
                  <w:noWrap w:val="0"/>
                  <w:vAlign w:val="center"/>
                </w:tcPr>
                <w:p w14:paraId="0908F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bl>
          <w:p w14:paraId="3D0C77A5">
            <w:pPr>
              <w:bidi w:val="0"/>
              <w:jc w:val="center"/>
              <w:rPr>
                <w:rFonts w:hint="default" w:ascii="Times New Roman" w:hAnsi="Times New Roman" w:eastAsia="宋体" w:cs="Times New Roman"/>
                <w:b/>
                <w:bCs/>
                <w:color w:val="auto"/>
                <w:sz w:val="24"/>
                <w:szCs w:val="32"/>
                <w:highlight w:val="none"/>
              </w:rPr>
            </w:pPr>
            <w:r>
              <w:rPr>
                <w:rFonts w:hint="default"/>
                <w:b/>
                <w:bCs/>
                <w:sz w:val="24"/>
                <w:szCs w:val="32"/>
                <w:highlight w:val="none"/>
              </w:rPr>
              <w:t>表</w:t>
            </w:r>
            <w:r>
              <w:rPr>
                <w:rFonts w:hint="eastAsia"/>
                <w:b/>
                <w:bCs/>
                <w:sz w:val="24"/>
                <w:szCs w:val="32"/>
                <w:highlight w:val="none"/>
                <w:lang w:val="en-US" w:eastAsia="zh-CN"/>
              </w:rPr>
              <w:t>4-19:戊烯</w:t>
            </w:r>
            <w:r>
              <w:rPr>
                <w:rFonts w:hint="default"/>
                <w:b/>
                <w:bCs/>
                <w:sz w:val="24"/>
                <w:szCs w:val="32"/>
                <w:highlight w:val="none"/>
              </w:rPr>
              <w:t>的理化性质和危险特性</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215"/>
              <w:gridCol w:w="2495"/>
              <w:gridCol w:w="393"/>
              <w:gridCol w:w="399"/>
              <w:gridCol w:w="1412"/>
              <w:gridCol w:w="139"/>
              <w:gridCol w:w="265"/>
              <w:gridCol w:w="2179"/>
            </w:tblGrid>
            <w:tr w14:paraId="79F6030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trPr>
              <w:tc>
                <w:tcPr>
                  <w:tcW w:w="5000" w:type="pct"/>
                  <w:gridSpan w:val="8"/>
                  <w:tcBorders>
                    <w:top w:val="single" w:color="auto" w:sz="4" w:space="0"/>
                    <w:left w:val="single" w:color="auto" w:sz="0" w:space="0"/>
                    <w:right w:val="single" w:color="auto" w:sz="4" w:space="0"/>
                    <w:tl2br w:val="nil"/>
                    <w:tr2bl w:val="nil"/>
                  </w:tcBorders>
                  <w:noWrap w:val="0"/>
                  <w:vAlign w:val="center"/>
                </w:tcPr>
                <w:p w14:paraId="155093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第一部分危险性概述</w:t>
                  </w:r>
                </w:p>
              </w:tc>
            </w:tr>
            <w:tr w14:paraId="0F96280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94C92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危险性类别：</w:t>
                  </w:r>
                </w:p>
              </w:tc>
              <w:tc>
                <w:tcPr>
                  <w:tcW w:w="1934" w:type="pct"/>
                  <w:gridSpan w:val="3"/>
                  <w:tcBorders>
                    <w:tl2br w:val="nil"/>
                    <w:tr2bl w:val="nil"/>
                  </w:tcBorders>
                  <w:noWrap w:val="0"/>
                  <w:vAlign w:val="center"/>
                </w:tcPr>
                <w:p w14:paraId="183F10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易燃液体</w:t>
                  </w:r>
                </w:p>
              </w:tc>
              <w:tc>
                <w:tcPr>
                  <w:tcW w:w="1069" w:type="pct"/>
                  <w:gridSpan w:val="3"/>
                  <w:tcBorders>
                    <w:tl2br w:val="nil"/>
                    <w:tr2bl w:val="nil"/>
                  </w:tcBorders>
                  <w:noWrap w:val="0"/>
                  <w:vAlign w:val="center"/>
                </w:tcPr>
                <w:p w14:paraId="0378C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燃爆危险：</w:t>
                  </w:r>
                </w:p>
              </w:tc>
              <w:tc>
                <w:tcPr>
                  <w:tcW w:w="1280" w:type="pct"/>
                  <w:tcBorders>
                    <w:right w:val="single" w:color="auto" w:sz="4" w:space="0"/>
                    <w:tl2br w:val="nil"/>
                    <w:tr2bl w:val="nil"/>
                  </w:tcBorders>
                  <w:noWrap w:val="0"/>
                  <w:vAlign w:val="center"/>
                </w:tcPr>
                <w:p w14:paraId="5849EE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极端易燃</w:t>
                  </w:r>
                </w:p>
              </w:tc>
            </w:tr>
            <w:tr w14:paraId="0928EDE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093A7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侵入途径：</w:t>
                  </w:r>
                </w:p>
              </w:tc>
              <w:tc>
                <w:tcPr>
                  <w:tcW w:w="1934" w:type="pct"/>
                  <w:gridSpan w:val="3"/>
                  <w:tcBorders>
                    <w:tl2br w:val="nil"/>
                    <w:tr2bl w:val="nil"/>
                  </w:tcBorders>
                  <w:noWrap w:val="0"/>
                  <w:vAlign w:val="center"/>
                </w:tcPr>
                <w:p w14:paraId="4DA239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吸入、食入</w:t>
                  </w:r>
                </w:p>
              </w:tc>
              <w:tc>
                <w:tcPr>
                  <w:tcW w:w="1069" w:type="pct"/>
                  <w:gridSpan w:val="3"/>
                  <w:tcBorders>
                    <w:tl2br w:val="nil"/>
                    <w:tr2bl w:val="nil"/>
                  </w:tcBorders>
                  <w:noWrap w:val="0"/>
                  <w:vAlign w:val="center"/>
                </w:tcPr>
                <w:p w14:paraId="6F70CD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有害燃烧产物：</w:t>
                  </w:r>
                </w:p>
              </w:tc>
              <w:tc>
                <w:tcPr>
                  <w:tcW w:w="1280" w:type="pct"/>
                  <w:tcBorders>
                    <w:right w:val="single" w:color="auto" w:sz="4" w:space="0"/>
                    <w:tl2br w:val="nil"/>
                    <w:tr2bl w:val="nil"/>
                  </w:tcBorders>
                  <w:noWrap w:val="0"/>
                  <w:vAlign w:val="center"/>
                </w:tcPr>
                <w:p w14:paraId="113841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7B14402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5958E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环境危害：</w:t>
                  </w:r>
                </w:p>
              </w:tc>
              <w:tc>
                <w:tcPr>
                  <w:tcW w:w="4284" w:type="pct"/>
                  <w:gridSpan w:val="7"/>
                  <w:tcBorders>
                    <w:right w:val="single" w:color="auto" w:sz="4" w:space="0"/>
                    <w:tl2br w:val="nil"/>
                    <w:tr2bl w:val="nil"/>
                  </w:tcBorders>
                  <w:noWrap w:val="0"/>
                  <w:vAlign w:val="center"/>
                </w:tcPr>
                <w:p w14:paraId="37CAAD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该物质对环境有危害，应特别注意对地表水、土壤、大气和饮用水的污染。</w:t>
                  </w:r>
                </w:p>
              </w:tc>
            </w:tr>
            <w:tr w14:paraId="5E0615F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18C22B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第二部分理化特性</w:t>
                  </w:r>
                </w:p>
              </w:tc>
            </w:tr>
            <w:tr w14:paraId="775D00B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D86E3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外观及性状：</w:t>
                  </w:r>
                </w:p>
              </w:tc>
              <w:tc>
                <w:tcPr>
                  <w:tcW w:w="1699" w:type="pct"/>
                  <w:gridSpan w:val="2"/>
                  <w:tcBorders>
                    <w:tl2br w:val="nil"/>
                    <w:tr2bl w:val="nil"/>
                  </w:tcBorders>
                  <w:noWrap w:val="0"/>
                  <w:vAlign w:val="center"/>
                </w:tcPr>
                <w:p w14:paraId="17FA2A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无色</w:t>
                  </w:r>
                  <w:r>
                    <w:rPr>
                      <w:rFonts w:hint="default" w:ascii="Times New Roman" w:hAnsi="Times New Roman" w:eastAsia="宋体" w:cs="Times New Roman"/>
                      <w:color w:val="auto"/>
                      <w:sz w:val="21"/>
                      <w:szCs w:val="21"/>
                      <w:highlight w:val="none"/>
                    </w:rPr>
                    <w:t>液体</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有恶臭</w:t>
                  </w:r>
                </w:p>
              </w:tc>
              <w:tc>
                <w:tcPr>
                  <w:tcW w:w="1148" w:type="pct"/>
                  <w:gridSpan w:val="3"/>
                  <w:tcBorders>
                    <w:tl2br w:val="nil"/>
                    <w:tr2bl w:val="nil"/>
                  </w:tcBorders>
                  <w:noWrap w:val="0"/>
                  <w:vAlign w:val="center"/>
                </w:tcPr>
                <w:p w14:paraId="71EB54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主要用途：</w:t>
                  </w:r>
                </w:p>
              </w:tc>
              <w:tc>
                <w:tcPr>
                  <w:tcW w:w="1436" w:type="pct"/>
                  <w:gridSpan w:val="2"/>
                  <w:tcBorders>
                    <w:right w:val="single" w:color="auto" w:sz="4" w:space="0"/>
                    <w:tl2br w:val="nil"/>
                    <w:tr2bl w:val="nil"/>
                  </w:tcBorders>
                  <w:noWrap w:val="0"/>
                  <w:vAlign w:val="center"/>
                </w:tcPr>
                <w:p w14:paraId="4E39F5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用于有机合成和制取异戊二烯，也用作高辛烷值汽油的添加剂</w:t>
                  </w:r>
                </w:p>
              </w:tc>
            </w:tr>
            <w:tr w14:paraId="2C28C6D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F1E2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闪点（℃）：</w:t>
                  </w:r>
                </w:p>
              </w:tc>
              <w:tc>
                <w:tcPr>
                  <w:tcW w:w="1699" w:type="pct"/>
                  <w:gridSpan w:val="2"/>
                  <w:tcBorders>
                    <w:tl2br w:val="nil"/>
                    <w:tr2bl w:val="nil"/>
                  </w:tcBorders>
                  <w:noWrap w:val="0"/>
                  <w:vAlign w:val="center"/>
                </w:tcPr>
                <w:p w14:paraId="6259E7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-28</w:t>
                  </w:r>
                </w:p>
              </w:tc>
              <w:tc>
                <w:tcPr>
                  <w:tcW w:w="1148" w:type="pct"/>
                  <w:gridSpan w:val="3"/>
                  <w:tcBorders>
                    <w:tl2br w:val="nil"/>
                    <w:tr2bl w:val="nil"/>
                  </w:tcBorders>
                  <w:noWrap w:val="0"/>
                  <w:vAlign w:val="center"/>
                </w:tcPr>
                <w:p w14:paraId="37352D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相对密度（水＝1）：</w:t>
                  </w:r>
                </w:p>
              </w:tc>
              <w:tc>
                <w:tcPr>
                  <w:tcW w:w="1436" w:type="pct"/>
                  <w:gridSpan w:val="2"/>
                  <w:tcBorders>
                    <w:right w:val="single" w:color="auto" w:sz="4" w:space="0"/>
                    <w:tl2br w:val="nil"/>
                    <w:tr2bl w:val="nil"/>
                  </w:tcBorders>
                  <w:noWrap w:val="0"/>
                  <w:vAlign w:val="center"/>
                </w:tcPr>
                <w:p w14:paraId="5D18C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0.64</w:t>
                  </w:r>
                </w:p>
              </w:tc>
            </w:tr>
            <w:tr w14:paraId="3C83444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5CB2F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沸点（℃）：</w:t>
                  </w:r>
                </w:p>
              </w:tc>
              <w:tc>
                <w:tcPr>
                  <w:tcW w:w="1699" w:type="pct"/>
                  <w:gridSpan w:val="2"/>
                  <w:tcBorders>
                    <w:tl2br w:val="nil"/>
                    <w:tr2bl w:val="nil"/>
                  </w:tcBorders>
                  <w:noWrap w:val="0"/>
                  <w:vAlign w:val="center"/>
                </w:tcPr>
                <w:p w14:paraId="56C121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29.9~30.1</w:t>
                  </w:r>
                </w:p>
              </w:tc>
              <w:tc>
                <w:tcPr>
                  <w:tcW w:w="1148" w:type="pct"/>
                  <w:gridSpan w:val="3"/>
                  <w:tcBorders>
                    <w:tl2br w:val="nil"/>
                    <w:tr2bl w:val="nil"/>
                  </w:tcBorders>
                  <w:noWrap w:val="0"/>
                  <w:vAlign w:val="center"/>
                </w:tcPr>
                <w:p w14:paraId="516571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爆炸上限％（V/V）：</w:t>
                  </w:r>
                </w:p>
              </w:tc>
              <w:tc>
                <w:tcPr>
                  <w:tcW w:w="1436" w:type="pct"/>
                  <w:gridSpan w:val="2"/>
                  <w:tcBorders>
                    <w:right w:val="single" w:color="auto" w:sz="4" w:space="0"/>
                    <w:tl2br w:val="nil"/>
                    <w:tr2bl w:val="nil"/>
                  </w:tcBorders>
                  <w:noWrap w:val="0"/>
                  <w:vAlign w:val="center"/>
                </w:tcPr>
                <w:p w14:paraId="45D3BE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8.7</w:t>
                  </w:r>
                </w:p>
              </w:tc>
            </w:tr>
            <w:tr w14:paraId="6FB67AD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CCDEA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自然点（℃）：</w:t>
                  </w:r>
                </w:p>
              </w:tc>
              <w:tc>
                <w:tcPr>
                  <w:tcW w:w="1699" w:type="pct"/>
                  <w:gridSpan w:val="2"/>
                  <w:tcBorders>
                    <w:tl2br w:val="nil"/>
                    <w:tr2bl w:val="nil"/>
                  </w:tcBorders>
                  <w:noWrap w:val="0"/>
                  <w:vAlign w:val="center"/>
                </w:tcPr>
                <w:p w14:paraId="634D1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275</w:t>
                  </w:r>
                </w:p>
              </w:tc>
              <w:tc>
                <w:tcPr>
                  <w:tcW w:w="1148" w:type="pct"/>
                  <w:gridSpan w:val="3"/>
                  <w:tcBorders>
                    <w:tl2br w:val="nil"/>
                    <w:tr2bl w:val="nil"/>
                  </w:tcBorders>
                  <w:noWrap w:val="0"/>
                  <w:vAlign w:val="center"/>
                </w:tcPr>
                <w:p w14:paraId="55A5B0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爆炸下限％（V/V）：</w:t>
                  </w:r>
                </w:p>
              </w:tc>
              <w:tc>
                <w:tcPr>
                  <w:tcW w:w="1436" w:type="pct"/>
                  <w:gridSpan w:val="2"/>
                  <w:tcBorders>
                    <w:right w:val="single" w:color="auto" w:sz="4" w:space="0"/>
                    <w:tl2br w:val="nil"/>
                    <w:tr2bl w:val="nil"/>
                  </w:tcBorders>
                  <w:noWrap w:val="0"/>
                  <w:vAlign w:val="center"/>
                </w:tcPr>
                <w:p w14:paraId="770F7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1.4</w:t>
                  </w:r>
                </w:p>
              </w:tc>
            </w:tr>
            <w:tr w14:paraId="22EEAAE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7042A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溶解性：</w:t>
                  </w:r>
                </w:p>
              </w:tc>
              <w:tc>
                <w:tcPr>
                  <w:tcW w:w="4284" w:type="pct"/>
                  <w:gridSpan w:val="7"/>
                  <w:tcBorders>
                    <w:right w:val="single" w:color="auto" w:sz="4" w:space="0"/>
                    <w:tl2br w:val="nil"/>
                    <w:tr2bl w:val="nil"/>
                  </w:tcBorders>
                  <w:noWrap w:val="0"/>
                  <w:vAlign w:val="center"/>
                </w:tcPr>
                <w:p w14:paraId="5F41B2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不溶于水</w:t>
                  </w:r>
                </w:p>
              </w:tc>
            </w:tr>
            <w:tr w14:paraId="75BE286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4C1FB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第三部分稳定性及化学活性</w:t>
                  </w:r>
                </w:p>
              </w:tc>
            </w:tr>
            <w:tr w14:paraId="466C767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09E2F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稳定性：</w:t>
                  </w:r>
                </w:p>
              </w:tc>
              <w:tc>
                <w:tcPr>
                  <w:tcW w:w="1468" w:type="pct"/>
                  <w:tcBorders>
                    <w:tl2br w:val="nil"/>
                    <w:tr2bl w:val="nil"/>
                  </w:tcBorders>
                  <w:noWrap w:val="0"/>
                  <w:vAlign w:val="center"/>
                </w:tcPr>
                <w:p w14:paraId="65D963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w:t>
                  </w:r>
                </w:p>
              </w:tc>
              <w:tc>
                <w:tcPr>
                  <w:tcW w:w="1297" w:type="pct"/>
                  <w:gridSpan w:val="3"/>
                  <w:tcBorders>
                    <w:tl2br w:val="nil"/>
                    <w:tr2bl w:val="nil"/>
                  </w:tcBorders>
                  <w:noWrap w:val="0"/>
                  <w:vAlign w:val="center"/>
                </w:tcPr>
                <w:p w14:paraId="537E15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避免接触的条件：</w:t>
                  </w:r>
                </w:p>
              </w:tc>
              <w:tc>
                <w:tcPr>
                  <w:tcW w:w="1517" w:type="pct"/>
                  <w:gridSpan w:val="3"/>
                  <w:tcBorders>
                    <w:right w:val="single" w:color="auto" w:sz="4" w:space="0"/>
                    <w:tl2br w:val="nil"/>
                    <w:tr2bl w:val="nil"/>
                  </w:tcBorders>
                  <w:noWrap w:val="0"/>
                  <w:vAlign w:val="center"/>
                </w:tcPr>
                <w:p w14:paraId="0C545C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受热</w:t>
                  </w:r>
                </w:p>
              </w:tc>
            </w:tr>
            <w:tr w14:paraId="5857FA0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BCB23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禁配物：</w:t>
                  </w:r>
                </w:p>
              </w:tc>
              <w:tc>
                <w:tcPr>
                  <w:tcW w:w="1468" w:type="pct"/>
                  <w:tcBorders>
                    <w:tl2br w:val="nil"/>
                    <w:tr2bl w:val="nil"/>
                  </w:tcBorders>
                  <w:noWrap w:val="0"/>
                  <w:vAlign w:val="center"/>
                </w:tcPr>
                <w:p w14:paraId="25C714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强氧化剂、酸类、卤代烃、卤素等</w:t>
                  </w:r>
                </w:p>
              </w:tc>
              <w:tc>
                <w:tcPr>
                  <w:tcW w:w="1297" w:type="pct"/>
                  <w:gridSpan w:val="3"/>
                  <w:tcBorders>
                    <w:tl2br w:val="nil"/>
                    <w:tr2bl w:val="nil"/>
                  </w:tcBorders>
                  <w:noWrap w:val="0"/>
                  <w:vAlign w:val="center"/>
                </w:tcPr>
                <w:p w14:paraId="4D816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聚合危害：</w:t>
                  </w:r>
                </w:p>
              </w:tc>
              <w:tc>
                <w:tcPr>
                  <w:tcW w:w="1517" w:type="pct"/>
                  <w:gridSpan w:val="3"/>
                  <w:tcBorders>
                    <w:right w:val="single" w:color="auto" w:sz="4" w:space="0"/>
                    <w:tl2br w:val="nil"/>
                    <w:tr2bl w:val="nil"/>
                  </w:tcBorders>
                  <w:noWrap w:val="0"/>
                  <w:vAlign w:val="center"/>
                </w:tcPr>
                <w:p w14:paraId="2D77E9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聚合</w:t>
                  </w:r>
                </w:p>
              </w:tc>
            </w:tr>
            <w:tr w14:paraId="3AB2E24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E90F2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分解产物：</w:t>
                  </w:r>
                </w:p>
              </w:tc>
              <w:tc>
                <w:tcPr>
                  <w:tcW w:w="4284" w:type="pct"/>
                  <w:gridSpan w:val="7"/>
                  <w:tcBorders>
                    <w:right w:val="single" w:color="auto" w:sz="4" w:space="0"/>
                    <w:tl2br w:val="nil"/>
                    <w:tr2bl w:val="nil"/>
                  </w:tcBorders>
                  <w:noWrap w:val="0"/>
                  <w:vAlign w:val="center"/>
                </w:tcPr>
                <w:p w14:paraId="1DCAA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25280CF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014C35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第四部分毒理学资料</w:t>
                  </w:r>
                </w:p>
              </w:tc>
            </w:tr>
            <w:tr w14:paraId="6849B59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E55DC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急性毒性：</w:t>
                  </w:r>
                </w:p>
              </w:tc>
              <w:tc>
                <w:tcPr>
                  <w:tcW w:w="4284" w:type="pct"/>
                  <w:gridSpan w:val="7"/>
                  <w:tcBorders>
                    <w:right w:val="single" w:color="auto" w:sz="4" w:space="0"/>
                    <w:tl2br w:val="nil"/>
                    <w:tr2bl w:val="nil"/>
                  </w:tcBorders>
                  <w:noWrap w:val="0"/>
                  <w:vAlign w:val="center"/>
                </w:tcPr>
                <w:p w14:paraId="69EDAB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低毒类</w:t>
                  </w:r>
                </w:p>
              </w:tc>
            </w:tr>
            <w:tr w14:paraId="22A2C1C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2F183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急性中毒：</w:t>
                  </w:r>
                </w:p>
              </w:tc>
              <w:tc>
                <w:tcPr>
                  <w:tcW w:w="4284" w:type="pct"/>
                  <w:gridSpan w:val="7"/>
                  <w:tcBorders>
                    <w:right w:val="single" w:color="auto" w:sz="4" w:space="0"/>
                    <w:tl2br w:val="nil"/>
                    <w:tr2bl w:val="nil"/>
                  </w:tcBorders>
                  <w:noWrap w:val="0"/>
                  <w:vAlign w:val="center"/>
                </w:tcPr>
                <w:p w14:paraId="227EB9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吸入后引起头痛、头晕、恶心、虚弱、四肢无力等</w:t>
                  </w:r>
                </w:p>
              </w:tc>
            </w:tr>
            <w:tr w14:paraId="73D7E54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2A487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慢性中毒：</w:t>
                  </w:r>
                </w:p>
              </w:tc>
              <w:tc>
                <w:tcPr>
                  <w:tcW w:w="4284" w:type="pct"/>
                  <w:gridSpan w:val="7"/>
                  <w:tcBorders>
                    <w:right w:val="single" w:color="auto" w:sz="4" w:space="0"/>
                    <w:tl2br w:val="nil"/>
                    <w:tr2bl w:val="nil"/>
                  </w:tcBorders>
                  <w:noWrap w:val="0"/>
                  <w:vAlign w:val="center"/>
                </w:tcPr>
                <w:p w14:paraId="57219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大鼠昼夜吸入戊烯0.01克每立方米，2.5个月，出现先兴奋继而抑制，条件反射障碍，血清胆碱酯酶活性降低，尿内卟啉增多，同时还见肺支气管炎、间质炎</w:t>
                  </w:r>
                </w:p>
              </w:tc>
            </w:tr>
            <w:tr w14:paraId="0BFBD92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4046F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刺激性：</w:t>
                  </w:r>
                </w:p>
              </w:tc>
              <w:tc>
                <w:tcPr>
                  <w:tcW w:w="4284" w:type="pct"/>
                  <w:gridSpan w:val="7"/>
                  <w:tcBorders>
                    <w:right w:val="single" w:color="auto" w:sz="4" w:space="0"/>
                    <w:tl2br w:val="nil"/>
                    <w:tr2bl w:val="nil"/>
                  </w:tcBorders>
                  <w:noWrap w:val="0"/>
                  <w:vAlign w:val="center"/>
                </w:tcPr>
                <w:p w14:paraId="5C30A0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对眼、呼吸道和皮肤有刺激性</w:t>
                  </w:r>
                </w:p>
              </w:tc>
            </w:tr>
            <w:tr w14:paraId="76A8AEA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bottom w:val="single" w:color="auto" w:sz="4" w:space="0"/>
                    <w:tl2br w:val="nil"/>
                    <w:tr2bl w:val="nil"/>
                  </w:tcBorders>
                  <w:noWrap w:val="0"/>
                  <w:vAlign w:val="center"/>
                </w:tcPr>
                <w:p w14:paraId="147C46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最高容许浓度</w:t>
                  </w:r>
                </w:p>
              </w:tc>
              <w:tc>
                <w:tcPr>
                  <w:tcW w:w="4284" w:type="pct"/>
                  <w:gridSpan w:val="7"/>
                  <w:tcBorders>
                    <w:bottom w:val="single" w:color="auto" w:sz="4" w:space="0"/>
                    <w:right w:val="single" w:color="auto" w:sz="4" w:space="0"/>
                    <w:tl2br w:val="nil"/>
                    <w:tr2bl w:val="nil"/>
                  </w:tcBorders>
                  <w:noWrap w:val="0"/>
                  <w:vAlign w:val="center"/>
                </w:tcPr>
                <w:p w14:paraId="7DF946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bl>
          <w:p w14:paraId="2BC9F9B8">
            <w:pPr>
              <w:bidi w:val="0"/>
              <w:jc w:val="center"/>
              <w:rPr>
                <w:rFonts w:hint="default" w:ascii="Times New Roman" w:hAnsi="Times New Roman" w:eastAsia="宋体" w:cs="Times New Roman"/>
                <w:b/>
                <w:bCs/>
                <w:color w:val="auto"/>
                <w:sz w:val="24"/>
                <w:szCs w:val="32"/>
                <w:highlight w:val="none"/>
              </w:rPr>
            </w:pPr>
            <w:r>
              <w:rPr>
                <w:rFonts w:hint="default"/>
                <w:b/>
                <w:bCs/>
                <w:sz w:val="24"/>
                <w:szCs w:val="32"/>
                <w:highlight w:val="none"/>
              </w:rPr>
              <w:t>表</w:t>
            </w:r>
            <w:r>
              <w:rPr>
                <w:rFonts w:hint="eastAsia"/>
                <w:b/>
                <w:bCs/>
                <w:sz w:val="24"/>
                <w:szCs w:val="32"/>
                <w:highlight w:val="none"/>
                <w:lang w:val="en-US" w:eastAsia="zh-CN"/>
              </w:rPr>
              <w:t>4-20:戊烷</w:t>
            </w:r>
            <w:r>
              <w:rPr>
                <w:rFonts w:hint="default"/>
                <w:b/>
                <w:bCs/>
                <w:sz w:val="24"/>
                <w:szCs w:val="32"/>
                <w:highlight w:val="none"/>
              </w:rPr>
              <w:t>的理化性质和危险特性</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215"/>
              <w:gridCol w:w="2495"/>
              <w:gridCol w:w="393"/>
              <w:gridCol w:w="399"/>
              <w:gridCol w:w="1412"/>
              <w:gridCol w:w="139"/>
              <w:gridCol w:w="265"/>
              <w:gridCol w:w="2179"/>
            </w:tblGrid>
            <w:tr w14:paraId="472DCF9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trPr>
              <w:tc>
                <w:tcPr>
                  <w:tcW w:w="5000" w:type="pct"/>
                  <w:gridSpan w:val="8"/>
                  <w:tcBorders>
                    <w:top w:val="single" w:color="auto" w:sz="4" w:space="0"/>
                    <w:left w:val="single" w:color="auto" w:sz="0" w:space="0"/>
                    <w:right w:val="single" w:color="auto" w:sz="4" w:space="0"/>
                    <w:tl2br w:val="nil"/>
                    <w:tr2bl w:val="nil"/>
                  </w:tcBorders>
                  <w:noWrap w:val="0"/>
                  <w:vAlign w:val="center"/>
                </w:tcPr>
                <w:p w14:paraId="2AF9FB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第一部分危险性概述</w:t>
                  </w:r>
                </w:p>
              </w:tc>
            </w:tr>
            <w:tr w14:paraId="7E1BFE7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0B5BB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危险性类别：</w:t>
                  </w:r>
                </w:p>
              </w:tc>
              <w:tc>
                <w:tcPr>
                  <w:tcW w:w="1934" w:type="pct"/>
                  <w:gridSpan w:val="3"/>
                  <w:tcBorders>
                    <w:tl2br w:val="nil"/>
                    <w:tr2bl w:val="nil"/>
                  </w:tcBorders>
                  <w:noWrap w:val="0"/>
                  <w:vAlign w:val="center"/>
                </w:tcPr>
                <w:p w14:paraId="251A81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易燃液体</w:t>
                  </w:r>
                </w:p>
              </w:tc>
              <w:tc>
                <w:tcPr>
                  <w:tcW w:w="1069" w:type="pct"/>
                  <w:gridSpan w:val="3"/>
                  <w:tcBorders>
                    <w:tl2br w:val="nil"/>
                    <w:tr2bl w:val="nil"/>
                  </w:tcBorders>
                  <w:noWrap w:val="0"/>
                  <w:vAlign w:val="center"/>
                </w:tcPr>
                <w:p w14:paraId="7126B6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燃爆危险：</w:t>
                  </w:r>
                </w:p>
              </w:tc>
              <w:tc>
                <w:tcPr>
                  <w:tcW w:w="1280" w:type="pct"/>
                  <w:tcBorders>
                    <w:right w:val="single" w:color="auto" w:sz="4" w:space="0"/>
                    <w:tl2br w:val="nil"/>
                    <w:tr2bl w:val="nil"/>
                  </w:tcBorders>
                  <w:noWrap w:val="0"/>
                  <w:vAlign w:val="center"/>
                </w:tcPr>
                <w:p w14:paraId="3B8BA0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极端易燃</w:t>
                  </w:r>
                </w:p>
              </w:tc>
            </w:tr>
            <w:tr w14:paraId="06CE1E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3EAF6D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侵入途径：</w:t>
                  </w:r>
                </w:p>
              </w:tc>
              <w:tc>
                <w:tcPr>
                  <w:tcW w:w="1934" w:type="pct"/>
                  <w:gridSpan w:val="3"/>
                  <w:tcBorders>
                    <w:tl2br w:val="nil"/>
                    <w:tr2bl w:val="nil"/>
                  </w:tcBorders>
                  <w:noWrap w:val="0"/>
                  <w:vAlign w:val="center"/>
                </w:tcPr>
                <w:p w14:paraId="6FC913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吸入、食入</w:t>
                  </w:r>
                </w:p>
              </w:tc>
              <w:tc>
                <w:tcPr>
                  <w:tcW w:w="1069" w:type="pct"/>
                  <w:gridSpan w:val="3"/>
                  <w:tcBorders>
                    <w:tl2br w:val="nil"/>
                    <w:tr2bl w:val="nil"/>
                  </w:tcBorders>
                  <w:noWrap w:val="0"/>
                  <w:vAlign w:val="center"/>
                </w:tcPr>
                <w:p w14:paraId="4353CF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有害燃烧产物：</w:t>
                  </w:r>
                </w:p>
              </w:tc>
              <w:tc>
                <w:tcPr>
                  <w:tcW w:w="1280" w:type="pct"/>
                  <w:tcBorders>
                    <w:right w:val="single" w:color="auto" w:sz="4" w:space="0"/>
                    <w:tl2br w:val="nil"/>
                    <w:tr2bl w:val="nil"/>
                  </w:tcBorders>
                  <w:noWrap w:val="0"/>
                  <w:vAlign w:val="center"/>
                </w:tcPr>
                <w:p w14:paraId="50084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27D0982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5DC69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环境危害：</w:t>
                  </w:r>
                </w:p>
              </w:tc>
              <w:tc>
                <w:tcPr>
                  <w:tcW w:w="4284" w:type="pct"/>
                  <w:gridSpan w:val="7"/>
                  <w:tcBorders>
                    <w:right w:val="single" w:color="auto" w:sz="4" w:space="0"/>
                    <w:tl2br w:val="nil"/>
                    <w:tr2bl w:val="nil"/>
                  </w:tcBorders>
                  <w:noWrap w:val="0"/>
                  <w:vAlign w:val="center"/>
                </w:tcPr>
                <w:p w14:paraId="74654E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2F80184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5D31DC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第二部分理化特性</w:t>
                  </w:r>
                </w:p>
              </w:tc>
            </w:tr>
            <w:tr w14:paraId="7BEB13C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633C2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外观及性状：</w:t>
                  </w:r>
                </w:p>
              </w:tc>
              <w:tc>
                <w:tcPr>
                  <w:tcW w:w="1699" w:type="pct"/>
                  <w:gridSpan w:val="2"/>
                  <w:tcBorders>
                    <w:tl2br w:val="nil"/>
                    <w:tr2bl w:val="nil"/>
                  </w:tcBorders>
                  <w:noWrap w:val="0"/>
                  <w:vAlign w:val="center"/>
                </w:tcPr>
                <w:p w14:paraId="0878AD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无色</w:t>
                  </w:r>
                  <w:r>
                    <w:rPr>
                      <w:rFonts w:hint="default" w:ascii="Times New Roman" w:hAnsi="Times New Roman" w:eastAsia="宋体" w:cs="Times New Roman"/>
                      <w:color w:val="auto"/>
                      <w:sz w:val="21"/>
                      <w:szCs w:val="21"/>
                      <w:highlight w:val="none"/>
                    </w:rPr>
                    <w:t>液体</w:t>
                  </w:r>
                  <w:r>
                    <w:rPr>
                      <w:rFonts w:hint="eastAsia"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有微弱的薄荷香味</w:t>
                  </w:r>
                </w:p>
              </w:tc>
              <w:tc>
                <w:tcPr>
                  <w:tcW w:w="1148" w:type="pct"/>
                  <w:gridSpan w:val="3"/>
                  <w:tcBorders>
                    <w:tl2br w:val="nil"/>
                    <w:tr2bl w:val="nil"/>
                  </w:tcBorders>
                  <w:noWrap w:val="0"/>
                  <w:vAlign w:val="center"/>
                </w:tcPr>
                <w:p w14:paraId="1A9F6C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主要用途：</w:t>
                  </w:r>
                </w:p>
              </w:tc>
              <w:tc>
                <w:tcPr>
                  <w:tcW w:w="1436" w:type="pct"/>
                  <w:gridSpan w:val="2"/>
                  <w:tcBorders>
                    <w:right w:val="single" w:color="auto" w:sz="4" w:space="0"/>
                    <w:tl2br w:val="nil"/>
                    <w:tr2bl w:val="nil"/>
                  </w:tcBorders>
                  <w:noWrap w:val="0"/>
                  <w:vAlign w:val="center"/>
                </w:tcPr>
                <w:p w14:paraId="019A11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用作溶剂，制造人造冰，麻醉剂、合成戊醇、异戊烷等</w:t>
                  </w:r>
                </w:p>
              </w:tc>
            </w:tr>
            <w:tr w14:paraId="3628ECF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4022B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闪点（℃）：</w:t>
                  </w:r>
                </w:p>
              </w:tc>
              <w:tc>
                <w:tcPr>
                  <w:tcW w:w="1699" w:type="pct"/>
                  <w:gridSpan w:val="2"/>
                  <w:tcBorders>
                    <w:tl2br w:val="nil"/>
                    <w:tr2bl w:val="nil"/>
                  </w:tcBorders>
                  <w:noWrap w:val="0"/>
                  <w:vAlign w:val="center"/>
                </w:tcPr>
                <w:p w14:paraId="48E028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-40</w:t>
                  </w:r>
                </w:p>
              </w:tc>
              <w:tc>
                <w:tcPr>
                  <w:tcW w:w="1148" w:type="pct"/>
                  <w:gridSpan w:val="3"/>
                  <w:tcBorders>
                    <w:tl2br w:val="nil"/>
                    <w:tr2bl w:val="nil"/>
                  </w:tcBorders>
                  <w:noWrap w:val="0"/>
                  <w:vAlign w:val="center"/>
                </w:tcPr>
                <w:p w14:paraId="4A121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相对密度（水＝1）：</w:t>
                  </w:r>
                </w:p>
              </w:tc>
              <w:tc>
                <w:tcPr>
                  <w:tcW w:w="1436" w:type="pct"/>
                  <w:gridSpan w:val="2"/>
                  <w:tcBorders>
                    <w:right w:val="single" w:color="auto" w:sz="4" w:space="0"/>
                    <w:tl2br w:val="nil"/>
                    <w:tr2bl w:val="nil"/>
                  </w:tcBorders>
                  <w:noWrap w:val="0"/>
                  <w:vAlign w:val="center"/>
                </w:tcPr>
                <w:p w14:paraId="400A74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0.63</w:t>
                  </w:r>
                </w:p>
              </w:tc>
            </w:tr>
            <w:tr w14:paraId="687EC9E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B6A1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沸点（℃）：</w:t>
                  </w:r>
                </w:p>
              </w:tc>
              <w:tc>
                <w:tcPr>
                  <w:tcW w:w="1699" w:type="pct"/>
                  <w:gridSpan w:val="2"/>
                  <w:tcBorders>
                    <w:tl2br w:val="nil"/>
                    <w:tr2bl w:val="nil"/>
                  </w:tcBorders>
                  <w:noWrap w:val="0"/>
                  <w:vAlign w:val="center"/>
                </w:tcPr>
                <w:p w14:paraId="52BD72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36.1</w:t>
                  </w:r>
                </w:p>
              </w:tc>
              <w:tc>
                <w:tcPr>
                  <w:tcW w:w="1148" w:type="pct"/>
                  <w:gridSpan w:val="3"/>
                  <w:tcBorders>
                    <w:tl2br w:val="nil"/>
                    <w:tr2bl w:val="nil"/>
                  </w:tcBorders>
                  <w:noWrap w:val="0"/>
                  <w:vAlign w:val="center"/>
                </w:tcPr>
                <w:p w14:paraId="7E582E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爆炸上限％（V/V）：</w:t>
                  </w:r>
                </w:p>
              </w:tc>
              <w:tc>
                <w:tcPr>
                  <w:tcW w:w="1436" w:type="pct"/>
                  <w:gridSpan w:val="2"/>
                  <w:tcBorders>
                    <w:right w:val="single" w:color="auto" w:sz="4" w:space="0"/>
                    <w:tl2br w:val="nil"/>
                    <w:tr2bl w:val="nil"/>
                  </w:tcBorders>
                  <w:noWrap w:val="0"/>
                  <w:vAlign w:val="center"/>
                </w:tcPr>
                <w:p w14:paraId="05E4D1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9.8</w:t>
                  </w:r>
                </w:p>
              </w:tc>
            </w:tr>
            <w:tr w14:paraId="3E793E6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574F7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自然点（℃）：</w:t>
                  </w:r>
                </w:p>
              </w:tc>
              <w:tc>
                <w:tcPr>
                  <w:tcW w:w="1699" w:type="pct"/>
                  <w:gridSpan w:val="2"/>
                  <w:tcBorders>
                    <w:tl2br w:val="nil"/>
                    <w:tr2bl w:val="nil"/>
                  </w:tcBorders>
                  <w:noWrap w:val="0"/>
                  <w:vAlign w:val="center"/>
                </w:tcPr>
                <w:p w14:paraId="4AC780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260</w:t>
                  </w:r>
                </w:p>
              </w:tc>
              <w:tc>
                <w:tcPr>
                  <w:tcW w:w="1148" w:type="pct"/>
                  <w:gridSpan w:val="3"/>
                  <w:tcBorders>
                    <w:tl2br w:val="nil"/>
                    <w:tr2bl w:val="nil"/>
                  </w:tcBorders>
                  <w:noWrap w:val="0"/>
                  <w:vAlign w:val="center"/>
                </w:tcPr>
                <w:p w14:paraId="6332DE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爆炸下限％（V/V）：</w:t>
                  </w:r>
                </w:p>
              </w:tc>
              <w:tc>
                <w:tcPr>
                  <w:tcW w:w="1436" w:type="pct"/>
                  <w:gridSpan w:val="2"/>
                  <w:tcBorders>
                    <w:right w:val="single" w:color="auto" w:sz="4" w:space="0"/>
                    <w:tl2br w:val="nil"/>
                    <w:tr2bl w:val="nil"/>
                  </w:tcBorders>
                  <w:noWrap w:val="0"/>
                  <w:vAlign w:val="center"/>
                </w:tcPr>
                <w:p w14:paraId="3C4B34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1.7</w:t>
                  </w:r>
                </w:p>
              </w:tc>
            </w:tr>
            <w:tr w14:paraId="50CD100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9893A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溶解性：</w:t>
                  </w:r>
                </w:p>
              </w:tc>
              <w:tc>
                <w:tcPr>
                  <w:tcW w:w="4284" w:type="pct"/>
                  <w:gridSpan w:val="7"/>
                  <w:tcBorders>
                    <w:right w:val="single" w:color="auto" w:sz="4" w:space="0"/>
                    <w:tl2br w:val="nil"/>
                    <w:tr2bl w:val="nil"/>
                  </w:tcBorders>
                  <w:noWrap w:val="0"/>
                  <w:vAlign w:val="center"/>
                </w:tcPr>
                <w:p w14:paraId="10202F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微溶于水、溶于乙醚、乙醇、丙酮、苯、氯仿等多数有机溶剂</w:t>
                  </w:r>
                </w:p>
              </w:tc>
            </w:tr>
            <w:tr w14:paraId="7B73420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0D655A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第三部分稳定性及化学活性</w:t>
                  </w:r>
                </w:p>
              </w:tc>
            </w:tr>
            <w:tr w14:paraId="0C9E524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446F8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稳定性：</w:t>
                  </w:r>
                </w:p>
              </w:tc>
              <w:tc>
                <w:tcPr>
                  <w:tcW w:w="1468" w:type="pct"/>
                  <w:tcBorders>
                    <w:tl2br w:val="nil"/>
                    <w:tr2bl w:val="nil"/>
                  </w:tcBorders>
                  <w:noWrap w:val="0"/>
                  <w:vAlign w:val="center"/>
                </w:tcPr>
                <w:p w14:paraId="666886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w:t>
                  </w:r>
                </w:p>
              </w:tc>
              <w:tc>
                <w:tcPr>
                  <w:tcW w:w="1297" w:type="pct"/>
                  <w:gridSpan w:val="3"/>
                  <w:tcBorders>
                    <w:tl2br w:val="nil"/>
                    <w:tr2bl w:val="nil"/>
                  </w:tcBorders>
                  <w:noWrap w:val="0"/>
                  <w:vAlign w:val="center"/>
                </w:tcPr>
                <w:p w14:paraId="09E126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避免接触的条件：</w:t>
                  </w:r>
                </w:p>
              </w:tc>
              <w:tc>
                <w:tcPr>
                  <w:tcW w:w="1517" w:type="pct"/>
                  <w:gridSpan w:val="3"/>
                  <w:tcBorders>
                    <w:right w:val="single" w:color="auto" w:sz="4" w:space="0"/>
                    <w:tl2br w:val="nil"/>
                    <w:tr2bl w:val="nil"/>
                  </w:tcBorders>
                  <w:noWrap w:val="0"/>
                  <w:vAlign w:val="center"/>
                </w:tcPr>
                <w:p w14:paraId="132FAE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明火、高热</w:t>
                  </w:r>
                </w:p>
              </w:tc>
            </w:tr>
            <w:tr w14:paraId="7062544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F340B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禁配物：</w:t>
                  </w:r>
                </w:p>
              </w:tc>
              <w:tc>
                <w:tcPr>
                  <w:tcW w:w="1468" w:type="pct"/>
                  <w:tcBorders>
                    <w:tl2br w:val="nil"/>
                    <w:tr2bl w:val="nil"/>
                  </w:tcBorders>
                  <w:noWrap w:val="0"/>
                  <w:vAlign w:val="center"/>
                </w:tcPr>
                <w:p w14:paraId="0767DD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强氧化剂</w:t>
                  </w:r>
                </w:p>
              </w:tc>
              <w:tc>
                <w:tcPr>
                  <w:tcW w:w="1297" w:type="pct"/>
                  <w:gridSpan w:val="3"/>
                  <w:tcBorders>
                    <w:tl2br w:val="nil"/>
                    <w:tr2bl w:val="nil"/>
                  </w:tcBorders>
                  <w:noWrap w:val="0"/>
                  <w:vAlign w:val="center"/>
                </w:tcPr>
                <w:p w14:paraId="34DF68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聚合危害：</w:t>
                  </w:r>
                </w:p>
              </w:tc>
              <w:tc>
                <w:tcPr>
                  <w:tcW w:w="1517" w:type="pct"/>
                  <w:gridSpan w:val="3"/>
                  <w:tcBorders>
                    <w:right w:val="single" w:color="auto" w:sz="4" w:space="0"/>
                    <w:tl2br w:val="nil"/>
                    <w:tr2bl w:val="nil"/>
                  </w:tcBorders>
                  <w:noWrap w:val="0"/>
                  <w:vAlign w:val="center"/>
                </w:tcPr>
                <w:p w14:paraId="598C1D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p>
              </w:tc>
            </w:tr>
            <w:tr w14:paraId="0F1C108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5127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分解产物：</w:t>
                  </w:r>
                </w:p>
              </w:tc>
              <w:tc>
                <w:tcPr>
                  <w:tcW w:w="4284" w:type="pct"/>
                  <w:gridSpan w:val="7"/>
                  <w:tcBorders>
                    <w:right w:val="single" w:color="auto" w:sz="4" w:space="0"/>
                    <w:tl2br w:val="nil"/>
                    <w:tr2bl w:val="nil"/>
                  </w:tcBorders>
                  <w:noWrap w:val="0"/>
                  <w:vAlign w:val="center"/>
                </w:tcPr>
                <w:p w14:paraId="3641A2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7EABF5A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11E286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第四部分毒理学资料</w:t>
                  </w:r>
                </w:p>
              </w:tc>
            </w:tr>
            <w:tr w14:paraId="52FF6E5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21369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急性毒性：</w:t>
                  </w:r>
                </w:p>
              </w:tc>
              <w:tc>
                <w:tcPr>
                  <w:tcW w:w="7803" w:type="dxa"/>
                  <w:gridSpan w:val="7"/>
                  <w:tcBorders>
                    <w:right w:val="single" w:color="auto" w:sz="4" w:space="0"/>
                    <w:tl2br w:val="nil"/>
                    <w:tr2bl w:val="nil"/>
                  </w:tcBorders>
                  <w:noWrap w:val="0"/>
                  <w:vAlign w:val="center"/>
                </w:tcPr>
                <w:p w14:paraId="50DA9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低毒类</w:t>
                  </w:r>
                </w:p>
              </w:tc>
            </w:tr>
            <w:tr w14:paraId="3C296DE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3907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急性中毒：</w:t>
                  </w:r>
                </w:p>
              </w:tc>
              <w:tc>
                <w:tcPr>
                  <w:tcW w:w="7803" w:type="dxa"/>
                  <w:gridSpan w:val="7"/>
                  <w:tcBorders>
                    <w:right w:val="single" w:color="auto" w:sz="4" w:space="0"/>
                    <w:tl2br w:val="nil"/>
                    <w:tr2bl w:val="nil"/>
                  </w:tcBorders>
                  <w:noWrap w:val="0"/>
                  <w:vAlign w:val="center"/>
                </w:tcPr>
                <w:p w14:paraId="20E4AF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高浓度可引起眼</w:t>
                  </w:r>
                  <w:r>
                    <w:rPr>
                      <w:rFonts w:hint="eastAsia" w:cs="Times New Roman"/>
                      <w:color w:val="auto"/>
                      <w:sz w:val="21"/>
                      <w:szCs w:val="21"/>
                      <w:highlight w:val="none"/>
                      <w:lang w:val="en-US" w:eastAsia="zh-CN"/>
                    </w:rPr>
                    <w:t>和</w:t>
                  </w:r>
                  <w:r>
                    <w:rPr>
                      <w:rFonts w:hint="eastAsia" w:ascii="Times New Roman" w:hAnsi="Times New Roman" w:eastAsia="宋体" w:cs="Times New Roman"/>
                      <w:color w:val="auto"/>
                      <w:sz w:val="21"/>
                      <w:szCs w:val="21"/>
                      <w:highlight w:val="none"/>
                      <w:lang w:val="en-US" w:eastAsia="zh-CN"/>
                    </w:rPr>
                    <w:t>呼吸道粘膜轻度刺激症状和麻醉状态，甚至意识丧失</w:t>
                  </w:r>
                </w:p>
              </w:tc>
            </w:tr>
            <w:tr w14:paraId="1B4E6F4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6AE7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慢性中毒：</w:t>
                  </w:r>
                </w:p>
              </w:tc>
              <w:tc>
                <w:tcPr>
                  <w:tcW w:w="7803" w:type="dxa"/>
                  <w:gridSpan w:val="7"/>
                  <w:tcBorders>
                    <w:right w:val="single" w:color="auto" w:sz="4" w:space="0"/>
                    <w:tl2br w:val="nil"/>
                    <w:tr2bl w:val="nil"/>
                  </w:tcBorders>
                  <w:noWrap w:val="0"/>
                  <w:vAlign w:val="center"/>
                </w:tcPr>
                <w:p w14:paraId="42400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可引起眼和呼吸道的轻度刺激，可引起轻度皮炎</w:t>
                  </w:r>
                </w:p>
              </w:tc>
            </w:tr>
            <w:tr w14:paraId="4D6CFB2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876AF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刺激性：</w:t>
                  </w:r>
                </w:p>
              </w:tc>
              <w:tc>
                <w:tcPr>
                  <w:tcW w:w="7803" w:type="dxa"/>
                  <w:gridSpan w:val="7"/>
                  <w:tcBorders>
                    <w:right w:val="single" w:color="auto" w:sz="4" w:space="0"/>
                    <w:tl2br w:val="nil"/>
                    <w:tr2bl w:val="nil"/>
                  </w:tcBorders>
                  <w:noWrap w:val="0"/>
                  <w:vAlign w:val="center"/>
                </w:tcPr>
                <w:p w14:paraId="33B974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有轻度刺激</w:t>
                  </w:r>
                </w:p>
              </w:tc>
            </w:tr>
            <w:tr w14:paraId="2C84495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bottom w:val="single" w:color="auto" w:sz="4" w:space="0"/>
                    <w:tl2br w:val="nil"/>
                    <w:tr2bl w:val="nil"/>
                  </w:tcBorders>
                  <w:noWrap w:val="0"/>
                  <w:vAlign w:val="center"/>
                </w:tcPr>
                <w:p w14:paraId="371625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最高容许浓度</w:t>
                  </w:r>
                </w:p>
              </w:tc>
              <w:tc>
                <w:tcPr>
                  <w:tcW w:w="7803" w:type="dxa"/>
                  <w:gridSpan w:val="7"/>
                  <w:tcBorders>
                    <w:bottom w:val="single" w:color="auto" w:sz="4" w:space="0"/>
                    <w:right w:val="single" w:color="auto" w:sz="4" w:space="0"/>
                    <w:tl2br w:val="nil"/>
                    <w:tr2bl w:val="nil"/>
                  </w:tcBorders>
                  <w:noWrap w:val="0"/>
                  <w:vAlign w:val="center"/>
                </w:tcPr>
                <w:p w14:paraId="300E9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t>
                  </w:r>
                </w:p>
              </w:tc>
            </w:tr>
          </w:tbl>
          <w:p w14:paraId="12175069">
            <w:pPr>
              <w:bidi w:val="0"/>
              <w:jc w:val="center"/>
              <w:rPr>
                <w:rFonts w:hint="default" w:ascii="Times New Roman" w:hAnsi="Times New Roman" w:eastAsia="宋体" w:cs="Times New Roman"/>
                <w:b/>
                <w:bCs/>
                <w:color w:val="auto"/>
                <w:sz w:val="24"/>
                <w:szCs w:val="32"/>
                <w:highlight w:val="none"/>
              </w:rPr>
            </w:pPr>
            <w:r>
              <w:rPr>
                <w:rFonts w:hint="default"/>
                <w:b/>
                <w:bCs/>
                <w:sz w:val="24"/>
                <w:szCs w:val="32"/>
                <w:highlight w:val="none"/>
              </w:rPr>
              <w:t>表</w:t>
            </w:r>
            <w:r>
              <w:rPr>
                <w:rFonts w:hint="eastAsia"/>
                <w:b/>
                <w:bCs/>
                <w:sz w:val="24"/>
                <w:szCs w:val="32"/>
                <w:highlight w:val="none"/>
                <w:lang w:val="en-US" w:eastAsia="zh-CN"/>
              </w:rPr>
              <w:t>4-21：正己烷</w:t>
            </w:r>
            <w:r>
              <w:rPr>
                <w:rFonts w:hint="default"/>
                <w:b/>
                <w:bCs/>
                <w:sz w:val="24"/>
                <w:szCs w:val="32"/>
                <w:highlight w:val="none"/>
              </w:rPr>
              <w:t>的理化性质和危险特性</w:t>
            </w:r>
          </w:p>
          <w:tbl>
            <w:tblPr>
              <w:tblStyle w:val="41"/>
              <w:tblW w:w="5000" w:type="pct"/>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1215"/>
              <w:gridCol w:w="2495"/>
              <w:gridCol w:w="393"/>
              <w:gridCol w:w="399"/>
              <w:gridCol w:w="1412"/>
              <w:gridCol w:w="139"/>
              <w:gridCol w:w="265"/>
              <w:gridCol w:w="2179"/>
            </w:tblGrid>
            <w:tr w14:paraId="57982C9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20" w:hRule="atLeast"/>
              </w:trPr>
              <w:tc>
                <w:tcPr>
                  <w:tcW w:w="5000" w:type="pct"/>
                  <w:gridSpan w:val="8"/>
                  <w:tcBorders>
                    <w:top w:val="single" w:color="auto" w:sz="4" w:space="0"/>
                    <w:left w:val="single" w:color="auto" w:sz="0" w:space="0"/>
                    <w:right w:val="single" w:color="auto" w:sz="4" w:space="0"/>
                    <w:tl2br w:val="nil"/>
                    <w:tr2bl w:val="nil"/>
                  </w:tcBorders>
                  <w:noWrap w:val="0"/>
                  <w:vAlign w:val="center"/>
                </w:tcPr>
                <w:p w14:paraId="1D14E9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第一部分危险性概述</w:t>
                  </w:r>
                </w:p>
              </w:tc>
            </w:tr>
            <w:tr w14:paraId="6551F69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66C9E6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危险性类别：</w:t>
                  </w:r>
                </w:p>
              </w:tc>
              <w:tc>
                <w:tcPr>
                  <w:tcW w:w="1934" w:type="pct"/>
                  <w:gridSpan w:val="3"/>
                  <w:tcBorders>
                    <w:tl2br w:val="nil"/>
                    <w:tr2bl w:val="nil"/>
                  </w:tcBorders>
                  <w:noWrap w:val="0"/>
                  <w:vAlign w:val="center"/>
                </w:tcPr>
                <w:p w14:paraId="3F2505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易燃液体</w:t>
                  </w:r>
                </w:p>
              </w:tc>
              <w:tc>
                <w:tcPr>
                  <w:tcW w:w="1069" w:type="pct"/>
                  <w:gridSpan w:val="3"/>
                  <w:tcBorders>
                    <w:tl2br w:val="nil"/>
                    <w:tr2bl w:val="nil"/>
                  </w:tcBorders>
                  <w:noWrap w:val="0"/>
                  <w:vAlign w:val="center"/>
                </w:tcPr>
                <w:p w14:paraId="06552B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燃爆危险：</w:t>
                  </w:r>
                </w:p>
              </w:tc>
              <w:tc>
                <w:tcPr>
                  <w:tcW w:w="1280" w:type="pct"/>
                  <w:tcBorders>
                    <w:right w:val="single" w:color="auto" w:sz="4" w:space="0"/>
                    <w:tl2br w:val="nil"/>
                    <w:tr2bl w:val="nil"/>
                  </w:tcBorders>
                  <w:noWrap w:val="0"/>
                  <w:vAlign w:val="center"/>
                </w:tcPr>
                <w:p w14:paraId="424A6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极端易燃</w:t>
                  </w:r>
                </w:p>
              </w:tc>
            </w:tr>
            <w:tr w14:paraId="6A61A63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6F38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侵入途径：</w:t>
                  </w:r>
                </w:p>
              </w:tc>
              <w:tc>
                <w:tcPr>
                  <w:tcW w:w="1934" w:type="pct"/>
                  <w:gridSpan w:val="3"/>
                  <w:tcBorders>
                    <w:tl2br w:val="nil"/>
                    <w:tr2bl w:val="nil"/>
                  </w:tcBorders>
                  <w:noWrap w:val="0"/>
                  <w:vAlign w:val="center"/>
                </w:tcPr>
                <w:p w14:paraId="73597B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吸入、食入、经皮吸收</w:t>
                  </w:r>
                </w:p>
              </w:tc>
              <w:tc>
                <w:tcPr>
                  <w:tcW w:w="1069" w:type="pct"/>
                  <w:gridSpan w:val="3"/>
                  <w:tcBorders>
                    <w:tl2br w:val="nil"/>
                    <w:tr2bl w:val="nil"/>
                  </w:tcBorders>
                  <w:noWrap w:val="0"/>
                  <w:vAlign w:val="center"/>
                </w:tcPr>
                <w:p w14:paraId="3820BC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有害燃烧产物：</w:t>
                  </w:r>
                </w:p>
              </w:tc>
              <w:tc>
                <w:tcPr>
                  <w:tcW w:w="1280" w:type="pct"/>
                  <w:tcBorders>
                    <w:right w:val="single" w:color="auto" w:sz="4" w:space="0"/>
                    <w:tl2br w:val="nil"/>
                    <w:tr2bl w:val="nil"/>
                  </w:tcBorders>
                  <w:noWrap w:val="0"/>
                  <w:vAlign w:val="center"/>
                </w:tcPr>
                <w:p w14:paraId="7ACC11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3A2AD5B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BCE0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环境危害：</w:t>
                  </w:r>
                </w:p>
              </w:tc>
              <w:tc>
                <w:tcPr>
                  <w:tcW w:w="4284" w:type="pct"/>
                  <w:gridSpan w:val="7"/>
                  <w:tcBorders>
                    <w:right w:val="single" w:color="auto" w:sz="4" w:space="0"/>
                    <w:tl2br w:val="nil"/>
                    <w:tr2bl w:val="nil"/>
                  </w:tcBorders>
                  <w:noWrap w:val="0"/>
                  <w:vAlign w:val="center"/>
                </w:tcPr>
                <w:p w14:paraId="5D0072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对水生生物有毒。影响</w:t>
                  </w:r>
                  <w:r>
                    <w:rPr>
                      <w:rFonts w:hint="eastAsia" w:cs="Times New Roman"/>
                      <w:color w:val="auto"/>
                      <w:sz w:val="21"/>
                      <w:szCs w:val="21"/>
                      <w:highlight w:val="none"/>
                      <w:lang w:val="en-US" w:eastAsia="zh-CN"/>
                    </w:rPr>
                    <w:t>为</w:t>
                  </w:r>
                  <w:r>
                    <w:rPr>
                      <w:rFonts w:hint="default" w:ascii="Times New Roman" w:hAnsi="Times New Roman" w:eastAsia="宋体" w:cs="Times New Roman"/>
                      <w:color w:val="auto"/>
                      <w:sz w:val="21"/>
                      <w:szCs w:val="21"/>
                      <w:highlight w:val="none"/>
                      <w:lang w:val="en-US" w:eastAsia="zh-CN"/>
                    </w:rPr>
                    <w:t>长期</w:t>
                  </w:r>
                  <w:r>
                    <w:rPr>
                      <w:rFonts w:hint="eastAsia" w:cs="Times New Roman"/>
                      <w:color w:val="auto"/>
                      <w:sz w:val="21"/>
                      <w:szCs w:val="21"/>
                      <w:highlight w:val="none"/>
                      <w:lang w:val="en-US" w:eastAsia="zh-CN"/>
                    </w:rPr>
                    <w:t>。</w:t>
                  </w:r>
                </w:p>
              </w:tc>
            </w:tr>
            <w:tr w14:paraId="2A8071B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1A9F7A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第二部分理化特性</w:t>
                  </w:r>
                </w:p>
              </w:tc>
            </w:tr>
            <w:tr w14:paraId="2EC440A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752523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外观及性状：</w:t>
                  </w:r>
                </w:p>
              </w:tc>
              <w:tc>
                <w:tcPr>
                  <w:tcW w:w="1699" w:type="pct"/>
                  <w:gridSpan w:val="2"/>
                  <w:tcBorders>
                    <w:tl2br w:val="nil"/>
                    <w:tr2bl w:val="nil"/>
                  </w:tcBorders>
                  <w:noWrap w:val="0"/>
                  <w:vAlign w:val="center"/>
                </w:tcPr>
                <w:p w14:paraId="7B4653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无色挥发性液体，有特殊气味</w:t>
                  </w:r>
                </w:p>
              </w:tc>
              <w:tc>
                <w:tcPr>
                  <w:tcW w:w="1148" w:type="pct"/>
                  <w:gridSpan w:val="3"/>
                  <w:tcBorders>
                    <w:tl2br w:val="nil"/>
                    <w:tr2bl w:val="nil"/>
                  </w:tcBorders>
                  <w:noWrap w:val="0"/>
                  <w:vAlign w:val="center"/>
                </w:tcPr>
                <w:p w14:paraId="677DA6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主要用途：</w:t>
                  </w:r>
                </w:p>
              </w:tc>
              <w:tc>
                <w:tcPr>
                  <w:tcW w:w="1436" w:type="pct"/>
                  <w:gridSpan w:val="2"/>
                  <w:tcBorders>
                    <w:right w:val="single" w:color="auto" w:sz="4" w:space="0"/>
                    <w:tl2br w:val="nil"/>
                    <w:tr2bl w:val="nil"/>
                  </w:tcBorders>
                  <w:noWrap w:val="0"/>
                  <w:vAlign w:val="center"/>
                </w:tcPr>
                <w:p w14:paraId="332340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用于萃取剂和溶剂，也可用于工业和能源应用等</w:t>
                  </w:r>
                </w:p>
              </w:tc>
            </w:tr>
            <w:tr w14:paraId="55F9B4B5">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B75FD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闪点（℃）：</w:t>
                  </w:r>
                </w:p>
              </w:tc>
              <w:tc>
                <w:tcPr>
                  <w:tcW w:w="1699" w:type="pct"/>
                  <w:gridSpan w:val="2"/>
                  <w:tcBorders>
                    <w:tl2br w:val="nil"/>
                    <w:tr2bl w:val="nil"/>
                  </w:tcBorders>
                  <w:noWrap w:val="0"/>
                  <w:vAlign w:val="center"/>
                </w:tcPr>
                <w:p w14:paraId="1A204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w:t>
                  </w:r>
                </w:p>
              </w:tc>
              <w:tc>
                <w:tcPr>
                  <w:tcW w:w="1148" w:type="pct"/>
                  <w:gridSpan w:val="3"/>
                  <w:tcBorders>
                    <w:tl2br w:val="nil"/>
                    <w:tr2bl w:val="nil"/>
                  </w:tcBorders>
                  <w:noWrap w:val="0"/>
                  <w:vAlign w:val="center"/>
                </w:tcPr>
                <w:p w14:paraId="31529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相对密度（水＝1）：</w:t>
                  </w:r>
                </w:p>
              </w:tc>
              <w:tc>
                <w:tcPr>
                  <w:tcW w:w="1436" w:type="pct"/>
                  <w:gridSpan w:val="2"/>
                  <w:tcBorders>
                    <w:right w:val="single" w:color="auto" w:sz="4" w:space="0"/>
                    <w:tl2br w:val="nil"/>
                    <w:tr2bl w:val="nil"/>
                  </w:tcBorders>
                  <w:noWrap w:val="0"/>
                  <w:vAlign w:val="center"/>
                </w:tcPr>
                <w:p w14:paraId="116752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0.6594</w:t>
                  </w:r>
                </w:p>
              </w:tc>
            </w:tr>
            <w:tr w14:paraId="036AF97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4245F5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沸点（℃）：</w:t>
                  </w:r>
                </w:p>
              </w:tc>
              <w:tc>
                <w:tcPr>
                  <w:tcW w:w="1699" w:type="pct"/>
                  <w:gridSpan w:val="2"/>
                  <w:tcBorders>
                    <w:tl2br w:val="nil"/>
                    <w:tr2bl w:val="nil"/>
                  </w:tcBorders>
                  <w:noWrap w:val="0"/>
                  <w:vAlign w:val="center"/>
                </w:tcPr>
                <w:p w14:paraId="22774C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68.74</w:t>
                  </w:r>
                </w:p>
              </w:tc>
              <w:tc>
                <w:tcPr>
                  <w:tcW w:w="1148" w:type="pct"/>
                  <w:gridSpan w:val="3"/>
                  <w:tcBorders>
                    <w:tl2br w:val="nil"/>
                    <w:tr2bl w:val="nil"/>
                  </w:tcBorders>
                  <w:noWrap w:val="0"/>
                  <w:vAlign w:val="center"/>
                </w:tcPr>
                <w:p w14:paraId="57F412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爆炸上限％（V/V）：</w:t>
                  </w:r>
                </w:p>
              </w:tc>
              <w:tc>
                <w:tcPr>
                  <w:tcW w:w="1436" w:type="pct"/>
                  <w:gridSpan w:val="2"/>
                  <w:tcBorders>
                    <w:right w:val="single" w:color="auto" w:sz="4" w:space="0"/>
                    <w:tl2br w:val="nil"/>
                    <w:tr2bl w:val="nil"/>
                  </w:tcBorders>
                  <w:noWrap w:val="0"/>
                  <w:vAlign w:val="center"/>
                </w:tcPr>
                <w:p w14:paraId="5D6DD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7.4</w:t>
                  </w:r>
                </w:p>
              </w:tc>
            </w:tr>
            <w:tr w14:paraId="7C42AFC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B495A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自然点（℃）：</w:t>
                  </w:r>
                </w:p>
              </w:tc>
              <w:tc>
                <w:tcPr>
                  <w:tcW w:w="1699" w:type="pct"/>
                  <w:gridSpan w:val="2"/>
                  <w:tcBorders>
                    <w:tl2br w:val="nil"/>
                    <w:tr2bl w:val="nil"/>
                  </w:tcBorders>
                  <w:noWrap w:val="0"/>
                  <w:vAlign w:val="center"/>
                </w:tcPr>
                <w:p w14:paraId="610B14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1148" w:type="pct"/>
                  <w:gridSpan w:val="3"/>
                  <w:tcBorders>
                    <w:tl2br w:val="nil"/>
                    <w:tr2bl w:val="nil"/>
                  </w:tcBorders>
                  <w:noWrap w:val="0"/>
                  <w:vAlign w:val="center"/>
                </w:tcPr>
                <w:p w14:paraId="7FDEC0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爆炸下限％（V/V）：</w:t>
                  </w:r>
                </w:p>
              </w:tc>
              <w:tc>
                <w:tcPr>
                  <w:tcW w:w="1436" w:type="pct"/>
                  <w:gridSpan w:val="2"/>
                  <w:tcBorders>
                    <w:right w:val="single" w:color="auto" w:sz="4" w:space="0"/>
                    <w:tl2br w:val="nil"/>
                    <w:tr2bl w:val="nil"/>
                  </w:tcBorders>
                  <w:noWrap w:val="0"/>
                  <w:vAlign w:val="center"/>
                </w:tcPr>
                <w:p w14:paraId="3C965F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1.1/8</w:t>
                  </w:r>
                </w:p>
              </w:tc>
            </w:tr>
            <w:tr w14:paraId="599D323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429AB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溶解性：</w:t>
                  </w:r>
                </w:p>
              </w:tc>
              <w:tc>
                <w:tcPr>
                  <w:tcW w:w="4284" w:type="pct"/>
                  <w:gridSpan w:val="7"/>
                  <w:tcBorders>
                    <w:right w:val="single" w:color="auto" w:sz="4" w:space="0"/>
                    <w:tl2br w:val="nil"/>
                    <w:tr2bl w:val="nil"/>
                  </w:tcBorders>
                  <w:noWrap w:val="0"/>
                  <w:vAlign w:val="center"/>
                </w:tcPr>
                <w:p w14:paraId="404DDD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不溶于水</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溶于乙醇、乙醚、丙酮</w:t>
                  </w:r>
                  <w:r>
                    <w:rPr>
                      <w:rFonts w:hint="eastAsia" w:cs="Times New Roman"/>
                      <w:color w:val="auto"/>
                      <w:sz w:val="21"/>
                      <w:szCs w:val="21"/>
                      <w:highlight w:val="none"/>
                      <w:lang w:val="en-US" w:eastAsia="zh-CN"/>
                    </w:rPr>
                    <w:t>。</w:t>
                  </w:r>
                </w:p>
              </w:tc>
            </w:tr>
            <w:tr w14:paraId="63EC1C2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2C40A8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第三部分稳定性及化学活性</w:t>
                  </w:r>
                </w:p>
              </w:tc>
            </w:tr>
            <w:tr w14:paraId="401D466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17A41B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稳定性：</w:t>
                  </w:r>
                </w:p>
              </w:tc>
              <w:tc>
                <w:tcPr>
                  <w:tcW w:w="1468" w:type="pct"/>
                  <w:tcBorders>
                    <w:tl2br w:val="nil"/>
                    <w:tr2bl w:val="nil"/>
                  </w:tcBorders>
                  <w:noWrap w:val="0"/>
                  <w:vAlign w:val="center"/>
                </w:tcPr>
                <w:p w14:paraId="4A83A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稳定</w:t>
                  </w:r>
                </w:p>
              </w:tc>
              <w:tc>
                <w:tcPr>
                  <w:tcW w:w="1297" w:type="pct"/>
                  <w:gridSpan w:val="3"/>
                  <w:tcBorders>
                    <w:tl2br w:val="nil"/>
                    <w:tr2bl w:val="nil"/>
                  </w:tcBorders>
                  <w:noWrap w:val="0"/>
                  <w:vAlign w:val="center"/>
                </w:tcPr>
                <w:p w14:paraId="521EA4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避免接触的条件：</w:t>
                  </w:r>
                </w:p>
              </w:tc>
              <w:tc>
                <w:tcPr>
                  <w:tcW w:w="1517" w:type="pct"/>
                  <w:gridSpan w:val="3"/>
                  <w:tcBorders>
                    <w:right w:val="single" w:color="auto" w:sz="4" w:space="0"/>
                    <w:tl2br w:val="nil"/>
                    <w:tr2bl w:val="nil"/>
                  </w:tcBorders>
                  <w:noWrap w:val="0"/>
                  <w:vAlign w:val="center"/>
                </w:tcPr>
                <w:p w14:paraId="3DFFE0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明火、高热</w:t>
                  </w:r>
                </w:p>
              </w:tc>
            </w:tr>
            <w:tr w14:paraId="63E8B05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2874D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禁配物：</w:t>
                  </w:r>
                </w:p>
              </w:tc>
              <w:tc>
                <w:tcPr>
                  <w:tcW w:w="1468" w:type="pct"/>
                  <w:tcBorders>
                    <w:tl2br w:val="nil"/>
                    <w:tr2bl w:val="nil"/>
                  </w:tcBorders>
                  <w:noWrap w:val="0"/>
                  <w:vAlign w:val="center"/>
                </w:tcPr>
                <w:p w14:paraId="5BC3F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氧化</w:t>
                  </w:r>
                  <w:r>
                    <w:rPr>
                      <w:rFonts w:hint="default" w:ascii="Times New Roman" w:hAnsi="Times New Roman" w:eastAsia="宋体" w:cs="Times New Roman"/>
                      <w:color w:val="auto"/>
                      <w:sz w:val="21"/>
                      <w:szCs w:val="21"/>
                      <w:highlight w:val="none"/>
                      <w:lang w:val="en-US" w:eastAsia="zh-CN"/>
                    </w:rPr>
                    <w:t>性物质</w:t>
                  </w:r>
                </w:p>
              </w:tc>
              <w:tc>
                <w:tcPr>
                  <w:tcW w:w="1297" w:type="pct"/>
                  <w:gridSpan w:val="3"/>
                  <w:tcBorders>
                    <w:tl2br w:val="nil"/>
                    <w:tr2bl w:val="nil"/>
                  </w:tcBorders>
                  <w:noWrap w:val="0"/>
                  <w:vAlign w:val="center"/>
                </w:tcPr>
                <w:p w14:paraId="75C25E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聚合危害：</w:t>
                  </w:r>
                </w:p>
              </w:tc>
              <w:tc>
                <w:tcPr>
                  <w:tcW w:w="1517" w:type="pct"/>
                  <w:gridSpan w:val="3"/>
                  <w:tcBorders>
                    <w:right w:val="single" w:color="auto" w:sz="4" w:space="0"/>
                    <w:tl2br w:val="nil"/>
                    <w:tr2bl w:val="nil"/>
                  </w:tcBorders>
                  <w:noWrap w:val="0"/>
                  <w:vAlign w:val="center"/>
                </w:tcPr>
                <w:p w14:paraId="11EE00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不聚合</w:t>
                  </w:r>
                </w:p>
              </w:tc>
            </w:tr>
            <w:tr w14:paraId="38074E5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07ADBF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分解产物：</w:t>
                  </w:r>
                </w:p>
              </w:tc>
              <w:tc>
                <w:tcPr>
                  <w:tcW w:w="4284" w:type="pct"/>
                  <w:gridSpan w:val="7"/>
                  <w:tcBorders>
                    <w:right w:val="single" w:color="auto" w:sz="4" w:space="0"/>
                    <w:tl2br w:val="nil"/>
                    <w:tr2bl w:val="nil"/>
                  </w:tcBorders>
                  <w:noWrap w:val="0"/>
                  <w:vAlign w:val="center"/>
                </w:tcPr>
                <w:p w14:paraId="7E483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一氧化碳、二氧化碳</w:t>
                  </w:r>
                </w:p>
              </w:tc>
            </w:tr>
            <w:tr w14:paraId="086A183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5000" w:type="pct"/>
                  <w:gridSpan w:val="8"/>
                  <w:tcBorders>
                    <w:left w:val="single" w:color="auto" w:sz="4" w:space="0"/>
                    <w:right w:val="single" w:color="auto" w:sz="4" w:space="0"/>
                    <w:tl2br w:val="nil"/>
                    <w:tr2bl w:val="nil"/>
                  </w:tcBorders>
                  <w:noWrap w:val="0"/>
                  <w:vAlign w:val="center"/>
                </w:tcPr>
                <w:p w14:paraId="426FE1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第四部分毒理学资料</w:t>
                  </w:r>
                </w:p>
              </w:tc>
            </w:tr>
            <w:tr w14:paraId="24C69B1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3C7E15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急性毒性：</w:t>
                  </w:r>
                </w:p>
              </w:tc>
              <w:tc>
                <w:tcPr>
                  <w:tcW w:w="7803" w:type="dxa"/>
                  <w:gridSpan w:val="7"/>
                  <w:tcBorders>
                    <w:right w:val="single" w:color="auto" w:sz="4" w:space="0"/>
                    <w:tl2br w:val="nil"/>
                    <w:tr2bl w:val="nil"/>
                  </w:tcBorders>
                  <w:noWrap w:val="0"/>
                  <w:vAlign w:val="center"/>
                </w:tcPr>
                <w:p w14:paraId="692093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低毒类</w:t>
                  </w:r>
                </w:p>
              </w:tc>
            </w:tr>
            <w:tr w14:paraId="4933043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516A22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急性中毒：</w:t>
                  </w:r>
                </w:p>
              </w:tc>
              <w:tc>
                <w:tcPr>
                  <w:tcW w:w="7803" w:type="dxa"/>
                  <w:gridSpan w:val="7"/>
                  <w:tcBorders>
                    <w:right w:val="single" w:color="auto" w:sz="4" w:space="0"/>
                    <w:tl2br w:val="nil"/>
                    <w:tr2bl w:val="nil"/>
                  </w:tcBorders>
                  <w:noWrap w:val="0"/>
                  <w:vAlign w:val="center"/>
                </w:tcPr>
                <w:p w14:paraId="260A5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aps w:val="0"/>
                      <w:spacing w:val="0"/>
                      <w:sz w:val="21"/>
                      <w:szCs w:val="21"/>
                      <w:shd w:val="clear" w:fill="FFFFFF"/>
                    </w:rPr>
                    <w:t>吸入高浓度可导致咳嗽、喘息、血性泡沫痰、头痛、头晕、心动过速和发烧等，严重可导致昏迷</w:t>
                  </w:r>
                  <w:r>
                    <w:rPr>
                      <w:rFonts w:hint="eastAsia" w:cs="Times New Roman"/>
                      <w:i w:val="0"/>
                      <w:iCs w:val="0"/>
                      <w:caps w:val="0"/>
                      <w:spacing w:val="0"/>
                      <w:sz w:val="21"/>
                      <w:szCs w:val="21"/>
                      <w:shd w:val="clear" w:fill="FFFFFF"/>
                      <w:lang w:eastAsia="zh-CN"/>
                    </w:rPr>
                    <w:t>。</w:t>
                  </w:r>
                </w:p>
              </w:tc>
            </w:tr>
            <w:tr w14:paraId="4FF84E0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F669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慢性中毒：</w:t>
                  </w:r>
                </w:p>
              </w:tc>
              <w:tc>
                <w:tcPr>
                  <w:tcW w:w="7803" w:type="dxa"/>
                  <w:gridSpan w:val="7"/>
                  <w:tcBorders>
                    <w:right w:val="single" w:color="auto" w:sz="4" w:space="0"/>
                    <w:tl2br w:val="nil"/>
                    <w:tr2bl w:val="nil"/>
                  </w:tcBorders>
                  <w:noWrap w:val="0"/>
                  <w:vAlign w:val="center"/>
                </w:tcPr>
                <w:p w14:paraId="1EA730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aps w:val="0"/>
                      <w:spacing w:val="0"/>
                      <w:sz w:val="21"/>
                      <w:szCs w:val="21"/>
                      <w:shd w:val="clear" w:fill="FFFFFF"/>
                    </w:rPr>
                    <w:t>长期暴露可能产生周围神经病变</w:t>
                  </w:r>
                  <w:r>
                    <w:rPr>
                      <w:rFonts w:hint="default" w:ascii="Times New Roman" w:hAnsi="Times New Roman" w:eastAsia="宋体" w:cs="Times New Roman"/>
                      <w:i w:val="0"/>
                      <w:iCs w:val="0"/>
                      <w:caps w:val="0"/>
                      <w:spacing w:val="0"/>
                      <w:sz w:val="21"/>
                      <w:szCs w:val="21"/>
                      <w:shd w:val="clear" w:fill="FFFFFF"/>
                      <w:lang w:eastAsia="zh-CN"/>
                    </w:rPr>
                    <w:t>（</w:t>
                  </w:r>
                  <w:r>
                    <w:rPr>
                      <w:rFonts w:hint="default" w:ascii="Times New Roman" w:hAnsi="Times New Roman" w:eastAsia="宋体" w:cs="Times New Roman"/>
                      <w:i w:val="0"/>
                      <w:iCs w:val="0"/>
                      <w:caps w:val="0"/>
                      <w:spacing w:val="0"/>
                      <w:sz w:val="21"/>
                      <w:szCs w:val="21"/>
                      <w:shd w:val="clear" w:fill="FFFFFF"/>
                    </w:rPr>
                    <w:t>运动感觉</w:t>
                  </w:r>
                  <w:r>
                    <w:rPr>
                      <w:rFonts w:hint="default" w:ascii="Times New Roman" w:hAnsi="Times New Roman" w:eastAsia="宋体" w:cs="Times New Roman"/>
                      <w:i w:val="0"/>
                      <w:iCs w:val="0"/>
                      <w:caps w:val="0"/>
                      <w:spacing w:val="0"/>
                      <w:sz w:val="21"/>
                      <w:szCs w:val="21"/>
                      <w:shd w:val="clear" w:fill="FFFFFF"/>
                      <w:lang w:eastAsia="zh-CN"/>
                    </w:rPr>
                    <w:t>）</w:t>
                  </w:r>
                  <w:r>
                    <w:rPr>
                      <w:rFonts w:hint="default" w:ascii="Times New Roman" w:hAnsi="Times New Roman" w:eastAsia="宋体" w:cs="Times New Roman"/>
                      <w:i w:val="0"/>
                      <w:iCs w:val="0"/>
                      <w:caps w:val="0"/>
                      <w:spacing w:val="0"/>
                      <w:sz w:val="21"/>
                      <w:szCs w:val="21"/>
                      <w:shd w:val="clear" w:fill="FFFFFF"/>
                    </w:rPr>
                    <w:t>和中枢神经系统异常，引起人体多发性周围神经炎，怀疑损害生育能力</w:t>
                  </w:r>
                  <w:r>
                    <w:rPr>
                      <w:rFonts w:hint="eastAsia" w:cs="Times New Roman"/>
                      <w:i w:val="0"/>
                      <w:iCs w:val="0"/>
                      <w:caps w:val="0"/>
                      <w:spacing w:val="0"/>
                      <w:sz w:val="21"/>
                      <w:szCs w:val="21"/>
                      <w:shd w:val="clear" w:fill="FFFFFF"/>
                      <w:lang w:eastAsia="zh-CN"/>
                    </w:rPr>
                    <w:t>。</w:t>
                  </w:r>
                </w:p>
              </w:tc>
            </w:tr>
            <w:tr w14:paraId="4708658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tl2br w:val="nil"/>
                    <w:tr2bl w:val="nil"/>
                  </w:tcBorders>
                  <w:noWrap w:val="0"/>
                  <w:vAlign w:val="center"/>
                </w:tcPr>
                <w:p w14:paraId="2026FB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刺激性：</w:t>
                  </w:r>
                </w:p>
              </w:tc>
              <w:tc>
                <w:tcPr>
                  <w:tcW w:w="7803" w:type="dxa"/>
                  <w:gridSpan w:val="7"/>
                  <w:tcBorders>
                    <w:right w:val="single" w:color="auto" w:sz="4" w:space="0"/>
                    <w:tl2br w:val="nil"/>
                    <w:tr2bl w:val="nil"/>
                  </w:tcBorders>
                  <w:noWrap w:val="0"/>
                  <w:vAlign w:val="center"/>
                </w:tcPr>
                <w:p w14:paraId="3FBDFE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aps w:val="0"/>
                      <w:spacing w:val="0"/>
                      <w:sz w:val="21"/>
                      <w:szCs w:val="21"/>
                      <w:shd w:val="clear" w:fill="FFFFFF"/>
                    </w:rPr>
                    <w:t>引起皮肤刺激，可能引起嗜睡或头晕</w:t>
                  </w:r>
                  <w:r>
                    <w:rPr>
                      <w:rFonts w:hint="eastAsia" w:cs="Times New Roman"/>
                      <w:i w:val="0"/>
                      <w:iCs w:val="0"/>
                      <w:caps w:val="0"/>
                      <w:spacing w:val="0"/>
                      <w:sz w:val="21"/>
                      <w:szCs w:val="21"/>
                      <w:shd w:val="clear" w:fill="FFFFFF"/>
                      <w:lang w:eastAsia="zh-CN"/>
                    </w:rPr>
                    <w:t>。</w:t>
                  </w:r>
                </w:p>
              </w:tc>
            </w:tr>
            <w:tr w14:paraId="511CB04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20" w:hRule="atLeast"/>
              </w:trPr>
              <w:tc>
                <w:tcPr>
                  <w:tcW w:w="715" w:type="pct"/>
                  <w:tcBorders>
                    <w:left w:val="single" w:color="auto" w:sz="4" w:space="0"/>
                    <w:bottom w:val="single" w:color="auto" w:sz="4" w:space="0"/>
                    <w:tl2br w:val="nil"/>
                    <w:tr2bl w:val="nil"/>
                  </w:tcBorders>
                  <w:noWrap w:val="0"/>
                  <w:vAlign w:val="center"/>
                </w:tcPr>
                <w:p w14:paraId="6A9B01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最高容许浓度</w:t>
                  </w:r>
                </w:p>
              </w:tc>
              <w:tc>
                <w:tcPr>
                  <w:tcW w:w="4284" w:type="pct"/>
                  <w:gridSpan w:val="7"/>
                  <w:tcBorders>
                    <w:bottom w:val="single" w:color="auto" w:sz="4" w:space="0"/>
                    <w:right w:val="single" w:color="auto" w:sz="4" w:space="0"/>
                    <w:tl2br w:val="nil"/>
                    <w:tr2bl w:val="nil"/>
                  </w:tcBorders>
                  <w:noWrap w:val="0"/>
                  <w:vAlign w:val="center"/>
                </w:tcPr>
                <w:p w14:paraId="79ABE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r>
          </w:tbl>
          <w:p w14:paraId="039F5261">
            <w:pPr>
              <w:spacing w:line="360" w:lineRule="auto"/>
              <w:ind w:firstLine="480"/>
              <w:rPr>
                <w:bCs/>
                <w:sz w:val="24"/>
                <w:szCs w:val="24"/>
                <w:highlight w:val="none"/>
              </w:rPr>
            </w:pPr>
            <w:r>
              <w:rPr>
                <w:rFonts w:hint="eastAsia" w:cs="Times New Roman"/>
                <w:color w:val="auto"/>
                <w:sz w:val="24"/>
                <w:szCs w:val="24"/>
                <w:highlight w:val="none"/>
                <w:lang w:eastAsia="zh-CN"/>
              </w:rPr>
              <w:t>（</w:t>
            </w:r>
            <w:r>
              <w:rPr>
                <w:rFonts w:hint="eastAsia" w:ascii="Times New Roman" w:hAnsi="Times New Roman" w:eastAsia="宋体" w:cs="Times New Roman"/>
                <w:kern w:val="2"/>
                <w:sz w:val="24"/>
                <w:szCs w:val="24"/>
                <w:highlight w:val="none"/>
                <w:lang w:val="en-US" w:eastAsia="zh-CN" w:bidi="ar-SA"/>
              </w:rPr>
              <w:t>2</w:t>
            </w:r>
            <w:r>
              <w:rPr>
                <w:rFonts w:hint="default" w:ascii="Times New Roman" w:hAnsi="Times New Roman" w:eastAsia="宋体" w:cs="Times New Roman"/>
                <w:kern w:val="2"/>
                <w:sz w:val="24"/>
                <w:szCs w:val="24"/>
                <w:highlight w:val="none"/>
                <w:lang w:val="en-US" w:eastAsia="zh-CN" w:bidi="ar-SA"/>
              </w:rPr>
              <w:t>）</w:t>
            </w:r>
            <w:bookmarkStart w:id="11" w:name="_Toc475519427"/>
            <w:bookmarkStart w:id="12" w:name="_Toc532635553"/>
            <w:bookmarkStart w:id="13" w:name="_Toc528348118"/>
            <w:bookmarkStart w:id="14" w:name="_Toc376960665"/>
            <w:bookmarkStart w:id="15" w:name="_Toc2850025"/>
            <w:r>
              <w:rPr>
                <w:bCs/>
                <w:sz w:val="24"/>
                <w:szCs w:val="24"/>
                <w:highlight w:val="none"/>
              </w:rPr>
              <w:t>生产系统危险性</w:t>
            </w:r>
            <w:bookmarkEnd w:id="11"/>
            <w:bookmarkEnd w:id="12"/>
            <w:bookmarkEnd w:id="13"/>
            <w:bookmarkEnd w:id="14"/>
            <w:r>
              <w:rPr>
                <w:bCs/>
                <w:sz w:val="24"/>
                <w:szCs w:val="24"/>
                <w:highlight w:val="none"/>
              </w:rPr>
              <w:t>识别</w:t>
            </w:r>
            <w:bookmarkEnd w:id="15"/>
          </w:p>
          <w:p w14:paraId="1C2281CC">
            <w:pPr>
              <w:spacing w:line="360" w:lineRule="auto"/>
              <w:ind w:firstLine="480"/>
              <w:rPr>
                <w:sz w:val="24"/>
                <w:szCs w:val="24"/>
                <w:highlight w:val="none"/>
              </w:rPr>
            </w:pPr>
            <w:r>
              <w:rPr>
                <w:sz w:val="24"/>
                <w:szCs w:val="24"/>
                <w:highlight w:val="none"/>
              </w:rPr>
              <w:t>本项目</w:t>
            </w:r>
            <w:r>
              <w:rPr>
                <w:rFonts w:hint="eastAsia"/>
                <w:sz w:val="24"/>
                <w:szCs w:val="24"/>
                <w:highlight w:val="none"/>
              </w:rPr>
              <w:t>以120万吨/年精细化学品示范项目油品</w:t>
            </w:r>
            <w:r>
              <w:rPr>
                <w:rFonts w:hint="eastAsia"/>
                <w:sz w:val="24"/>
                <w:szCs w:val="24"/>
                <w:highlight w:val="none"/>
                <w:lang w:val="en-US" w:eastAsia="zh-CN"/>
              </w:rPr>
              <w:t>的费托合成油</w:t>
            </w:r>
            <w:r>
              <w:rPr>
                <w:rFonts w:hint="eastAsia"/>
                <w:sz w:val="24"/>
                <w:szCs w:val="24"/>
                <w:highlight w:val="none"/>
              </w:rPr>
              <w:t>为原料，</w:t>
            </w:r>
            <w:r>
              <w:rPr>
                <w:rFonts w:hint="eastAsia"/>
                <w:sz w:val="24"/>
                <w:szCs w:val="24"/>
                <w:highlight w:val="none"/>
                <w:lang w:val="en-US" w:eastAsia="zh-CN"/>
              </w:rPr>
              <w:t>费托合成油中成分包含丁烯、丁烷、戊烯、戊烷、正己烷等危险物质</w:t>
            </w:r>
            <w:r>
              <w:rPr>
                <w:sz w:val="24"/>
                <w:szCs w:val="24"/>
                <w:highlight w:val="none"/>
              </w:rPr>
              <w:t>，一旦泄漏可能引发火灾、爆炸，并可能释放挥发性有机物（VOCs），</w:t>
            </w:r>
            <w:r>
              <w:rPr>
                <w:rFonts w:hint="eastAsia"/>
                <w:sz w:val="24"/>
                <w:szCs w:val="24"/>
                <w:highlight w:val="none"/>
                <w:lang w:eastAsia="zh-CN"/>
              </w:rPr>
              <w:t>在</w:t>
            </w:r>
            <w:r>
              <w:rPr>
                <w:sz w:val="24"/>
                <w:szCs w:val="24"/>
                <w:highlight w:val="none"/>
              </w:rPr>
              <w:t>高温高压条件下，设备腐蚀、密封失效或操作失误可能导致物料泄漏，污染土壤及地下水</w:t>
            </w:r>
            <w:r>
              <w:rPr>
                <w:rFonts w:hint="eastAsia"/>
                <w:sz w:val="24"/>
                <w:szCs w:val="24"/>
                <w:highlight w:val="none"/>
                <w:lang w:eastAsia="zh-CN"/>
              </w:rPr>
              <w:t>，</w:t>
            </w:r>
            <w:r>
              <w:rPr>
                <w:sz w:val="24"/>
                <w:szCs w:val="24"/>
                <w:highlight w:val="none"/>
              </w:rPr>
              <w:t>影响周边环境。</w:t>
            </w:r>
          </w:p>
          <w:p w14:paraId="24F1863A">
            <w:pPr>
              <w:spacing w:line="360" w:lineRule="auto"/>
              <w:ind w:firstLine="480"/>
              <w:rPr>
                <w:sz w:val="24"/>
                <w:szCs w:val="24"/>
                <w:highlight w:val="none"/>
              </w:rPr>
            </w:pPr>
            <w:r>
              <w:rPr>
                <w:sz w:val="24"/>
                <w:szCs w:val="24"/>
                <w:highlight w:val="none"/>
              </w:rPr>
              <w:t>本项目采用的工艺</w:t>
            </w:r>
            <w:r>
              <w:rPr>
                <w:rFonts w:hint="eastAsia"/>
                <w:sz w:val="24"/>
                <w:szCs w:val="24"/>
                <w:highlight w:val="none"/>
                <w:lang w:eastAsia="zh-CN"/>
              </w:rPr>
              <w:t>风险</w:t>
            </w:r>
            <w:r>
              <w:rPr>
                <w:sz w:val="24"/>
                <w:szCs w:val="24"/>
                <w:highlight w:val="none"/>
              </w:rPr>
              <w:t>特点有：</w:t>
            </w:r>
          </w:p>
          <w:p w14:paraId="69FC01D4">
            <w:pPr>
              <w:spacing w:line="360" w:lineRule="auto"/>
              <w:ind w:firstLine="480"/>
              <w:rPr>
                <w:rFonts w:hint="eastAsia" w:eastAsia="宋体"/>
                <w:sz w:val="24"/>
                <w:szCs w:val="24"/>
                <w:highlight w:val="none"/>
                <w:lang w:eastAsia="zh-CN"/>
              </w:rPr>
            </w:pPr>
            <w:r>
              <w:rPr>
                <w:rFonts w:hint="eastAsia" w:ascii="宋体" w:hAnsi="宋体" w:cs="宋体"/>
                <w:sz w:val="24"/>
                <w:szCs w:val="24"/>
                <w:highlight w:val="none"/>
              </w:rPr>
              <w:t>①</w:t>
            </w:r>
            <w:r>
              <w:rPr>
                <w:rFonts w:hint="eastAsia"/>
                <w:sz w:val="24"/>
                <w:szCs w:val="24"/>
                <w:highlight w:val="none"/>
                <w:lang w:val="en-US" w:eastAsia="zh-CN"/>
              </w:rPr>
              <w:t>费托合成油中的成分</w:t>
            </w:r>
            <w:r>
              <w:rPr>
                <w:rFonts w:ascii="Segoe UI" w:hAnsi="Segoe UI" w:eastAsia="Segoe UI" w:cs="Segoe UI"/>
                <w:i w:val="0"/>
                <w:iCs w:val="0"/>
                <w:caps w:val="0"/>
                <w:color w:val="000000"/>
                <w:spacing w:val="0"/>
                <w:sz w:val="24"/>
                <w:szCs w:val="24"/>
                <w:highlight w:val="none"/>
                <w:shd w:val="clear" w:fill="FFFFFF"/>
              </w:rPr>
              <w:t>均为</w:t>
            </w:r>
            <w:r>
              <w:rPr>
                <w:rStyle w:val="44"/>
                <w:rFonts w:hint="default" w:ascii="Segoe UI" w:hAnsi="Segoe UI" w:eastAsia="Segoe UI" w:cs="Segoe UI"/>
                <w:b w:val="0"/>
                <w:bCs w:val="0"/>
                <w:i w:val="0"/>
                <w:iCs w:val="0"/>
                <w:caps w:val="0"/>
                <w:color w:val="000000"/>
                <w:spacing w:val="0"/>
                <w:sz w:val="24"/>
                <w:szCs w:val="24"/>
                <w:highlight w:val="none"/>
                <w:shd w:val="clear" w:fill="FFFFFF"/>
              </w:rPr>
              <w:t>可燃物质</w:t>
            </w:r>
            <w:r>
              <w:rPr>
                <w:rFonts w:hint="default" w:ascii="Segoe UI" w:hAnsi="Segoe UI" w:eastAsia="Segoe UI" w:cs="Segoe UI"/>
                <w:i w:val="0"/>
                <w:iCs w:val="0"/>
                <w:caps w:val="0"/>
                <w:color w:val="000000"/>
                <w:spacing w:val="0"/>
                <w:sz w:val="24"/>
                <w:szCs w:val="24"/>
                <w:highlight w:val="none"/>
                <w:shd w:val="clear" w:fill="FFFFFF"/>
              </w:rPr>
              <w:t>，一旦泄漏可能引发火灾、爆炸，并可能释放挥发性有机物（VOCs），影响周边环境</w:t>
            </w:r>
            <w:r>
              <w:rPr>
                <w:sz w:val="24"/>
                <w:szCs w:val="24"/>
                <w:highlight w:val="none"/>
              </w:rPr>
              <w:t>；</w:t>
            </w:r>
            <w:r>
              <w:rPr>
                <w:rFonts w:ascii="Segoe UI" w:hAnsi="Segoe UI" w:eastAsia="Segoe UI" w:cs="Segoe UI"/>
                <w:i w:val="0"/>
                <w:iCs w:val="0"/>
                <w:caps w:val="0"/>
                <w:color w:val="000000"/>
                <w:spacing w:val="0"/>
                <w:sz w:val="24"/>
                <w:szCs w:val="24"/>
                <w:highlight w:val="none"/>
                <w:shd w:val="clear" w:fill="FFFFFF"/>
              </w:rPr>
              <w:t>高温高压条件下，设备腐蚀、密封失效或操作失误可能导致物料泄漏，污染土壤及地下水</w:t>
            </w:r>
            <w:r>
              <w:rPr>
                <w:rFonts w:hint="eastAsia" w:ascii="Segoe UI" w:hAnsi="Segoe UI" w:eastAsia="宋体" w:cs="Segoe UI"/>
                <w:i w:val="0"/>
                <w:iCs w:val="0"/>
                <w:caps w:val="0"/>
                <w:color w:val="000000"/>
                <w:spacing w:val="0"/>
                <w:sz w:val="24"/>
                <w:szCs w:val="24"/>
                <w:highlight w:val="none"/>
                <w:shd w:val="clear" w:fill="FFFFFF"/>
                <w:lang w:eastAsia="zh-CN"/>
              </w:rPr>
              <w:t>；</w:t>
            </w:r>
          </w:p>
          <w:p w14:paraId="126FB262">
            <w:pPr>
              <w:spacing w:line="360" w:lineRule="auto"/>
              <w:ind w:firstLine="480"/>
              <w:rPr>
                <w:rFonts w:hint="eastAsia" w:eastAsia="宋体"/>
                <w:sz w:val="24"/>
                <w:szCs w:val="24"/>
                <w:highlight w:val="none"/>
                <w:lang w:eastAsia="zh-CN"/>
              </w:rPr>
            </w:pPr>
            <w:r>
              <w:rPr>
                <w:rFonts w:hint="eastAsia" w:ascii="宋体" w:hAnsi="宋体" w:cs="宋体"/>
                <w:sz w:val="24"/>
                <w:szCs w:val="24"/>
                <w:highlight w:val="none"/>
              </w:rPr>
              <w:t>②</w:t>
            </w:r>
            <w:r>
              <w:rPr>
                <w:rFonts w:ascii="Segoe UI" w:hAnsi="Segoe UI" w:eastAsia="Segoe UI" w:cs="Segoe UI"/>
                <w:i w:val="0"/>
                <w:iCs w:val="0"/>
                <w:caps w:val="0"/>
                <w:color w:val="000000"/>
                <w:spacing w:val="0"/>
                <w:sz w:val="24"/>
                <w:szCs w:val="24"/>
                <w:highlight w:val="none"/>
                <w:shd w:val="clear" w:fill="FFFFFF"/>
              </w:rPr>
              <w:t>超温、原料含杂质或操作不当可能导致</w:t>
            </w:r>
            <w:r>
              <w:rPr>
                <w:rStyle w:val="44"/>
                <w:rFonts w:hint="default" w:ascii="Segoe UI" w:hAnsi="Segoe UI" w:eastAsia="Segoe UI" w:cs="Segoe UI"/>
                <w:b w:val="0"/>
                <w:bCs w:val="0"/>
                <w:i w:val="0"/>
                <w:iCs w:val="0"/>
                <w:caps w:val="0"/>
                <w:color w:val="000000"/>
                <w:spacing w:val="0"/>
                <w:sz w:val="24"/>
                <w:szCs w:val="24"/>
                <w:highlight w:val="none"/>
                <w:shd w:val="clear" w:fill="FFFFFF"/>
              </w:rPr>
              <w:t>炉管腐蚀穿孔</w:t>
            </w:r>
            <w:r>
              <w:rPr>
                <w:rFonts w:hint="default" w:ascii="Segoe UI" w:hAnsi="Segoe UI" w:eastAsia="Segoe UI" w:cs="Segoe UI"/>
                <w:i w:val="0"/>
                <w:iCs w:val="0"/>
                <w:caps w:val="0"/>
                <w:color w:val="000000"/>
                <w:spacing w:val="0"/>
                <w:sz w:val="24"/>
                <w:szCs w:val="24"/>
                <w:highlight w:val="none"/>
                <w:shd w:val="clear" w:fill="FFFFFF"/>
              </w:rPr>
              <w:t>，引发泄漏并可能引爆可燃气体</w:t>
            </w:r>
            <w:r>
              <w:rPr>
                <w:sz w:val="24"/>
                <w:szCs w:val="24"/>
                <w:highlight w:val="none"/>
              </w:rPr>
              <w:t>；</w:t>
            </w:r>
            <w:r>
              <w:rPr>
                <w:rFonts w:ascii="Segoe UI" w:hAnsi="Segoe UI" w:eastAsia="Segoe UI" w:cs="Segoe UI"/>
                <w:i w:val="0"/>
                <w:iCs w:val="0"/>
                <w:caps w:val="0"/>
                <w:color w:val="000000"/>
                <w:spacing w:val="0"/>
                <w:sz w:val="24"/>
                <w:szCs w:val="24"/>
                <w:highlight w:val="none"/>
                <w:shd w:val="clear" w:fill="FFFFFF"/>
              </w:rPr>
              <w:t>在减压蒸馏过程中，若系统泄压装置失效，可能造成内部超压，引发设备破裂或爆炸事故</w:t>
            </w:r>
            <w:r>
              <w:rPr>
                <w:rFonts w:hint="eastAsia" w:ascii="Segoe UI" w:hAnsi="Segoe UI" w:eastAsia="宋体" w:cs="Segoe UI"/>
                <w:i w:val="0"/>
                <w:iCs w:val="0"/>
                <w:caps w:val="0"/>
                <w:color w:val="000000"/>
                <w:spacing w:val="0"/>
                <w:sz w:val="24"/>
                <w:szCs w:val="24"/>
                <w:highlight w:val="none"/>
                <w:shd w:val="clear" w:fill="FFFFFF"/>
                <w:lang w:eastAsia="zh-CN"/>
              </w:rPr>
              <w:t>；</w:t>
            </w:r>
          </w:p>
          <w:p w14:paraId="57228706">
            <w:pPr>
              <w:spacing w:line="360" w:lineRule="auto"/>
              <w:ind w:firstLine="480"/>
              <w:rPr>
                <w:sz w:val="24"/>
                <w:szCs w:val="24"/>
                <w:highlight w:val="none"/>
              </w:rPr>
            </w:pPr>
            <w:r>
              <w:rPr>
                <w:rFonts w:hint="eastAsia" w:ascii="宋体" w:hAnsi="宋体" w:cs="宋体"/>
                <w:sz w:val="24"/>
                <w:szCs w:val="24"/>
                <w:highlight w:val="none"/>
              </w:rPr>
              <w:t>③</w:t>
            </w:r>
            <w:r>
              <w:rPr>
                <w:rFonts w:ascii="Segoe UI" w:hAnsi="Segoe UI" w:eastAsia="Segoe UI" w:cs="Segoe UI"/>
                <w:i w:val="0"/>
                <w:iCs w:val="0"/>
                <w:caps w:val="0"/>
                <w:color w:val="000000"/>
                <w:spacing w:val="0"/>
                <w:sz w:val="24"/>
                <w:szCs w:val="24"/>
                <w:highlight w:val="none"/>
                <w:shd w:val="clear" w:fill="FFFFFF"/>
              </w:rPr>
              <w:t>物料大量泄漏后遇明火引发连锁爆炸，影响装置及周边环境</w:t>
            </w:r>
            <w:r>
              <w:rPr>
                <w:sz w:val="24"/>
                <w:szCs w:val="24"/>
                <w:highlight w:val="none"/>
              </w:rPr>
              <w:t>；</w:t>
            </w:r>
          </w:p>
          <w:p w14:paraId="087FD7EE">
            <w:pPr>
              <w:spacing w:line="360" w:lineRule="auto"/>
              <w:ind w:firstLine="480"/>
              <w:rPr>
                <w:sz w:val="24"/>
                <w:szCs w:val="24"/>
                <w:highlight w:val="none"/>
              </w:rPr>
            </w:pPr>
            <w:r>
              <w:rPr>
                <w:rFonts w:hint="eastAsia" w:ascii="宋体" w:hAnsi="宋体" w:cs="宋体"/>
                <w:sz w:val="24"/>
                <w:szCs w:val="24"/>
                <w:highlight w:val="none"/>
              </w:rPr>
              <w:t>④</w:t>
            </w:r>
            <w:r>
              <w:rPr>
                <w:rFonts w:ascii="Segoe UI" w:hAnsi="Segoe UI" w:eastAsia="Segoe UI" w:cs="Segoe UI"/>
                <w:i w:val="0"/>
                <w:iCs w:val="0"/>
                <w:caps w:val="0"/>
                <w:color w:val="000000"/>
                <w:spacing w:val="0"/>
                <w:sz w:val="24"/>
                <w:szCs w:val="24"/>
                <w:highlight w:val="none"/>
                <w:shd w:val="clear" w:fill="FFFFFF"/>
              </w:rPr>
              <w:t>高温油品喷出</w:t>
            </w:r>
            <w:r>
              <w:rPr>
                <w:rFonts w:hint="eastAsia" w:ascii="Segoe UI" w:hAnsi="Segoe UI" w:eastAsia="宋体" w:cs="Segoe UI"/>
                <w:i w:val="0"/>
                <w:iCs w:val="0"/>
                <w:caps w:val="0"/>
                <w:color w:val="000000"/>
                <w:spacing w:val="0"/>
                <w:sz w:val="24"/>
                <w:szCs w:val="24"/>
                <w:highlight w:val="none"/>
                <w:shd w:val="clear" w:fill="FFFFFF"/>
                <w:lang w:eastAsia="zh-CN"/>
              </w:rPr>
              <w:t>会</w:t>
            </w:r>
            <w:r>
              <w:rPr>
                <w:rFonts w:ascii="Segoe UI" w:hAnsi="Segoe UI" w:eastAsia="Segoe UI" w:cs="Segoe UI"/>
                <w:i w:val="0"/>
                <w:iCs w:val="0"/>
                <w:caps w:val="0"/>
                <w:color w:val="000000"/>
                <w:spacing w:val="0"/>
                <w:sz w:val="24"/>
                <w:szCs w:val="24"/>
                <w:highlight w:val="none"/>
                <w:shd w:val="clear" w:fill="FFFFFF"/>
              </w:rPr>
              <w:t>引发火灾，并释放有毒烟气</w:t>
            </w:r>
            <w:r>
              <w:rPr>
                <w:sz w:val="24"/>
                <w:szCs w:val="24"/>
                <w:highlight w:val="none"/>
              </w:rPr>
              <w:t>。</w:t>
            </w:r>
          </w:p>
          <w:p w14:paraId="3FE3AFC3">
            <w:pPr>
              <w:spacing w:line="360" w:lineRule="auto"/>
              <w:ind w:firstLine="480"/>
              <w:rPr>
                <w:bCs/>
                <w:sz w:val="24"/>
                <w:szCs w:val="24"/>
                <w:highlight w:val="none"/>
              </w:rPr>
            </w:pPr>
            <w:r>
              <w:rPr>
                <w:rFonts w:hint="eastAsia"/>
                <w:sz w:val="24"/>
                <w:szCs w:val="24"/>
                <w:highlight w:val="none"/>
                <w:lang w:eastAsia="zh-CN"/>
              </w:rPr>
              <w:t>对</w:t>
            </w:r>
            <w:r>
              <w:rPr>
                <w:sz w:val="24"/>
                <w:szCs w:val="24"/>
                <w:highlight w:val="none"/>
              </w:rPr>
              <w:t>本项目生产装置及环保设施进行风险识别，见表</w:t>
            </w:r>
            <w:r>
              <w:rPr>
                <w:bCs/>
                <w:sz w:val="24"/>
                <w:szCs w:val="24"/>
                <w:highlight w:val="none"/>
              </w:rPr>
              <w:t>4-</w:t>
            </w:r>
            <w:r>
              <w:rPr>
                <w:rFonts w:hint="eastAsia"/>
                <w:bCs/>
                <w:sz w:val="24"/>
                <w:szCs w:val="24"/>
                <w:highlight w:val="none"/>
                <w:lang w:val="en-US" w:eastAsia="zh-CN"/>
              </w:rPr>
              <w:t>22</w:t>
            </w:r>
            <w:r>
              <w:rPr>
                <w:bCs/>
                <w:sz w:val="24"/>
                <w:szCs w:val="24"/>
                <w:highlight w:val="none"/>
              </w:rPr>
              <w:t>。</w:t>
            </w:r>
          </w:p>
          <w:p w14:paraId="0AFC97D6">
            <w:pPr>
              <w:spacing w:line="240" w:lineRule="auto"/>
              <w:jc w:val="center"/>
              <w:rPr>
                <w:bCs/>
                <w:sz w:val="24"/>
                <w:szCs w:val="24"/>
                <w:highlight w:val="none"/>
              </w:rPr>
            </w:pPr>
            <w:r>
              <w:rPr>
                <w:b/>
                <w:sz w:val="24"/>
                <w:szCs w:val="24"/>
                <w:highlight w:val="none"/>
              </w:rPr>
              <w:t>表4-</w:t>
            </w:r>
            <w:r>
              <w:rPr>
                <w:rFonts w:hint="eastAsia"/>
                <w:b/>
                <w:sz w:val="24"/>
                <w:szCs w:val="24"/>
                <w:highlight w:val="none"/>
                <w:lang w:val="en-US" w:eastAsia="zh-CN"/>
              </w:rPr>
              <w:t>22：</w:t>
            </w:r>
            <w:r>
              <w:rPr>
                <w:b/>
                <w:sz w:val="24"/>
                <w:szCs w:val="24"/>
                <w:highlight w:val="none"/>
              </w:rPr>
              <w:t>本项目主要生产装置风险识别表</w:t>
            </w:r>
          </w:p>
          <w:tbl>
            <w:tblPr>
              <w:tblStyle w:val="4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313"/>
              <w:gridCol w:w="1469"/>
              <w:gridCol w:w="1605"/>
              <w:gridCol w:w="1766"/>
              <w:gridCol w:w="1737"/>
            </w:tblGrid>
            <w:tr w14:paraId="00F22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2" w:type="pct"/>
                  <w:vMerge w:val="restart"/>
                  <w:noWrap w:val="0"/>
                  <w:vAlign w:val="center"/>
                </w:tcPr>
                <w:p w14:paraId="3E0CBEB2">
                  <w:pPr>
                    <w:spacing w:line="320" w:lineRule="exact"/>
                    <w:jc w:val="center"/>
                    <w:rPr>
                      <w:szCs w:val="21"/>
                      <w:highlight w:val="none"/>
                    </w:rPr>
                  </w:pPr>
                  <w:r>
                    <w:rPr>
                      <w:szCs w:val="21"/>
                      <w:highlight w:val="none"/>
                    </w:rPr>
                    <w:t>序号</w:t>
                  </w:r>
                </w:p>
              </w:tc>
              <w:tc>
                <w:tcPr>
                  <w:tcW w:w="773" w:type="pct"/>
                  <w:vMerge w:val="restart"/>
                  <w:noWrap w:val="0"/>
                  <w:vAlign w:val="center"/>
                </w:tcPr>
                <w:p w14:paraId="7699AEBC">
                  <w:pPr>
                    <w:spacing w:line="320" w:lineRule="exact"/>
                    <w:jc w:val="center"/>
                    <w:rPr>
                      <w:szCs w:val="21"/>
                      <w:highlight w:val="none"/>
                    </w:rPr>
                  </w:pPr>
                  <w:r>
                    <w:rPr>
                      <w:szCs w:val="21"/>
                      <w:highlight w:val="none"/>
                    </w:rPr>
                    <w:t>主要风险源</w:t>
                  </w:r>
                </w:p>
              </w:tc>
              <w:tc>
                <w:tcPr>
                  <w:tcW w:w="865" w:type="pct"/>
                  <w:vMerge w:val="restart"/>
                  <w:noWrap w:val="0"/>
                  <w:vAlign w:val="center"/>
                </w:tcPr>
                <w:p w14:paraId="7E37F05F">
                  <w:pPr>
                    <w:spacing w:line="320" w:lineRule="exact"/>
                    <w:jc w:val="center"/>
                    <w:rPr>
                      <w:szCs w:val="21"/>
                      <w:highlight w:val="none"/>
                    </w:rPr>
                  </w:pPr>
                  <w:r>
                    <w:rPr>
                      <w:szCs w:val="21"/>
                      <w:highlight w:val="none"/>
                    </w:rPr>
                    <w:t>主要危险物质</w:t>
                  </w:r>
                </w:p>
              </w:tc>
              <w:tc>
                <w:tcPr>
                  <w:tcW w:w="945" w:type="pct"/>
                  <w:vMerge w:val="restart"/>
                  <w:noWrap w:val="0"/>
                  <w:vAlign w:val="center"/>
                </w:tcPr>
                <w:p w14:paraId="73BC18D4">
                  <w:pPr>
                    <w:spacing w:line="320" w:lineRule="exact"/>
                    <w:jc w:val="center"/>
                    <w:rPr>
                      <w:szCs w:val="21"/>
                      <w:highlight w:val="none"/>
                    </w:rPr>
                  </w:pPr>
                  <w:r>
                    <w:rPr>
                      <w:szCs w:val="21"/>
                      <w:highlight w:val="none"/>
                    </w:rPr>
                    <w:t>环境风险类型</w:t>
                  </w:r>
                </w:p>
              </w:tc>
              <w:tc>
                <w:tcPr>
                  <w:tcW w:w="1040" w:type="pct"/>
                  <w:vMerge w:val="restart"/>
                  <w:noWrap w:val="0"/>
                  <w:vAlign w:val="center"/>
                </w:tcPr>
                <w:p w14:paraId="6E0B7E09">
                  <w:pPr>
                    <w:spacing w:line="320" w:lineRule="exact"/>
                    <w:jc w:val="center"/>
                    <w:rPr>
                      <w:szCs w:val="21"/>
                      <w:highlight w:val="none"/>
                    </w:rPr>
                  </w:pPr>
                  <w:r>
                    <w:rPr>
                      <w:szCs w:val="21"/>
                      <w:highlight w:val="none"/>
                    </w:rPr>
                    <w:t>环境影响途径</w:t>
                  </w:r>
                </w:p>
              </w:tc>
              <w:tc>
                <w:tcPr>
                  <w:tcW w:w="1023" w:type="pct"/>
                  <w:vMerge w:val="restart"/>
                  <w:noWrap w:val="0"/>
                  <w:vAlign w:val="center"/>
                </w:tcPr>
                <w:p w14:paraId="388923B2">
                  <w:pPr>
                    <w:spacing w:line="320" w:lineRule="exact"/>
                    <w:jc w:val="center"/>
                    <w:rPr>
                      <w:szCs w:val="21"/>
                      <w:highlight w:val="none"/>
                    </w:rPr>
                  </w:pPr>
                  <w:r>
                    <w:rPr>
                      <w:szCs w:val="21"/>
                      <w:highlight w:val="none"/>
                    </w:rPr>
                    <w:t>可能受影响的环境敏感目标</w:t>
                  </w:r>
                </w:p>
              </w:tc>
            </w:tr>
            <w:tr w14:paraId="1E5A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2" w:type="pct"/>
                  <w:vMerge w:val="continue"/>
                  <w:noWrap w:val="0"/>
                  <w:vAlign w:val="center"/>
                </w:tcPr>
                <w:p w14:paraId="4E941E8C">
                  <w:pPr>
                    <w:widowControl/>
                    <w:jc w:val="center"/>
                    <w:rPr>
                      <w:szCs w:val="21"/>
                      <w:highlight w:val="none"/>
                    </w:rPr>
                  </w:pPr>
                </w:p>
              </w:tc>
              <w:tc>
                <w:tcPr>
                  <w:tcW w:w="773" w:type="pct"/>
                  <w:vMerge w:val="continue"/>
                  <w:noWrap w:val="0"/>
                  <w:vAlign w:val="center"/>
                </w:tcPr>
                <w:p w14:paraId="25467D1A">
                  <w:pPr>
                    <w:widowControl/>
                    <w:jc w:val="center"/>
                    <w:rPr>
                      <w:szCs w:val="21"/>
                      <w:highlight w:val="none"/>
                    </w:rPr>
                  </w:pPr>
                </w:p>
              </w:tc>
              <w:tc>
                <w:tcPr>
                  <w:tcW w:w="865" w:type="pct"/>
                  <w:vMerge w:val="continue"/>
                  <w:noWrap w:val="0"/>
                  <w:vAlign w:val="center"/>
                </w:tcPr>
                <w:p w14:paraId="0C20219D">
                  <w:pPr>
                    <w:widowControl/>
                    <w:jc w:val="center"/>
                    <w:rPr>
                      <w:szCs w:val="21"/>
                      <w:highlight w:val="none"/>
                    </w:rPr>
                  </w:pPr>
                </w:p>
              </w:tc>
              <w:tc>
                <w:tcPr>
                  <w:tcW w:w="945" w:type="pct"/>
                  <w:vMerge w:val="continue"/>
                  <w:noWrap w:val="0"/>
                  <w:vAlign w:val="center"/>
                </w:tcPr>
                <w:p w14:paraId="2A4F57FB">
                  <w:pPr>
                    <w:widowControl/>
                    <w:jc w:val="center"/>
                    <w:rPr>
                      <w:szCs w:val="21"/>
                      <w:highlight w:val="none"/>
                    </w:rPr>
                  </w:pPr>
                </w:p>
              </w:tc>
              <w:tc>
                <w:tcPr>
                  <w:tcW w:w="1040" w:type="pct"/>
                  <w:vMerge w:val="continue"/>
                  <w:noWrap w:val="0"/>
                  <w:vAlign w:val="center"/>
                </w:tcPr>
                <w:p w14:paraId="03545B6A">
                  <w:pPr>
                    <w:widowControl/>
                    <w:jc w:val="center"/>
                    <w:rPr>
                      <w:szCs w:val="21"/>
                      <w:highlight w:val="none"/>
                    </w:rPr>
                  </w:pPr>
                </w:p>
              </w:tc>
              <w:tc>
                <w:tcPr>
                  <w:tcW w:w="1023" w:type="pct"/>
                  <w:vMerge w:val="continue"/>
                  <w:noWrap w:val="0"/>
                  <w:vAlign w:val="center"/>
                </w:tcPr>
                <w:p w14:paraId="452FB520">
                  <w:pPr>
                    <w:widowControl/>
                    <w:jc w:val="center"/>
                    <w:rPr>
                      <w:szCs w:val="21"/>
                      <w:highlight w:val="none"/>
                    </w:rPr>
                  </w:pPr>
                </w:p>
              </w:tc>
            </w:tr>
            <w:tr w14:paraId="0FC7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52" w:type="pct"/>
                  <w:noWrap w:val="0"/>
                  <w:vAlign w:val="center"/>
                </w:tcPr>
                <w:p w14:paraId="091581CA">
                  <w:pPr>
                    <w:widowControl/>
                    <w:jc w:val="center"/>
                    <w:rPr>
                      <w:rFonts w:hint="eastAsia" w:eastAsia="宋体"/>
                      <w:szCs w:val="21"/>
                      <w:highlight w:val="none"/>
                      <w:lang w:val="en-US" w:eastAsia="zh-CN"/>
                    </w:rPr>
                  </w:pPr>
                  <w:r>
                    <w:rPr>
                      <w:rFonts w:hint="eastAsia"/>
                      <w:szCs w:val="21"/>
                      <w:highlight w:val="none"/>
                      <w:lang w:val="en-US" w:eastAsia="zh-CN"/>
                    </w:rPr>
                    <w:t>1</w:t>
                  </w:r>
                </w:p>
              </w:tc>
              <w:tc>
                <w:tcPr>
                  <w:tcW w:w="773" w:type="pct"/>
                  <w:noWrap w:val="0"/>
                  <w:vAlign w:val="center"/>
                </w:tcPr>
                <w:p w14:paraId="2F09AF15">
                  <w:pPr>
                    <w:spacing w:line="320" w:lineRule="exact"/>
                    <w:jc w:val="center"/>
                    <w:rPr>
                      <w:rFonts w:hint="eastAsia" w:eastAsia="宋体"/>
                      <w:szCs w:val="21"/>
                      <w:highlight w:val="none"/>
                      <w:lang w:eastAsia="zh-CN"/>
                    </w:rPr>
                  </w:pPr>
                  <w:r>
                    <w:rPr>
                      <w:rFonts w:hint="eastAsia"/>
                      <w:szCs w:val="21"/>
                      <w:highlight w:val="none"/>
                      <w:lang w:val="en-US" w:eastAsia="zh-CN"/>
                    </w:rPr>
                    <w:t>管道泄漏</w:t>
                  </w:r>
                </w:p>
              </w:tc>
              <w:tc>
                <w:tcPr>
                  <w:tcW w:w="865" w:type="pct"/>
                  <w:vMerge w:val="restart"/>
                  <w:noWrap w:val="0"/>
                  <w:vAlign w:val="center"/>
                </w:tcPr>
                <w:p w14:paraId="5387373E">
                  <w:pPr>
                    <w:spacing w:line="320" w:lineRule="exact"/>
                    <w:jc w:val="center"/>
                    <w:rPr>
                      <w:rFonts w:hint="default"/>
                      <w:szCs w:val="21"/>
                      <w:highlight w:val="none"/>
                      <w:lang w:val="en-US"/>
                    </w:rPr>
                  </w:pPr>
                  <w:r>
                    <w:rPr>
                      <w:rFonts w:hint="eastAsia"/>
                      <w:szCs w:val="21"/>
                      <w:highlight w:val="none"/>
                      <w:lang w:val="en-US" w:eastAsia="zh-CN"/>
                    </w:rPr>
                    <w:t>费托合成油</w:t>
                  </w:r>
                </w:p>
              </w:tc>
              <w:tc>
                <w:tcPr>
                  <w:tcW w:w="945" w:type="pct"/>
                  <w:vMerge w:val="restart"/>
                  <w:noWrap w:val="0"/>
                  <w:vAlign w:val="center"/>
                </w:tcPr>
                <w:p w14:paraId="22F44B31">
                  <w:pPr>
                    <w:spacing w:line="320" w:lineRule="exact"/>
                    <w:jc w:val="center"/>
                    <w:rPr>
                      <w:szCs w:val="21"/>
                      <w:highlight w:val="none"/>
                    </w:rPr>
                  </w:pPr>
                  <w:r>
                    <w:rPr>
                      <w:rFonts w:hint="eastAsia"/>
                      <w:szCs w:val="21"/>
                      <w:highlight w:val="none"/>
                      <w:lang w:val="en-US" w:eastAsia="zh-CN"/>
                    </w:rPr>
                    <w:t>油类</w:t>
                  </w:r>
                  <w:r>
                    <w:rPr>
                      <w:szCs w:val="21"/>
                      <w:highlight w:val="none"/>
                    </w:rPr>
                    <w:t>泄漏</w:t>
                  </w:r>
                </w:p>
              </w:tc>
              <w:tc>
                <w:tcPr>
                  <w:tcW w:w="1040" w:type="pct"/>
                  <w:vMerge w:val="restart"/>
                  <w:noWrap w:val="0"/>
                  <w:vAlign w:val="center"/>
                </w:tcPr>
                <w:p w14:paraId="752A3CDF">
                  <w:pPr>
                    <w:spacing w:line="320" w:lineRule="exact"/>
                    <w:jc w:val="center"/>
                    <w:rPr>
                      <w:rFonts w:hint="default" w:eastAsia="宋体"/>
                      <w:szCs w:val="21"/>
                      <w:highlight w:val="none"/>
                      <w:lang w:val="en-US" w:eastAsia="zh-CN"/>
                    </w:rPr>
                  </w:pPr>
                  <w:r>
                    <w:rPr>
                      <w:szCs w:val="21"/>
                      <w:highlight w:val="none"/>
                    </w:rPr>
                    <w:t>大气</w:t>
                  </w:r>
                  <w:r>
                    <w:rPr>
                      <w:rFonts w:hint="eastAsia"/>
                      <w:szCs w:val="21"/>
                      <w:highlight w:val="none"/>
                      <w:lang w:eastAsia="zh-CN"/>
                    </w:rPr>
                    <w:t>、</w:t>
                  </w:r>
                  <w:r>
                    <w:rPr>
                      <w:rFonts w:hint="eastAsia"/>
                      <w:szCs w:val="21"/>
                      <w:highlight w:val="none"/>
                      <w:lang w:val="en-US" w:eastAsia="zh-CN"/>
                    </w:rPr>
                    <w:t>地下水、土壤</w:t>
                  </w:r>
                </w:p>
              </w:tc>
              <w:tc>
                <w:tcPr>
                  <w:tcW w:w="1023" w:type="pct"/>
                  <w:vMerge w:val="restart"/>
                  <w:noWrap w:val="0"/>
                  <w:vAlign w:val="center"/>
                </w:tcPr>
                <w:p w14:paraId="1FF97FBB">
                  <w:pPr>
                    <w:spacing w:line="320" w:lineRule="exact"/>
                    <w:jc w:val="center"/>
                    <w:rPr>
                      <w:szCs w:val="21"/>
                      <w:highlight w:val="none"/>
                    </w:rPr>
                  </w:pPr>
                  <w:r>
                    <w:rPr>
                      <w:szCs w:val="21"/>
                      <w:highlight w:val="none"/>
                    </w:rPr>
                    <w:t>周边村庄</w:t>
                  </w:r>
                </w:p>
              </w:tc>
            </w:tr>
            <w:tr w14:paraId="3DD1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49F8B4CE">
                  <w:pPr>
                    <w:widowControl/>
                    <w:jc w:val="center"/>
                    <w:rPr>
                      <w:rFonts w:hint="eastAsia" w:eastAsia="宋体"/>
                      <w:szCs w:val="21"/>
                      <w:highlight w:val="none"/>
                      <w:lang w:val="en-US" w:eastAsia="zh-CN"/>
                    </w:rPr>
                  </w:pPr>
                  <w:r>
                    <w:rPr>
                      <w:rFonts w:hint="eastAsia"/>
                      <w:szCs w:val="21"/>
                      <w:highlight w:val="none"/>
                      <w:lang w:val="en-US" w:eastAsia="zh-CN"/>
                    </w:rPr>
                    <w:t>2</w:t>
                  </w:r>
                </w:p>
              </w:tc>
              <w:tc>
                <w:tcPr>
                  <w:tcW w:w="773" w:type="pct"/>
                  <w:noWrap w:val="0"/>
                  <w:vAlign w:val="center"/>
                </w:tcPr>
                <w:p w14:paraId="7C0E7DED">
                  <w:pPr>
                    <w:spacing w:line="320" w:lineRule="exact"/>
                    <w:jc w:val="center"/>
                    <w:rPr>
                      <w:rFonts w:hint="default" w:eastAsia="宋体"/>
                      <w:szCs w:val="21"/>
                      <w:highlight w:val="none"/>
                      <w:lang w:val="en-US" w:eastAsia="zh-CN"/>
                    </w:rPr>
                  </w:pPr>
                  <w:r>
                    <w:rPr>
                      <w:rFonts w:hint="eastAsia"/>
                      <w:szCs w:val="21"/>
                      <w:highlight w:val="none"/>
                      <w:lang w:val="en-US" w:eastAsia="zh-CN"/>
                    </w:rPr>
                    <w:t>C5精馏塔</w:t>
                  </w:r>
                </w:p>
              </w:tc>
              <w:tc>
                <w:tcPr>
                  <w:tcW w:w="865" w:type="pct"/>
                  <w:vMerge w:val="continue"/>
                  <w:noWrap w:val="0"/>
                  <w:vAlign w:val="center"/>
                </w:tcPr>
                <w:p w14:paraId="28D89F71">
                  <w:pPr>
                    <w:spacing w:line="320" w:lineRule="exact"/>
                    <w:jc w:val="center"/>
                    <w:rPr>
                      <w:szCs w:val="21"/>
                      <w:highlight w:val="none"/>
                    </w:rPr>
                  </w:pPr>
                </w:p>
              </w:tc>
              <w:tc>
                <w:tcPr>
                  <w:tcW w:w="945" w:type="pct"/>
                  <w:vMerge w:val="continue"/>
                  <w:noWrap w:val="0"/>
                  <w:vAlign w:val="center"/>
                </w:tcPr>
                <w:p w14:paraId="11CABAE0">
                  <w:pPr>
                    <w:spacing w:line="320" w:lineRule="exact"/>
                    <w:jc w:val="center"/>
                    <w:rPr>
                      <w:szCs w:val="21"/>
                      <w:highlight w:val="none"/>
                    </w:rPr>
                  </w:pPr>
                </w:p>
              </w:tc>
              <w:tc>
                <w:tcPr>
                  <w:tcW w:w="1040" w:type="pct"/>
                  <w:vMerge w:val="continue"/>
                  <w:noWrap w:val="0"/>
                  <w:vAlign w:val="center"/>
                </w:tcPr>
                <w:p w14:paraId="4495BACF">
                  <w:pPr>
                    <w:spacing w:line="320" w:lineRule="exact"/>
                    <w:jc w:val="center"/>
                    <w:rPr>
                      <w:szCs w:val="21"/>
                      <w:highlight w:val="none"/>
                    </w:rPr>
                  </w:pPr>
                </w:p>
              </w:tc>
              <w:tc>
                <w:tcPr>
                  <w:tcW w:w="1023" w:type="pct"/>
                  <w:vMerge w:val="continue"/>
                  <w:noWrap w:val="0"/>
                  <w:vAlign w:val="center"/>
                </w:tcPr>
                <w:p w14:paraId="3FAFD9A3">
                  <w:pPr>
                    <w:spacing w:line="320" w:lineRule="exact"/>
                    <w:jc w:val="center"/>
                    <w:rPr>
                      <w:szCs w:val="21"/>
                      <w:highlight w:val="none"/>
                    </w:rPr>
                  </w:pPr>
                </w:p>
              </w:tc>
            </w:tr>
            <w:tr w14:paraId="769C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64D9B0EE">
                  <w:pPr>
                    <w:widowControl/>
                    <w:jc w:val="center"/>
                    <w:rPr>
                      <w:rFonts w:hint="eastAsia" w:eastAsia="宋体"/>
                      <w:szCs w:val="21"/>
                      <w:highlight w:val="none"/>
                      <w:lang w:val="en-US" w:eastAsia="zh-CN"/>
                    </w:rPr>
                  </w:pPr>
                  <w:r>
                    <w:rPr>
                      <w:rFonts w:hint="eastAsia"/>
                      <w:szCs w:val="21"/>
                      <w:highlight w:val="none"/>
                      <w:lang w:val="en-US" w:eastAsia="zh-CN"/>
                    </w:rPr>
                    <w:t>3</w:t>
                  </w:r>
                </w:p>
              </w:tc>
              <w:tc>
                <w:tcPr>
                  <w:tcW w:w="773" w:type="pct"/>
                  <w:noWrap w:val="0"/>
                  <w:vAlign w:val="center"/>
                </w:tcPr>
                <w:p w14:paraId="0DF406C2">
                  <w:pPr>
                    <w:spacing w:line="320" w:lineRule="exact"/>
                    <w:jc w:val="center"/>
                    <w:rPr>
                      <w:rFonts w:hint="eastAsia" w:eastAsia="宋体"/>
                      <w:szCs w:val="21"/>
                      <w:highlight w:val="none"/>
                      <w:lang w:val="en-US" w:eastAsia="zh-CN"/>
                    </w:rPr>
                  </w:pPr>
                  <w:r>
                    <w:rPr>
                      <w:rFonts w:hint="eastAsia"/>
                      <w:szCs w:val="21"/>
                      <w:highlight w:val="none"/>
                      <w:lang w:val="en-US" w:eastAsia="zh-CN"/>
                    </w:rPr>
                    <w:t>脱重塔</w:t>
                  </w:r>
                </w:p>
              </w:tc>
              <w:tc>
                <w:tcPr>
                  <w:tcW w:w="865" w:type="pct"/>
                  <w:vMerge w:val="continue"/>
                  <w:noWrap w:val="0"/>
                  <w:vAlign w:val="center"/>
                </w:tcPr>
                <w:p w14:paraId="50A1632E">
                  <w:pPr>
                    <w:spacing w:line="320" w:lineRule="exact"/>
                    <w:jc w:val="center"/>
                    <w:rPr>
                      <w:szCs w:val="21"/>
                      <w:highlight w:val="none"/>
                    </w:rPr>
                  </w:pPr>
                </w:p>
              </w:tc>
              <w:tc>
                <w:tcPr>
                  <w:tcW w:w="945" w:type="pct"/>
                  <w:vMerge w:val="continue"/>
                  <w:noWrap w:val="0"/>
                  <w:vAlign w:val="center"/>
                </w:tcPr>
                <w:p w14:paraId="6E78115D">
                  <w:pPr>
                    <w:spacing w:line="320" w:lineRule="exact"/>
                    <w:jc w:val="center"/>
                    <w:rPr>
                      <w:szCs w:val="21"/>
                      <w:highlight w:val="none"/>
                    </w:rPr>
                  </w:pPr>
                </w:p>
              </w:tc>
              <w:tc>
                <w:tcPr>
                  <w:tcW w:w="1040" w:type="pct"/>
                  <w:vMerge w:val="continue"/>
                  <w:noWrap w:val="0"/>
                  <w:vAlign w:val="center"/>
                </w:tcPr>
                <w:p w14:paraId="4D5C9E64">
                  <w:pPr>
                    <w:spacing w:line="320" w:lineRule="exact"/>
                    <w:jc w:val="center"/>
                    <w:rPr>
                      <w:szCs w:val="21"/>
                      <w:highlight w:val="none"/>
                    </w:rPr>
                  </w:pPr>
                </w:p>
              </w:tc>
              <w:tc>
                <w:tcPr>
                  <w:tcW w:w="1023" w:type="pct"/>
                  <w:vMerge w:val="continue"/>
                  <w:noWrap w:val="0"/>
                  <w:vAlign w:val="center"/>
                </w:tcPr>
                <w:p w14:paraId="57CBAAA8">
                  <w:pPr>
                    <w:spacing w:line="320" w:lineRule="exact"/>
                    <w:jc w:val="center"/>
                    <w:rPr>
                      <w:szCs w:val="21"/>
                      <w:highlight w:val="none"/>
                    </w:rPr>
                  </w:pPr>
                </w:p>
              </w:tc>
            </w:tr>
            <w:tr w14:paraId="7DA7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 w:type="pct"/>
                  <w:noWrap w:val="0"/>
                  <w:vAlign w:val="center"/>
                </w:tcPr>
                <w:p w14:paraId="6C29BE04">
                  <w:pPr>
                    <w:widowControl/>
                    <w:jc w:val="center"/>
                    <w:rPr>
                      <w:rFonts w:hint="eastAsia" w:eastAsia="宋体"/>
                      <w:szCs w:val="21"/>
                      <w:highlight w:val="none"/>
                      <w:lang w:val="en-US" w:eastAsia="zh-CN"/>
                    </w:rPr>
                  </w:pPr>
                  <w:r>
                    <w:rPr>
                      <w:rFonts w:hint="eastAsia"/>
                      <w:szCs w:val="21"/>
                      <w:highlight w:val="none"/>
                      <w:lang w:val="en-US" w:eastAsia="zh-CN"/>
                    </w:rPr>
                    <w:t>4</w:t>
                  </w:r>
                </w:p>
              </w:tc>
              <w:tc>
                <w:tcPr>
                  <w:tcW w:w="773" w:type="pct"/>
                  <w:noWrap w:val="0"/>
                  <w:vAlign w:val="center"/>
                </w:tcPr>
                <w:p w14:paraId="452AD2D5">
                  <w:pPr>
                    <w:spacing w:line="320" w:lineRule="exact"/>
                    <w:jc w:val="center"/>
                    <w:rPr>
                      <w:szCs w:val="21"/>
                      <w:highlight w:val="none"/>
                    </w:rPr>
                  </w:pPr>
                  <w:r>
                    <w:rPr>
                      <w:rFonts w:ascii="Segoe UI" w:hAnsi="Segoe UI" w:eastAsia="Segoe UI" w:cs="Segoe UI"/>
                      <w:i w:val="0"/>
                      <w:iCs w:val="0"/>
                      <w:caps w:val="0"/>
                      <w:color w:val="000000"/>
                      <w:spacing w:val="0"/>
                      <w:sz w:val="21"/>
                      <w:szCs w:val="21"/>
                      <w:highlight w:val="none"/>
                      <w:shd w:val="clear" w:fill="FFFFFF"/>
                    </w:rPr>
                    <w:t>机封泄漏</w:t>
                  </w:r>
                </w:p>
              </w:tc>
              <w:tc>
                <w:tcPr>
                  <w:tcW w:w="865" w:type="pct"/>
                  <w:vMerge w:val="continue"/>
                  <w:noWrap w:val="0"/>
                  <w:vAlign w:val="center"/>
                </w:tcPr>
                <w:p w14:paraId="1C8CCDB7">
                  <w:pPr>
                    <w:spacing w:line="320" w:lineRule="exact"/>
                    <w:jc w:val="center"/>
                    <w:rPr>
                      <w:szCs w:val="21"/>
                      <w:highlight w:val="none"/>
                    </w:rPr>
                  </w:pPr>
                </w:p>
              </w:tc>
              <w:tc>
                <w:tcPr>
                  <w:tcW w:w="945" w:type="pct"/>
                  <w:vMerge w:val="continue"/>
                  <w:noWrap w:val="0"/>
                  <w:vAlign w:val="center"/>
                </w:tcPr>
                <w:p w14:paraId="1CFE8701">
                  <w:pPr>
                    <w:spacing w:line="320" w:lineRule="exact"/>
                    <w:jc w:val="center"/>
                    <w:rPr>
                      <w:szCs w:val="21"/>
                      <w:highlight w:val="none"/>
                    </w:rPr>
                  </w:pPr>
                </w:p>
              </w:tc>
              <w:tc>
                <w:tcPr>
                  <w:tcW w:w="1040" w:type="pct"/>
                  <w:vMerge w:val="continue"/>
                  <w:noWrap w:val="0"/>
                  <w:vAlign w:val="center"/>
                </w:tcPr>
                <w:p w14:paraId="1CF93ED1">
                  <w:pPr>
                    <w:spacing w:line="320" w:lineRule="exact"/>
                    <w:jc w:val="center"/>
                    <w:rPr>
                      <w:szCs w:val="21"/>
                      <w:highlight w:val="none"/>
                    </w:rPr>
                  </w:pPr>
                </w:p>
              </w:tc>
              <w:tc>
                <w:tcPr>
                  <w:tcW w:w="1023" w:type="pct"/>
                  <w:vMerge w:val="continue"/>
                  <w:noWrap w:val="0"/>
                  <w:vAlign w:val="center"/>
                </w:tcPr>
                <w:p w14:paraId="088919C1">
                  <w:pPr>
                    <w:spacing w:line="320" w:lineRule="exact"/>
                    <w:jc w:val="center"/>
                    <w:rPr>
                      <w:szCs w:val="21"/>
                      <w:highlight w:val="none"/>
                    </w:rPr>
                  </w:pPr>
                </w:p>
              </w:tc>
            </w:tr>
          </w:tbl>
          <w:p w14:paraId="6B8ADBBD">
            <w:pPr>
              <w:spacing w:line="360" w:lineRule="auto"/>
              <w:ind w:firstLine="480"/>
              <w:rPr>
                <w:sz w:val="24"/>
                <w:szCs w:val="24"/>
                <w:highlight w:val="none"/>
              </w:rPr>
            </w:pPr>
            <w:r>
              <w:rPr>
                <w:sz w:val="24"/>
                <w:szCs w:val="24"/>
                <w:highlight w:val="none"/>
              </w:rPr>
              <w:t>（</w:t>
            </w:r>
            <w:r>
              <w:rPr>
                <w:rFonts w:hint="eastAsia"/>
                <w:sz w:val="24"/>
                <w:szCs w:val="24"/>
                <w:highlight w:val="none"/>
                <w:lang w:val="en-US" w:eastAsia="zh-CN"/>
              </w:rPr>
              <w:t>3</w:t>
            </w:r>
            <w:r>
              <w:rPr>
                <w:sz w:val="24"/>
                <w:szCs w:val="24"/>
                <w:highlight w:val="none"/>
              </w:rPr>
              <w:t>）事故伴生/次生污染分析</w:t>
            </w:r>
          </w:p>
          <w:p w14:paraId="18C5359E">
            <w:pPr>
              <w:spacing w:line="360" w:lineRule="auto"/>
              <w:ind w:firstLine="480"/>
              <w:rPr>
                <w:sz w:val="24"/>
                <w:szCs w:val="24"/>
                <w:highlight w:val="none"/>
              </w:rPr>
            </w:pPr>
            <w:r>
              <w:rPr>
                <w:sz w:val="24"/>
                <w:szCs w:val="24"/>
                <w:highlight w:val="none"/>
              </w:rPr>
              <w:t>在发生泄漏、火灾、爆炸事故处理过程中，会产生以下伴生/次生污染：各储罐、生产装置工程涉及的危险因素主要为储罐泄漏、管道泄漏、装置泄漏、超压、超温等引起的火灾和爆炸。事故处理过程的伴生/次生污染主要涉及消防水的收集、事故处理后的回收泄漏物等。</w:t>
            </w:r>
          </w:p>
          <w:p w14:paraId="27FDCA09">
            <w:pPr>
              <w:spacing w:line="360" w:lineRule="auto"/>
              <w:ind w:firstLine="480"/>
              <w:rPr>
                <w:sz w:val="24"/>
                <w:szCs w:val="24"/>
                <w:highlight w:val="none"/>
              </w:rPr>
            </w:pPr>
            <w:r>
              <w:rPr>
                <w:rFonts w:hint="eastAsia" w:ascii="宋体" w:hAnsi="宋体" w:cs="宋体"/>
                <w:sz w:val="24"/>
                <w:szCs w:val="24"/>
                <w:highlight w:val="none"/>
              </w:rPr>
              <w:t>①</w:t>
            </w:r>
            <w:r>
              <w:rPr>
                <w:sz w:val="24"/>
                <w:szCs w:val="24"/>
                <w:highlight w:val="none"/>
              </w:rPr>
              <w:t>消防污水</w:t>
            </w:r>
            <w:r>
              <w:rPr>
                <w:rFonts w:hint="eastAsia"/>
                <w:sz w:val="24"/>
                <w:szCs w:val="24"/>
                <w:highlight w:val="none"/>
                <w:lang w:eastAsia="zh-CN"/>
              </w:rPr>
              <w:t>：</w:t>
            </w:r>
            <w:r>
              <w:rPr>
                <w:sz w:val="24"/>
                <w:szCs w:val="24"/>
                <w:highlight w:val="none"/>
              </w:rPr>
              <w:t>消防产生的污水</w:t>
            </w:r>
            <w:r>
              <w:rPr>
                <w:rFonts w:hint="eastAsia"/>
                <w:sz w:val="24"/>
                <w:szCs w:val="24"/>
                <w:highlight w:val="none"/>
                <w:lang w:eastAsia="zh-CN"/>
              </w:rPr>
              <w:t>中</w:t>
            </w:r>
            <w:r>
              <w:rPr>
                <w:sz w:val="24"/>
                <w:szCs w:val="24"/>
                <w:highlight w:val="none"/>
              </w:rPr>
              <w:t>含有大量的有毒有害物质；</w:t>
            </w:r>
          </w:p>
          <w:p w14:paraId="7518693B">
            <w:pPr>
              <w:spacing w:line="360" w:lineRule="auto"/>
              <w:ind w:firstLine="480"/>
              <w:rPr>
                <w:sz w:val="24"/>
                <w:szCs w:val="24"/>
                <w:highlight w:val="none"/>
              </w:rPr>
            </w:pPr>
            <w:r>
              <w:rPr>
                <w:rFonts w:hint="eastAsia" w:ascii="宋体" w:hAnsi="宋体" w:cs="宋体"/>
                <w:sz w:val="24"/>
                <w:szCs w:val="24"/>
                <w:highlight w:val="none"/>
              </w:rPr>
              <w:t>②</w:t>
            </w:r>
            <w:r>
              <w:rPr>
                <w:sz w:val="24"/>
                <w:szCs w:val="24"/>
                <w:highlight w:val="none"/>
              </w:rPr>
              <w:t>液体废物料（事故处理后的回收泄漏物）和非甲烷烃类挥发</w:t>
            </w:r>
            <w:r>
              <w:rPr>
                <w:rFonts w:hint="eastAsia"/>
                <w:sz w:val="24"/>
                <w:szCs w:val="24"/>
                <w:highlight w:val="none"/>
                <w:lang w:eastAsia="zh-CN"/>
              </w:rPr>
              <w:t>物</w:t>
            </w:r>
            <w:r>
              <w:rPr>
                <w:sz w:val="24"/>
                <w:szCs w:val="24"/>
                <w:highlight w:val="none"/>
              </w:rPr>
              <w:t>；</w:t>
            </w:r>
          </w:p>
          <w:p w14:paraId="1D7A007A">
            <w:pPr>
              <w:spacing w:line="360" w:lineRule="auto"/>
              <w:ind w:firstLine="480"/>
              <w:rPr>
                <w:sz w:val="24"/>
                <w:szCs w:val="24"/>
                <w:highlight w:val="none"/>
              </w:rPr>
            </w:pPr>
            <w:r>
              <w:rPr>
                <w:rFonts w:hint="eastAsia" w:ascii="宋体" w:hAnsi="宋体" w:cs="宋体"/>
                <w:sz w:val="24"/>
                <w:szCs w:val="24"/>
                <w:highlight w:val="none"/>
              </w:rPr>
              <w:t>③</w:t>
            </w:r>
            <w:r>
              <w:rPr>
                <w:sz w:val="24"/>
                <w:szCs w:val="24"/>
                <w:highlight w:val="none"/>
              </w:rPr>
              <w:t>燃烧烟气，火灾爆炸时产生的CO和烟尘等有毒有害烟气。</w:t>
            </w:r>
          </w:p>
          <w:p w14:paraId="1C14DBF6">
            <w:pPr>
              <w:spacing w:line="360" w:lineRule="auto"/>
              <w:ind w:firstLine="480"/>
              <w:rPr>
                <w:sz w:val="24"/>
                <w:szCs w:val="24"/>
                <w:highlight w:val="none"/>
              </w:rPr>
            </w:pPr>
            <w:r>
              <w:rPr>
                <w:sz w:val="24"/>
                <w:szCs w:val="24"/>
                <w:highlight w:val="none"/>
              </w:rPr>
              <w:t>本项目建设运营后将建立健全环保设施和环境突发事件应急组织，并编制有应急预案，有训练有素的员工，企业有应对火灾、爆炸等突发环境事故的能力，将尽最大可能减少伴生/次生污染的产生。</w:t>
            </w:r>
          </w:p>
          <w:p w14:paraId="74F5E1E3">
            <w:pPr>
              <w:spacing w:line="360" w:lineRule="auto"/>
              <w:ind w:firstLine="480"/>
              <w:rPr>
                <w:sz w:val="24"/>
                <w:szCs w:val="24"/>
                <w:highlight w:val="none"/>
              </w:rPr>
            </w:pPr>
            <w:r>
              <w:rPr>
                <w:sz w:val="24"/>
                <w:szCs w:val="24"/>
                <w:highlight w:val="none"/>
              </w:rPr>
              <w:t>（</w:t>
            </w:r>
            <w:r>
              <w:rPr>
                <w:rFonts w:hint="eastAsia"/>
                <w:sz w:val="24"/>
                <w:szCs w:val="24"/>
                <w:highlight w:val="none"/>
                <w:lang w:val="en-US" w:eastAsia="zh-CN"/>
              </w:rPr>
              <w:t>4</w:t>
            </w:r>
            <w:r>
              <w:rPr>
                <w:sz w:val="24"/>
                <w:szCs w:val="24"/>
                <w:highlight w:val="none"/>
              </w:rPr>
              <w:t>）事故连锁效应分析</w:t>
            </w:r>
          </w:p>
          <w:p w14:paraId="14EACFB0">
            <w:pPr>
              <w:spacing w:line="360" w:lineRule="auto"/>
              <w:ind w:firstLine="480"/>
              <w:rPr>
                <w:sz w:val="24"/>
                <w:szCs w:val="24"/>
                <w:highlight w:val="none"/>
              </w:rPr>
            </w:pPr>
            <w:r>
              <w:rPr>
                <w:sz w:val="24"/>
                <w:szCs w:val="24"/>
                <w:highlight w:val="none"/>
              </w:rPr>
              <w:t>工程可能发生连锁效应类型多米诺效应指的是当一个工艺单元和设备发生事故时，会伴随其他工艺单元和设备的破坏，从而引发二次、三次事故甚至更加严重的事故，造成更大范围和更为严重的危害后果。通常认为可能产生</w:t>
            </w:r>
            <w:r>
              <w:rPr>
                <w:rFonts w:hint="eastAsia"/>
                <w:sz w:val="24"/>
                <w:szCs w:val="24"/>
                <w:highlight w:val="none"/>
                <w:lang w:eastAsia="zh-CN"/>
              </w:rPr>
              <w:t>“</w:t>
            </w:r>
            <w:r>
              <w:rPr>
                <w:sz w:val="24"/>
                <w:szCs w:val="24"/>
                <w:highlight w:val="none"/>
              </w:rPr>
              <w:t>多米诺</w:t>
            </w:r>
            <w:r>
              <w:rPr>
                <w:rFonts w:hint="eastAsia"/>
                <w:sz w:val="24"/>
                <w:szCs w:val="24"/>
                <w:highlight w:val="none"/>
                <w:lang w:eastAsia="zh-CN"/>
              </w:rPr>
              <w:t>”</w:t>
            </w:r>
            <w:r>
              <w:rPr>
                <w:sz w:val="24"/>
                <w:szCs w:val="24"/>
                <w:highlight w:val="none"/>
              </w:rPr>
              <w:t>效应的有：火灾、爆炸产生的冲击波和碎片抛射物、毒物泄漏及火灾爆炸。工艺单元和设备只有在爆炸产生的冲击波和碎片抛射物（或火灾火焰）的</w:t>
            </w:r>
            <w:r>
              <w:rPr>
                <w:rFonts w:hint="eastAsia"/>
                <w:sz w:val="24"/>
                <w:szCs w:val="24"/>
                <w:highlight w:val="none"/>
                <w:lang w:eastAsia="zh-CN"/>
              </w:rPr>
              <w:t>“</w:t>
            </w:r>
            <w:r>
              <w:rPr>
                <w:sz w:val="24"/>
                <w:szCs w:val="24"/>
                <w:highlight w:val="none"/>
              </w:rPr>
              <w:t>攻击范围</w:t>
            </w:r>
            <w:r>
              <w:rPr>
                <w:rFonts w:hint="eastAsia"/>
                <w:sz w:val="24"/>
                <w:szCs w:val="24"/>
                <w:highlight w:val="none"/>
                <w:lang w:eastAsia="zh-CN"/>
              </w:rPr>
              <w:t>”</w:t>
            </w:r>
            <w:r>
              <w:rPr>
                <w:sz w:val="24"/>
                <w:szCs w:val="24"/>
                <w:highlight w:val="none"/>
              </w:rPr>
              <w:t>内，并且冲击波和碎片抛射物（或火灾火焰）具有足够的能量能致使</w:t>
            </w:r>
            <w:r>
              <w:rPr>
                <w:rFonts w:hint="eastAsia"/>
                <w:sz w:val="24"/>
                <w:szCs w:val="24"/>
                <w:highlight w:val="none"/>
                <w:lang w:eastAsia="zh-CN"/>
              </w:rPr>
              <w:t>工艺</w:t>
            </w:r>
            <w:r>
              <w:rPr>
                <w:sz w:val="24"/>
                <w:szCs w:val="24"/>
                <w:highlight w:val="none"/>
              </w:rPr>
              <w:t>单元设备破坏，连锁事故才会发生。本项目环境风险评价不</w:t>
            </w:r>
            <w:r>
              <w:rPr>
                <w:rFonts w:hint="eastAsia"/>
                <w:sz w:val="24"/>
                <w:szCs w:val="24"/>
                <w:highlight w:val="none"/>
                <w:lang w:eastAsia="zh-CN"/>
              </w:rPr>
              <w:t>考虑</w:t>
            </w:r>
            <w:r>
              <w:rPr>
                <w:sz w:val="24"/>
                <w:szCs w:val="24"/>
                <w:highlight w:val="none"/>
              </w:rPr>
              <w:t>安全事故连锁效应导致的安全直接影响。</w:t>
            </w:r>
          </w:p>
          <w:p w14:paraId="5CB3832B">
            <w:pPr>
              <w:spacing w:line="360" w:lineRule="auto"/>
              <w:ind w:firstLine="480" w:firstLineChars="200"/>
              <w:rPr>
                <w:sz w:val="24"/>
                <w:szCs w:val="24"/>
                <w:highlight w:val="none"/>
              </w:rPr>
            </w:pPr>
            <w:r>
              <w:rPr>
                <w:rFonts w:hint="eastAsia"/>
                <w:sz w:val="24"/>
                <w:szCs w:val="24"/>
                <w:highlight w:val="none"/>
                <w:lang w:val="en-US" w:eastAsia="zh-CN"/>
              </w:rPr>
              <w:t>（5）</w:t>
            </w:r>
            <w:r>
              <w:rPr>
                <w:sz w:val="24"/>
                <w:szCs w:val="24"/>
                <w:highlight w:val="none"/>
              </w:rPr>
              <w:t>危险物质和风险源可能影响</w:t>
            </w:r>
            <w:r>
              <w:rPr>
                <w:rFonts w:hint="eastAsia"/>
                <w:sz w:val="24"/>
                <w:szCs w:val="24"/>
                <w:highlight w:val="none"/>
                <w:lang w:eastAsia="zh-CN"/>
              </w:rPr>
              <w:t>的</w:t>
            </w:r>
            <w:r>
              <w:rPr>
                <w:sz w:val="24"/>
                <w:szCs w:val="24"/>
                <w:highlight w:val="none"/>
              </w:rPr>
              <w:t>途径</w:t>
            </w:r>
          </w:p>
          <w:p w14:paraId="18855838">
            <w:pPr>
              <w:spacing w:line="360" w:lineRule="auto"/>
              <w:ind w:firstLine="482"/>
              <w:rPr>
                <w:sz w:val="24"/>
                <w:szCs w:val="24"/>
                <w:highlight w:val="none"/>
              </w:rPr>
            </w:pPr>
            <w:r>
              <w:rPr>
                <w:sz w:val="24"/>
                <w:szCs w:val="24"/>
                <w:highlight w:val="none"/>
              </w:rPr>
              <w:t>本项目环境风险类型主要为有毒有害危险物质泄漏对环境造成的直接污染，以及</w:t>
            </w:r>
            <w:r>
              <w:rPr>
                <w:rFonts w:hint="eastAsia"/>
                <w:sz w:val="24"/>
                <w:szCs w:val="24"/>
                <w:highlight w:val="none"/>
                <w:lang w:eastAsia="zh-CN"/>
              </w:rPr>
              <w:t>因</w:t>
            </w:r>
            <w:r>
              <w:rPr>
                <w:sz w:val="24"/>
                <w:szCs w:val="24"/>
                <w:highlight w:val="none"/>
              </w:rPr>
              <w:t>火灾、爆炸等事故引发的次生环境污染。</w:t>
            </w:r>
          </w:p>
          <w:p w14:paraId="45A44607">
            <w:pPr>
              <w:spacing w:line="360" w:lineRule="auto"/>
              <w:ind w:firstLine="482"/>
              <w:rPr>
                <w:sz w:val="24"/>
                <w:szCs w:val="24"/>
                <w:highlight w:val="none"/>
              </w:rPr>
            </w:pPr>
            <w:r>
              <w:rPr>
                <w:sz w:val="24"/>
                <w:szCs w:val="24"/>
                <w:highlight w:val="none"/>
              </w:rPr>
              <w:t>直接污染事故通常的起因是设备、管线、阀门或其</w:t>
            </w:r>
            <w:r>
              <w:rPr>
                <w:rFonts w:hint="eastAsia"/>
                <w:sz w:val="24"/>
                <w:szCs w:val="24"/>
                <w:highlight w:val="none"/>
                <w:lang w:eastAsia="zh-CN"/>
              </w:rPr>
              <w:t>他</w:t>
            </w:r>
            <w:r>
              <w:rPr>
                <w:sz w:val="24"/>
                <w:szCs w:val="24"/>
                <w:highlight w:val="none"/>
              </w:rPr>
              <w:t>设施出现故障或操作失误等，使有毒有害物质泄漏，弥散在空气中，对大气环境造成污染。可能受影响的环境敏感目标主要为评价范围内的村庄。</w:t>
            </w:r>
          </w:p>
          <w:p w14:paraId="11A6CD55">
            <w:pPr>
              <w:spacing w:line="360" w:lineRule="auto"/>
              <w:ind w:firstLine="482"/>
              <w:rPr>
                <w:sz w:val="24"/>
                <w:szCs w:val="24"/>
                <w:highlight w:val="none"/>
              </w:rPr>
            </w:pPr>
            <w:r>
              <w:rPr>
                <w:sz w:val="24"/>
                <w:szCs w:val="24"/>
                <w:highlight w:val="none"/>
              </w:rPr>
              <w:t>次生污染主要为可燃或易燃泄漏物遇点火源引发火灾事故，火灾产生的CO等有毒有害烟气对周围大气环境造成污染，可能影响评价范围内的村庄等敏感目标。另外，扑灭火灾或应急处置时产生的消防污水、伴随泄漏物料以及污染雨水若未采取控制措施或控制措施失效，出厂事故废水可能形成地表径流流入外界环境。若污染物深入土壤，将会对地下水环境造成污染。</w:t>
            </w:r>
          </w:p>
          <w:p w14:paraId="7E96A79D">
            <w:pPr>
              <w:spacing w:line="360" w:lineRule="auto"/>
              <w:ind w:firstLine="480" w:firstLineChars="200"/>
              <w:rPr>
                <w:sz w:val="24"/>
                <w:szCs w:val="24"/>
                <w:highlight w:val="none"/>
              </w:rPr>
            </w:pPr>
            <w:r>
              <w:rPr>
                <w:rFonts w:hint="eastAsia"/>
                <w:sz w:val="24"/>
                <w:szCs w:val="24"/>
                <w:highlight w:val="none"/>
                <w:lang w:val="en-US" w:eastAsia="zh-CN"/>
              </w:rPr>
              <w:t>6.6</w:t>
            </w:r>
            <w:r>
              <w:rPr>
                <w:sz w:val="24"/>
                <w:szCs w:val="24"/>
                <w:highlight w:val="none"/>
              </w:rPr>
              <w:t>环境风险防范措施</w:t>
            </w:r>
          </w:p>
          <w:p w14:paraId="5043803C">
            <w:pPr>
              <w:spacing w:line="360" w:lineRule="auto"/>
              <w:ind w:firstLine="480"/>
              <w:rPr>
                <w:sz w:val="24"/>
                <w:szCs w:val="24"/>
                <w:highlight w:val="none"/>
              </w:rPr>
            </w:pPr>
            <w:bookmarkStart w:id="16" w:name="_Toc495398980"/>
            <w:bookmarkStart w:id="17" w:name="_Toc2850046"/>
            <w:bookmarkStart w:id="18" w:name="_Toc452365350"/>
            <w:r>
              <w:rPr>
                <w:sz w:val="24"/>
                <w:szCs w:val="24"/>
                <w:highlight w:val="none"/>
              </w:rPr>
              <w:t>本项目执行内蒙古伊泰化工有限责任公司120万吨/年精细化学品示范项目风险防范措施。</w:t>
            </w:r>
          </w:p>
          <w:p w14:paraId="6BBF452E">
            <w:pPr>
              <w:spacing w:line="360" w:lineRule="auto"/>
              <w:ind w:firstLine="480"/>
              <w:rPr>
                <w:sz w:val="24"/>
                <w:szCs w:val="24"/>
                <w:highlight w:val="none"/>
              </w:rPr>
            </w:pPr>
            <w:r>
              <w:rPr>
                <w:sz w:val="24"/>
                <w:szCs w:val="24"/>
                <w:highlight w:val="none"/>
              </w:rPr>
              <w:t>内蒙古伊泰化工有限责任公司120万吨/年精细化学品示范项目已经建立完善的总图布置和建筑安全防范措施</w:t>
            </w:r>
            <w:bookmarkEnd w:id="16"/>
            <w:bookmarkEnd w:id="17"/>
            <w:bookmarkEnd w:id="18"/>
            <w:r>
              <w:rPr>
                <w:sz w:val="24"/>
                <w:szCs w:val="24"/>
                <w:highlight w:val="none"/>
              </w:rPr>
              <w:t>、</w:t>
            </w:r>
            <w:bookmarkStart w:id="19" w:name="_Toc2850047"/>
            <w:bookmarkStart w:id="20" w:name="_Toc495398981"/>
            <w:bookmarkStart w:id="21" w:name="_Toc452365351"/>
            <w:r>
              <w:rPr>
                <w:sz w:val="24"/>
                <w:szCs w:val="24"/>
                <w:highlight w:val="none"/>
              </w:rPr>
              <w:t>危险化学品贮运安全防范措施</w:t>
            </w:r>
            <w:bookmarkEnd w:id="19"/>
            <w:bookmarkEnd w:id="20"/>
            <w:bookmarkEnd w:id="21"/>
            <w:r>
              <w:rPr>
                <w:sz w:val="24"/>
                <w:szCs w:val="24"/>
                <w:highlight w:val="none"/>
              </w:rPr>
              <w:t>、</w:t>
            </w:r>
            <w:bookmarkStart w:id="22" w:name="_Toc2850048"/>
            <w:bookmarkStart w:id="23" w:name="_Toc452365352"/>
            <w:bookmarkStart w:id="24" w:name="_Toc495398982"/>
            <w:r>
              <w:rPr>
                <w:sz w:val="24"/>
                <w:szCs w:val="24"/>
                <w:highlight w:val="none"/>
              </w:rPr>
              <w:t>工艺技术设计安全防范措施</w:t>
            </w:r>
            <w:bookmarkEnd w:id="22"/>
            <w:bookmarkEnd w:id="23"/>
            <w:bookmarkEnd w:id="24"/>
            <w:r>
              <w:rPr>
                <w:sz w:val="24"/>
                <w:szCs w:val="24"/>
                <w:highlight w:val="none"/>
              </w:rPr>
              <w:t>、</w:t>
            </w:r>
            <w:bookmarkStart w:id="25" w:name="_Toc452365353"/>
            <w:bookmarkStart w:id="26" w:name="_Toc495398983"/>
            <w:bookmarkStart w:id="27" w:name="_Toc2850049"/>
            <w:r>
              <w:rPr>
                <w:sz w:val="24"/>
                <w:szCs w:val="24"/>
                <w:highlight w:val="none"/>
              </w:rPr>
              <w:t>自动控制设计</w:t>
            </w:r>
            <w:bookmarkEnd w:id="25"/>
            <w:bookmarkEnd w:id="26"/>
            <w:bookmarkEnd w:id="27"/>
            <w:r>
              <w:rPr>
                <w:sz w:val="24"/>
                <w:szCs w:val="24"/>
                <w:highlight w:val="none"/>
              </w:rPr>
              <w:t>、</w:t>
            </w:r>
            <w:bookmarkStart w:id="28" w:name="_Toc2850050"/>
            <w:bookmarkStart w:id="29" w:name="_Toc495398984"/>
            <w:bookmarkStart w:id="30" w:name="_Toc452365354"/>
            <w:r>
              <w:rPr>
                <w:sz w:val="24"/>
                <w:szCs w:val="24"/>
                <w:highlight w:val="none"/>
              </w:rPr>
              <w:t>电气及电讯安全防范措施</w:t>
            </w:r>
            <w:bookmarkEnd w:id="28"/>
            <w:bookmarkEnd w:id="29"/>
            <w:bookmarkEnd w:id="30"/>
            <w:r>
              <w:rPr>
                <w:sz w:val="24"/>
                <w:szCs w:val="24"/>
                <w:highlight w:val="none"/>
              </w:rPr>
              <w:t>、</w:t>
            </w:r>
            <w:bookmarkStart w:id="31" w:name="_Toc452365355"/>
            <w:bookmarkStart w:id="32" w:name="_Toc495398985"/>
            <w:bookmarkStart w:id="33" w:name="_Toc2850051"/>
            <w:r>
              <w:rPr>
                <w:sz w:val="24"/>
                <w:szCs w:val="24"/>
                <w:highlight w:val="none"/>
              </w:rPr>
              <w:t>消防及火灾报警系统</w:t>
            </w:r>
            <w:bookmarkEnd w:id="31"/>
            <w:bookmarkEnd w:id="32"/>
            <w:bookmarkEnd w:id="33"/>
            <w:bookmarkStart w:id="34" w:name="_Toc452365356"/>
            <w:bookmarkStart w:id="35" w:name="_Toc2850052"/>
            <w:bookmarkStart w:id="36" w:name="_Toc495398986"/>
            <w:r>
              <w:rPr>
                <w:sz w:val="24"/>
                <w:szCs w:val="24"/>
                <w:highlight w:val="none"/>
              </w:rPr>
              <w:t>、地下水风险防范措施，以及健全的安全环境管理制度</w:t>
            </w:r>
            <w:bookmarkEnd w:id="34"/>
            <w:bookmarkEnd w:id="35"/>
            <w:bookmarkEnd w:id="36"/>
            <w:r>
              <w:rPr>
                <w:sz w:val="24"/>
                <w:szCs w:val="24"/>
                <w:highlight w:val="none"/>
              </w:rPr>
              <w:t>和事故应急对策、危险物质的风险防控措施、有毒有害气体防护</w:t>
            </w:r>
            <w:r>
              <w:rPr>
                <w:rFonts w:hint="eastAsia"/>
                <w:sz w:val="24"/>
                <w:szCs w:val="24"/>
                <w:highlight w:val="none"/>
                <w:lang w:eastAsia="zh-CN"/>
              </w:rPr>
              <w:t>措施</w:t>
            </w:r>
            <w:r>
              <w:rPr>
                <w:sz w:val="24"/>
                <w:szCs w:val="24"/>
                <w:highlight w:val="none"/>
              </w:rPr>
              <w:t>。</w:t>
            </w:r>
          </w:p>
          <w:p w14:paraId="4E70EFB6">
            <w:pPr>
              <w:spacing w:line="360" w:lineRule="auto"/>
              <w:ind w:firstLine="480"/>
              <w:rPr>
                <w:rFonts w:hint="eastAsia" w:eastAsia="宋体"/>
                <w:sz w:val="24"/>
                <w:szCs w:val="24"/>
                <w:highlight w:val="none"/>
                <w:lang w:eastAsia="zh-CN"/>
              </w:rPr>
            </w:pPr>
            <w:bookmarkStart w:id="37" w:name="_Toc2850054"/>
            <w:r>
              <w:rPr>
                <w:sz w:val="24"/>
                <w:szCs w:val="24"/>
                <w:highlight w:val="none"/>
              </w:rPr>
              <w:t>内蒙古伊泰化工有限责任公司120万吨/年精细化学品示范项目已经建立事故废水三级防控措施</w:t>
            </w:r>
            <w:bookmarkEnd w:id="37"/>
            <w:r>
              <w:rPr>
                <w:sz w:val="24"/>
                <w:szCs w:val="24"/>
                <w:highlight w:val="none"/>
              </w:rPr>
              <w:t>，一级预防控制：在装置、罐区周围建设围堰、围堤以及罐区、装置区内建设的初期雨水收集池作为一级预防与控制体系，防止污染雨水和轻微事故泄漏造成的环境污染。装置围堰不低于150mm。二级预防控制：1座30000m</w:t>
            </w:r>
            <w:r>
              <w:rPr>
                <w:sz w:val="24"/>
                <w:szCs w:val="24"/>
                <w:highlight w:val="none"/>
                <w:vertAlign w:val="superscript"/>
              </w:rPr>
              <w:t>3</w:t>
            </w:r>
            <w:r>
              <w:rPr>
                <w:sz w:val="24"/>
                <w:szCs w:val="24"/>
                <w:highlight w:val="none"/>
              </w:rPr>
              <w:t>的消防事故水收集池，作为二级预防与控制体系。三级预防控制：在园区东北侧设置一座事故废水收集池，容积不小于2500m</w:t>
            </w:r>
            <w:r>
              <w:rPr>
                <w:sz w:val="24"/>
                <w:szCs w:val="24"/>
                <w:highlight w:val="none"/>
                <w:vertAlign w:val="superscript"/>
              </w:rPr>
              <w:t>3</w:t>
            </w:r>
            <w:r>
              <w:rPr>
                <w:sz w:val="24"/>
                <w:szCs w:val="24"/>
                <w:highlight w:val="none"/>
              </w:rPr>
              <w:t>。污染防治区首先设围堰，</w:t>
            </w:r>
            <w:r>
              <w:rPr>
                <w:rFonts w:hint="eastAsia"/>
                <w:sz w:val="24"/>
                <w:szCs w:val="24"/>
                <w:highlight w:val="none"/>
                <w:lang w:val="en-US" w:eastAsia="zh-CN"/>
              </w:rPr>
              <w:t>在减压塔和减压汽提塔底设置有12000mm（长）</w:t>
            </w:r>
            <w:r>
              <w:rPr>
                <w:rFonts w:hint="default"/>
                <w:sz w:val="24"/>
                <w:szCs w:val="24"/>
                <w:highlight w:val="none"/>
                <w:lang w:val="en-US" w:eastAsia="zh-CN"/>
              </w:rPr>
              <w:t>×</w:t>
            </w:r>
            <w:r>
              <w:rPr>
                <w:rFonts w:hint="eastAsia"/>
                <w:sz w:val="24"/>
                <w:szCs w:val="24"/>
                <w:highlight w:val="none"/>
                <w:lang w:val="en-US" w:eastAsia="zh-CN"/>
              </w:rPr>
              <w:t>6500mm（宽）</w:t>
            </w:r>
            <w:r>
              <w:rPr>
                <w:rFonts w:hint="default"/>
                <w:sz w:val="24"/>
                <w:szCs w:val="24"/>
                <w:highlight w:val="none"/>
                <w:lang w:val="en-US" w:eastAsia="zh-CN"/>
              </w:rPr>
              <w:t>×</w:t>
            </w:r>
            <w:r>
              <w:rPr>
                <w:rFonts w:hint="eastAsia"/>
                <w:sz w:val="24"/>
                <w:szCs w:val="24"/>
                <w:highlight w:val="none"/>
                <w:lang w:val="en-US" w:eastAsia="zh-CN"/>
              </w:rPr>
              <w:t>200mm（高）的围堰</w:t>
            </w:r>
            <w:r>
              <w:rPr>
                <w:rFonts w:hint="eastAsia"/>
                <w:sz w:val="24"/>
                <w:szCs w:val="24"/>
                <w:highlight w:val="none"/>
                <w:lang w:eastAsia="zh-CN"/>
              </w:rPr>
              <w:t>。</w:t>
            </w:r>
          </w:p>
          <w:p w14:paraId="4B6442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cs="Times New Roman"/>
                <w:b w:val="0"/>
                <w:bCs w:val="0"/>
                <w:color w:val="auto"/>
                <w:sz w:val="24"/>
                <w:szCs w:val="24"/>
                <w:highlight w:val="none"/>
                <w:lang w:val="en-US" w:eastAsia="zh-CN"/>
              </w:rPr>
              <w:t>对于</w:t>
            </w:r>
            <w:r>
              <w:rPr>
                <w:rFonts w:hint="eastAsia" w:cs="Times New Roman"/>
                <w:b w:val="0"/>
                <w:bCs w:val="0"/>
                <w:color w:val="auto"/>
                <w:sz w:val="24"/>
                <w:szCs w:val="24"/>
                <w:highlight w:val="none"/>
                <w:lang w:val="en-US" w:eastAsia="zh-CN"/>
              </w:rPr>
              <w:t>本</w:t>
            </w:r>
            <w:r>
              <w:rPr>
                <w:rFonts w:hint="default" w:ascii="Times New Roman" w:hAnsi="Times New Roman" w:cs="Times New Roman"/>
                <w:b w:val="0"/>
                <w:bCs w:val="0"/>
                <w:color w:val="auto"/>
                <w:sz w:val="24"/>
                <w:szCs w:val="24"/>
                <w:highlight w:val="none"/>
                <w:lang w:val="en-US" w:eastAsia="zh-CN"/>
              </w:rPr>
              <w:t>项目发生风险事故时，按《石化企业水体环境风险防控技术要求》</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（Q/SH0729-2018）规定的公式，计算</w:t>
            </w:r>
            <w:r>
              <w:rPr>
                <w:rFonts w:hint="eastAsia" w:cs="Times New Roman"/>
                <w:b w:val="0"/>
                <w:bCs w:val="0"/>
                <w:snapToGrid w:val="0"/>
                <w:color w:val="auto"/>
                <w:spacing w:val="0"/>
                <w:kern w:val="21"/>
                <w:sz w:val="24"/>
                <w:szCs w:val="24"/>
                <w:highlight w:val="none"/>
                <w:vertAlign w:val="baseline"/>
                <w:lang w:val="en-US" w:eastAsia="zh-CN"/>
              </w:rPr>
              <w:t>本项目的</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事故</w:t>
            </w:r>
            <w:r>
              <w:rPr>
                <w:rFonts w:hint="eastAsia" w:cs="Times New Roman"/>
                <w:b w:val="0"/>
                <w:bCs w:val="0"/>
                <w:snapToGrid w:val="0"/>
                <w:color w:val="auto"/>
                <w:spacing w:val="0"/>
                <w:kern w:val="21"/>
                <w:sz w:val="24"/>
                <w:szCs w:val="24"/>
                <w:highlight w:val="none"/>
                <w:vertAlign w:val="baseline"/>
                <w:lang w:val="en-US" w:eastAsia="zh-CN"/>
              </w:rPr>
              <w:t>废水</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容积：</w:t>
            </w:r>
          </w:p>
          <w:p w14:paraId="52405FE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总</w:t>
            </w: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1</w:t>
            </w: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2</w:t>
            </w: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3</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kern w:val="0"/>
                <w:sz w:val="24"/>
                <w:szCs w:val="24"/>
                <w:highlight w:val="none"/>
                <w:vertAlign w:val="subscript"/>
              </w:rPr>
              <w:t>max</w:t>
            </w: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4</w:t>
            </w: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5</w:t>
            </w:r>
          </w:p>
          <w:p w14:paraId="17E1E1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式中：V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总</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——事故排水储存设施的总有效容积，m</w:t>
            </w:r>
            <w:r>
              <w:rPr>
                <w:rFonts w:hint="default" w:ascii="Times New Roman" w:hAnsi="Times New Roman" w:eastAsia="宋体" w:cs="Times New Roman"/>
                <w:b w:val="0"/>
                <w:bCs w:val="0"/>
                <w:snapToGrid w:val="0"/>
                <w:color w:val="auto"/>
                <w:spacing w:val="0"/>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p>
          <w:p w14:paraId="459D51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bookmarkStart w:id="38" w:name="OLE_LINK104"/>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1</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2</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3</w:t>
            </w:r>
            <w:bookmarkEnd w:id="38"/>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max</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——对收集系统范围内不同装置分别计算（V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1</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2</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），取其中最大值（m</w:t>
            </w:r>
            <w:r>
              <w:rPr>
                <w:rFonts w:hint="default" w:ascii="Times New Roman" w:hAnsi="Times New Roman" w:eastAsia="宋体" w:cs="Times New Roman"/>
                <w:b w:val="0"/>
                <w:bCs w:val="0"/>
                <w:snapToGrid w:val="0"/>
                <w:color w:val="auto"/>
                <w:spacing w:val="0"/>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p>
          <w:p w14:paraId="34C001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1</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——收集系统范围内发生事故的一套装置的物料量，m</w:t>
            </w:r>
            <w:r>
              <w:rPr>
                <w:rFonts w:hint="default" w:ascii="Times New Roman" w:hAnsi="Times New Roman" w:eastAsia="宋体" w:cs="Times New Roman"/>
                <w:b w:val="0"/>
                <w:bCs w:val="0"/>
                <w:snapToGrid w:val="0"/>
                <w:color w:val="auto"/>
                <w:spacing w:val="0"/>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p>
          <w:p w14:paraId="7E50FF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2</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——发生事故的储罐或装置的消防水量，m</w:t>
            </w:r>
            <w:r>
              <w:rPr>
                <w:rFonts w:hint="default" w:ascii="Times New Roman" w:hAnsi="Times New Roman" w:eastAsia="宋体" w:cs="Times New Roman"/>
                <w:b w:val="0"/>
                <w:bCs w:val="0"/>
                <w:snapToGrid w:val="0"/>
                <w:color w:val="auto"/>
                <w:spacing w:val="0"/>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p>
          <w:p w14:paraId="5A44DC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——发生事故时可以储存、转运到其他设施的事故排水量，m</w:t>
            </w:r>
            <w:r>
              <w:rPr>
                <w:rFonts w:hint="default" w:ascii="Times New Roman" w:hAnsi="Times New Roman" w:eastAsia="宋体" w:cs="Times New Roman"/>
                <w:b w:val="0"/>
                <w:bCs w:val="0"/>
                <w:snapToGrid w:val="0"/>
                <w:color w:val="auto"/>
                <w:spacing w:val="0"/>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p>
          <w:p w14:paraId="3F04D1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4</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——发生事故时必须进入事故排水收集系统的生产废水量，m</w:t>
            </w:r>
            <w:r>
              <w:rPr>
                <w:rFonts w:hint="default" w:ascii="Times New Roman" w:hAnsi="Times New Roman" w:eastAsia="宋体" w:cs="Times New Roman"/>
                <w:b w:val="0"/>
                <w:bCs w:val="0"/>
                <w:snapToGrid w:val="0"/>
                <w:color w:val="auto"/>
                <w:spacing w:val="-6"/>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w:t>
            </w:r>
          </w:p>
          <w:p w14:paraId="0F03A2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5</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——发生事故时进入该收集系统的降雨量，m</w:t>
            </w:r>
            <w:r>
              <w:rPr>
                <w:rFonts w:hint="default" w:ascii="Times New Roman" w:hAnsi="Times New Roman" w:eastAsia="宋体" w:cs="Times New Roman"/>
                <w:b w:val="0"/>
                <w:bCs w:val="0"/>
                <w:snapToGrid w:val="0"/>
                <w:color w:val="auto"/>
                <w:spacing w:val="-6"/>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w:t>
            </w:r>
          </w:p>
          <w:p w14:paraId="19C0E5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①V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1</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w:t>
            </w:r>
            <w:r>
              <w:rPr>
                <w:rFonts w:hint="default" w:ascii="Times New Roman" w:hAnsi="Times New Roman" w:cs="Times New Roman"/>
                <w:color w:val="auto"/>
                <w:sz w:val="24"/>
                <w:szCs w:val="24"/>
                <w:highlight w:val="none"/>
                <w:lang w:eastAsia="zh-CN"/>
              </w:rPr>
              <w:t>本项目共设置有</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个储罐</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减压塔</w:t>
            </w:r>
            <w:r>
              <w:rPr>
                <w:rFonts w:hint="eastAsia" w:cs="Times New Roman"/>
                <w:color w:val="auto"/>
                <w:sz w:val="24"/>
                <w:szCs w:val="24"/>
                <w:highlight w:val="none"/>
                <w:lang w:val="en-US" w:eastAsia="zh-CN"/>
              </w:rPr>
              <w:t>的容积约为145</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eastAsia" w:cs="Times New Roman"/>
                <w:color w:val="auto"/>
                <w:sz w:val="24"/>
                <w:szCs w:val="24"/>
                <w:highlight w:val="none"/>
                <w:lang w:val="en-US" w:eastAsia="zh-CN"/>
              </w:rPr>
              <w:t>，减压</w:t>
            </w:r>
            <w:r>
              <w:rPr>
                <w:rFonts w:hint="default" w:ascii="Times New Roman" w:hAnsi="Times New Roman" w:cs="Times New Roman"/>
                <w:color w:val="auto"/>
                <w:sz w:val="24"/>
                <w:szCs w:val="24"/>
                <w:highlight w:val="none"/>
                <w:lang w:val="en-US" w:eastAsia="zh-CN"/>
              </w:rPr>
              <w:t>提</w:t>
            </w:r>
            <w:r>
              <w:rPr>
                <w:rFonts w:hint="eastAsia" w:cs="Times New Roman"/>
                <w:color w:val="auto"/>
                <w:sz w:val="24"/>
                <w:szCs w:val="24"/>
                <w:highlight w:val="none"/>
                <w:lang w:val="en-US" w:eastAsia="zh-CN"/>
              </w:rPr>
              <w:t>气</w:t>
            </w:r>
            <w:r>
              <w:rPr>
                <w:rFonts w:hint="default" w:ascii="Times New Roman" w:hAnsi="Times New Roman" w:cs="Times New Roman"/>
                <w:color w:val="auto"/>
                <w:sz w:val="24"/>
                <w:szCs w:val="24"/>
                <w:highlight w:val="none"/>
                <w:lang w:val="en-US" w:eastAsia="zh-CN"/>
              </w:rPr>
              <w:t>塔</w:t>
            </w:r>
            <w:r>
              <w:rPr>
                <w:rFonts w:hint="eastAsia" w:cs="Times New Roman"/>
                <w:color w:val="auto"/>
                <w:sz w:val="24"/>
                <w:szCs w:val="24"/>
                <w:highlight w:val="none"/>
                <w:lang w:val="en-US" w:eastAsia="zh-CN"/>
              </w:rPr>
              <w:t>的容积约为13</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，因此V</w:t>
            </w:r>
            <w:r>
              <w:rPr>
                <w:rFonts w:hint="default" w:ascii="Times New Roman" w:hAnsi="Times New Roman" w:cs="Times New Roman"/>
                <w:color w:val="auto"/>
                <w:sz w:val="24"/>
                <w:szCs w:val="24"/>
                <w:highlight w:val="none"/>
                <w:vertAlign w:val="subscript"/>
                <w:lang w:val="en-US" w:eastAsia="zh-CN"/>
              </w:rPr>
              <w:t>1</w:t>
            </w:r>
            <w:r>
              <w:rPr>
                <w:rFonts w:hint="default" w:ascii="Times New Roman" w:hAnsi="Times New Roman" w:cs="Times New Roman"/>
                <w:color w:val="auto"/>
                <w:sz w:val="24"/>
                <w:szCs w:val="24"/>
                <w:highlight w:val="none"/>
                <w:lang w:val="en-US" w:eastAsia="zh-CN"/>
              </w:rPr>
              <w:t>计算得</w:t>
            </w:r>
            <w:r>
              <w:rPr>
                <w:rFonts w:hint="eastAsia" w:cs="Times New Roman"/>
                <w:color w:val="auto"/>
                <w:sz w:val="24"/>
                <w:szCs w:val="24"/>
                <w:highlight w:val="none"/>
                <w:lang w:val="en-US" w:eastAsia="zh-CN"/>
              </w:rPr>
              <w:t>158</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m</w:t>
            </w:r>
            <w:r>
              <w:rPr>
                <w:rFonts w:hint="default" w:ascii="Times New Roman" w:hAnsi="Times New Roman" w:eastAsia="宋体" w:cs="Times New Roman"/>
                <w:b w:val="0"/>
                <w:bCs w:val="0"/>
                <w:snapToGrid w:val="0"/>
                <w:color w:val="auto"/>
                <w:spacing w:val="-6"/>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w:t>
            </w:r>
          </w:p>
          <w:p w14:paraId="58765D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②V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2</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：按建筑设计防火规范（GB50016-2014）的规定，消防用水量按25L/s，1小时来计算，则消防废水的产生量为90m</w:t>
            </w:r>
            <w:r>
              <w:rPr>
                <w:rFonts w:hint="default" w:ascii="Times New Roman" w:hAnsi="Times New Roman" w:eastAsia="宋体" w:cs="Times New Roman"/>
                <w:b w:val="0"/>
                <w:bCs w:val="0"/>
                <w:snapToGrid w:val="0"/>
                <w:color w:val="auto"/>
                <w:spacing w:val="-6"/>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w:t>
            </w:r>
          </w:p>
          <w:p w14:paraId="1E542F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③V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3</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：本项目不涉及发生事故时可以转运到其他设施的水量，</w:t>
            </w:r>
            <w:r>
              <w:rPr>
                <w:rFonts w:hint="eastAsia" w:cs="Times New Roman"/>
                <w:b w:val="0"/>
                <w:bCs w:val="0"/>
                <w:snapToGrid w:val="0"/>
                <w:color w:val="auto"/>
                <w:spacing w:val="-6"/>
                <w:kern w:val="21"/>
                <w:sz w:val="24"/>
                <w:szCs w:val="24"/>
                <w:highlight w:val="none"/>
                <w:vertAlign w:val="baseline"/>
                <w:lang w:val="en-US" w:eastAsia="zh-CN"/>
              </w:rPr>
              <w:t>不予</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考虑。</w:t>
            </w:r>
          </w:p>
          <w:p w14:paraId="776A1C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④V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4</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：本项目不涉及必须进入事故排水收集系统的生产废水</w:t>
            </w:r>
            <w:r>
              <w:rPr>
                <w:rFonts w:hint="eastAsia" w:cs="Times New Roman"/>
                <w:b w:val="0"/>
                <w:bCs w:val="0"/>
                <w:snapToGrid w:val="0"/>
                <w:color w:val="auto"/>
                <w:spacing w:val="-6"/>
                <w:kern w:val="21"/>
                <w:sz w:val="24"/>
                <w:szCs w:val="24"/>
                <w:highlight w:val="none"/>
                <w:vertAlign w:val="baseline"/>
                <w:lang w:val="en-US" w:eastAsia="zh-CN"/>
              </w:rPr>
              <w:t>，不予</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考虑。</w:t>
            </w:r>
          </w:p>
          <w:p w14:paraId="10BC77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56" w:firstLineChars="200"/>
              <w:jc w:val="left"/>
              <w:textAlignment w:val="auto"/>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⑤V</w:t>
            </w:r>
            <w:r>
              <w:rPr>
                <w:rFonts w:hint="default" w:ascii="Times New Roman" w:hAnsi="Times New Roman" w:eastAsia="宋体" w:cs="Times New Roman"/>
                <w:b w:val="0"/>
                <w:bCs w:val="0"/>
                <w:snapToGrid w:val="0"/>
                <w:color w:val="auto"/>
                <w:spacing w:val="-6"/>
                <w:kern w:val="21"/>
                <w:sz w:val="24"/>
                <w:szCs w:val="24"/>
                <w:highlight w:val="none"/>
                <w:vertAlign w:val="subscript"/>
                <w:lang w:val="en-US" w:eastAsia="zh-CN"/>
              </w:rPr>
              <w:t>5</w:t>
            </w:r>
            <w:r>
              <w:rPr>
                <w:rFonts w:hint="default" w:ascii="Times New Roman" w:hAnsi="Times New Roman" w:eastAsia="宋体" w:cs="Times New Roman"/>
                <w:b w:val="0"/>
                <w:bCs w:val="0"/>
                <w:snapToGrid w:val="0"/>
                <w:color w:val="auto"/>
                <w:spacing w:val="-6"/>
                <w:kern w:val="21"/>
                <w:sz w:val="24"/>
                <w:szCs w:val="24"/>
                <w:highlight w:val="none"/>
                <w:vertAlign w:val="baseline"/>
                <w:lang w:val="en-US" w:eastAsia="zh-CN"/>
              </w:rPr>
              <w:t>：发生事故时进入该收集系统的降雨量</w:t>
            </w:r>
            <w:r>
              <w:rPr>
                <w:rFonts w:hint="eastAsia" w:cs="Times New Roman"/>
                <w:b w:val="0"/>
                <w:bCs w:val="0"/>
                <w:snapToGrid w:val="0"/>
                <w:color w:val="auto"/>
                <w:spacing w:val="-6"/>
                <w:kern w:val="21"/>
                <w:sz w:val="24"/>
                <w:szCs w:val="24"/>
                <w:highlight w:val="none"/>
                <w:vertAlign w:val="baseline"/>
                <w:lang w:val="en-US" w:eastAsia="zh-CN"/>
              </w:rPr>
              <w:t>。</w:t>
            </w:r>
          </w:p>
          <w:p w14:paraId="7FEF94D2">
            <w:pPr>
              <w:keepNext w:val="0"/>
              <w:keepLines w:val="0"/>
              <w:pageBreakBefore w:val="0"/>
              <w:widowControl w:val="0"/>
              <w:kinsoku/>
              <w:wordWrap/>
              <w:overflowPunct/>
              <w:topLinePunct w:val="0"/>
              <w:autoSpaceDE/>
              <w:autoSpaceDN/>
              <w:bidi w:val="0"/>
              <w:adjustRightInd/>
              <w:snapToGrid/>
              <w:spacing w:line="360" w:lineRule="auto"/>
              <w:ind w:firstLine="482"/>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V</w:t>
            </w:r>
            <w:r>
              <w:rPr>
                <w:rFonts w:hint="default" w:ascii="Times New Roman" w:hAnsi="Times New Roman" w:cs="Times New Roman"/>
                <w:color w:val="auto"/>
                <w:kern w:val="0"/>
                <w:sz w:val="24"/>
                <w:szCs w:val="24"/>
                <w:highlight w:val="none"/>
                <w:vertAlign w:val="subscript"/>
              </w:rPr>
              <w:t>5</w:t>
            </w:r>
            <w:r>
              <w:rPr>
                <w:rFonts w:hint="default" w:ascii="Times New Roman" w:hAnsi="Times New Roman" w:cs="Times New Roman"/>
                <w:color w:val="auto"/>
                <w:kern w:val="0"/>
                <w:sz w:val="24"/>
                <w:szCs w:val="24"/>
                <w:highlight w:val="none"/>
              </w:rPr>
              <w:t>=10qF（3）</w:t>
            </w:r>
          </w:p>
          <w:p w14:paraId="0CF40C48">
            <w:pPr>
              <w:keepNext w:val="0"/>
              <w:keepLines w:val="0"/>
              <w:pageBreakBefore w:val="0"/>
              <w:widowControl w:val="0"/>
              <w:kinsoku/>
              <w:wordWrap/>
              <w:overflowPunct/>
              <w:topLinePunct w:val="0"/>
              <w:autoSpaceDE/>
              <w:autoSpaceDN/>
              <w:bidi w:val="0"/>
              <w:adjustRightInd/>
              <w:snapToGrid/>
              <w:spacing w:line="360" w:lineRule="auto"/>
              <w:ind w:firstLine="482"/>
              <w:jc w:val="center"/>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q=q</w:t>
            </w:r>
            <w:r>
              <w:rPr>
                <w:rFonts w:hint="default" w:ascii="Times New Roman" w:hAnsi="Times New Roman" w:cs="Times New Roman"/>
                <w:color w:val="auto"/>
                <w:kern w:val="0"/>
                <w:sz w:val="24"/>
                <w:szCs w:val="24"/>
                <w:highlight w:val="none"/>
                <w:vertAlign w:val="subscript"/>
              </w:rPr>
              <w:t>a</w:t>
            </w:r>
            <w:r>
              <w:rPr>
                <w:rFonts w:hint="default" w:ascii="Times New Roman" w:hAnsi="Times New Roman" w:cs="Times New Roman"/>
                <w:color w:val="auto"/>
                <w:kern w:val="0"/>
                <w:sz w:val="24"/>
                <w:szCs w:val="24"/>
                <w:highlight w:val="none"/>
              </w:rPr>
              <w:t>/n（4）</w:t>
            </w:r>
          </w:p>
          <w:p w14:paraId="4767897F">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式中：q—平均日降雨量，mm；</w:t>
            </w:r>
          </w:p>
          <w:p w14:paraId="32691594">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qa—年平均降雨量，mm</w:t>
            </w:r>
            <w:r>
              <w:rPr>
                <w:rFonts w:hint="default" w:ascii="Times New Roman" w:hAnsi="Times New Roman"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rPr>
              <w:t>本项目取</w:t>
            </w:r>
            <w:r>
              <w:rPr>
                <w:rFonts w:hint="default" w:ascii="Times New Roman" w:hAnsi="Times New Roman" w:cs="Times New Roman"/>
                <w:color w:val="auto"/>
                <w:kern w:val="0"/>
                <w:sz w:val="24"/>
                <w:szCs w:val="24"/>
                <w:highlight w:val="none"/>
                <w:lang w:eastAsia="zh-CN"/>
              </w:rPr>
              <w:t>项目所在地</w:t>
            </w:r>
            <w:r>
              <w:rPr>
                <w:rFonts w:hint="eastAsia" w:cs="Times New Roman"/>
                <w:color w:val="auto"/>
                <w:kern w:val="0"/>
                <w:sz w:val="24"/>
                <w:szCs w:val="24"/>
                <w:highlight w:val="none"/>
                <w:lang w:val="en-US" w:eastAsia="zh-CN"/>
              </w:rPr>
              <w:t>杭锦旗</w:t>
            </w:r>
            <w:r>
              <w:rPr>
                <w:rFonts w:hint="default" w:ascii="Times New Roman" w:hAnsi="Times New Roman" w:cs="Times New Roman"/>
                <w:color w:val="auto"/>
                <w:kern w:val="0"/>
                <w:sz w:val="24"/>
                <w:szCs w:val="24"/>
                <w:highlight w:val="none"/>
                <w:lang w:eastAsia="zh-CN"/>
              </w:rPr>
              <w:t>年均降水量为</w:t>
            </w:r>
            <w:r>
              <w:rPr>
                <w:rFonts w:hint="eastAsia" w:cs="Times New Roman"/>
                <w:color w:val="auto"/>
                <w:kern w:val="0"/>
                <w:sz w:val="24"/>
                <w:szCs w:val="24"/>
                <w:highlight w:val="none"/>
                <w:lang w:val="en-US" w:eastAsia="zh-CN"/>
              </w:rPr>
              <w:t>275.5</w:t>
            </w:r>
            <w:r>
              <w:rPr>
                <w:rFonts w:hint="default" w:ascii="Times New Roman" w:hAnsi="Times New Roman" w:cs="Times New Roman"/>
                <w:color w:val="auto"/>
                <w:kern w:val="0"/>
                <w:sz w:val="24"/>
                <w:szCs w:val="24"/>
                <w:highlight w:val="none"/>
                <w:lang w:eastAsia="zh-CN"/>
              </w:rPr>
              <w:t>mm</w:t>
            </w:r>
            <w:r>
              <w:rPr>
                <w:rFonts w:hint="default" w:ascii="Times New Roman" w:hAnsi="Times New Roman" w:cs="Times New Roman"/>
                <w:color w:val="auto"/>
                <w:kern w:val="0"/>
                <w:sz w:val="24"/>
                <w:szCs w:val="24"/>
                <w:highlight w:val="none"/>
              </w:rPr>
              <w:t>；</w:t>
            </w:r>
          </w:p>
          <w:p w14:paraId="1F2B7A7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n—年平均降雨日数，本项目所在地</w:t>
            </w:r>
            <w:r>
              <w:rPr>
                <w:rFonts w:hint="eastAsia" w:cs="Times New Roman"/>
                <w:color w:val="auto"/>
                <w:kern w:val="0"/>
                <w:sz w:val="24"/>
                <w:szCs w:val="24"/>
                <w:highlight w:val="none"/>
                <w:lang w:val="en-US" w:eastAsia="zh-CN"/>
              </w:rPr>
              <w:t>杭锦旗</w:t>
            </w:r>
            <w:r>
              <w:rPr>
                <w:rFonts w:hint="default" w:ascii="Times New Roman" w:hAnsi="Times New Roman" w:cs="Times New Roman"/>
                <w:color w:val="auto"/>
                <w:kern w:val="0"/>
                <w:sz w:val="24"/>
                <w:szCs w:val="24"/>
                <w:highlight w:val="none"/>
              </w:rPr>
              <w:t>取</w:t>
            </w:r>
            <w:r>
              <w:rPr>
                <w:rFonts w:hint="eastAsia" w:cs="Times New Roman"/>
                <w:color w:val="auto"/>
                <w:kern w:val="0"/>
                <w:sz w:val="24"/>
                <w:szCs w:val="24"/>
                <w:highlight w:val="none"/>
                <w:lang w:val="en-US" w:eastAsia="zh-CN"/>
              </w:rPr>
              <w:t>90</w:t>
            </w:r>
            <w:r>
              <w:rPr>
                <w:rFonts w:hint="default" w:ascii="Times New Roman" w:hAnsi="Times New Roman" w:cs="Times New Roman"/>
                <w:color w:val="auto"/>
                <w:kern w:val="0"/>
                <w:sz w:val="24"/>
                <w:szCs w:val="24"/>
                <w:highlight w:val="none"/>
              </w:rPr>
              <w:t>天；</w:t>
            </w:r>
          </w:p>
          <w:p w14:paraId="2C15BB58">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F—必须进入事故废水收集系统的雨水汇水面积，hm</w:t>
            </w:r>
            <w:r>
              <w:rPr>
                <w:rFonts w:hint="default" w:ascii="Times New Roman" w:hAnsi="Times New Roman" w:cs="Times New Roman"/>
                <w:color w:val="auto"/>
                <w:kern w:val="0"/>
                <w:sz w:val="24"/>
                <w:szCs w:val="24"/>
                <w:highlight w:val="none"/>
                <w:vertAlign w:val="superscript"/>
              </w:rPr>
              <w:t>2</w:t>
            </w:r>
            <w:r>
              <w:rPr>
                <w:rFonts w:hint="default" w:ascii="Times New Roman" w:hAnsi="Times New Roman" w:cs="Times New Roman"/>
                <w:color w:val="auto"/>
                <w:kern w:val="0"/>
                <w:sz w:val="24"/>
                <w:szCs w:val="24"/>
                <w:highlight w:val="none"/>
              </w:rPr>
              <w:t>，本项目雨水汇水面积保守按</w:t>
            </w:r>
            <w:r>
              <w:rPr>
                <w:rFonts w:hint="eastAsia" w:cs="Times New Roman"/>
                <w:color w:val="auto"/>
                <w:kern w:val="0"/>
                <w:sz w:val="24"/>
                <w:szCs w:val="24"/>
                <w:highlight w:val="none"/>
                <w:lang w:val="en-US" w:eastAsia="zh-CN"/>
              </w:rPr>
              <w:t>项目</w:t>
            </w:r>
            <w:r>
              <w:rPr>
                <w:rFonts w:hint="default" w:ascii="Times New Roman" w:hAnsi="Times New Roman" w:cs="Times New Roman"/>
                <w:color w:val="auto"/>
                <w:kern w:val="0"/>
                <w:sz w:val="24"/>
                <w:szCs w:val="24"/>
                <w:highlight w:val="none"/>
                <w:lang w:eastAsia="zh-CN"/>
              </w:rPr>
              <w:t>区</w:t>
            </w:r>
            <w:r>
              <w:rPr>
                <w:rFonts w:hint="default" w:ascii="Times New Roman" w:hAnsi="Times New Roman" w:cs="Times New Roman"/>
                <w:color w:val="auto"/>
                <w:kern w:val="0"/>
                <w:sz w:val="24"/>
                <w:szCs w:val="24"/>
                <w:highlight w:val="none"/>
              </w:rPr>
              <w:t>面积计为</w:t>
            </w:r>
            <w:r>
              <w:rPr>
                <w:rFonts w:hint="eastAsia" w:cs="Times New Roman"/>
                <w:color w:val="auto"/>
                <w:kern w:val="0"/>
                <w:sz w:val="24"/>
                <w:szCs w:val="24"/>
                <w:highlight w:val="none"/>
                <w:lang w:val="en-US" w:eastAsia="zh-CN"/>
              </w:rPr>
              <w:t>0.2</w:t>
            </w:r>
            <w:r>
              <w:rPr>
                <w:rFonts w:hint="default" w:ascii="Times New Roman" w:hAnsi="Times New Roman" w:cs="Times New Roman"/>
                <w:color w:val="auto"/>
                <w:kern w:val="0"/>
                <w:sz w:val="24"/>
                <w:szCs w:val="24"/>
                <w:highlight w:val="none"/>
              </w:rPr>
              <w:t>hm</w:t>
            </w:r>
            <w:r>
              <w:rPr>
                <w:rFonts w:hint="default" w:ascii="Times New Roman" w:hAnsi="Times New Roman" w:cs="Times New Roman"/>
                <w:color w:val="auto"/>
                <w:kern w:val="0"/>
                <w:sz w:val="24"/>
                <w:szCs w:val="24"/>
                <w:highlight w:val="none"/>
                <w:vertAlign w:val="superscript"/>
              </w:rPr>
              <w:t>2</w:t>
            </w:r>
            <w:r>
              <w:rPr>
                <w:rFonts w:hint="default" w:ascii="Times New Roman" w:hAnsi="Times New Roman" w:cs="Times New Roman"/>
                <w:color w:val="auto"/>
                <w:kern w:val="0"/>
                <w:sz w:val="24"/>
                <w:szCs w:val="24"/>
                <w:highlight w:val="none"/>
              </w:rPr>
              <w:t>；</w:t>
            </w:r>
          </w:p>
          <w:p w14:paraId="6931CE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pP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代入公式，计算得V</w:t>
            </w:r>
            <w:r>
              <w:rPr>
                <w:rFonts w:hint="default" w:ascii="Times New Roman" w:hAnsi="Times New Roman" w:eastAsia="宋体" w:cs="Times New Roman"/>
                <w:b w:val="0"/>
                <w:bCs w:val="0"/>
                <w:snapToGrid w:val="0"/>
                <w:color w:val="auto"/>
                <w:spacing w:val="0"/>
                <w:kern w:val="21"/>
                <w:sz w:val="24"/>
                <w:szCs w:val="24"/>
                <w:highlight w:val="none"/>
                <w:vertAlign w:val="subscript"/>
                <w:lang w:val="en-US" w:eastAsia="zh-CN"/>
              </w:rPr>
              <w:t>5</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为</w:t>
            </w:r>
            <w:r>
              <w:rPr>
                <w:rFonts w:hint="eastAsia" w:cs="Times New Roman"/>
                <w:b w:val="0"/>
                <w:bCs w:val="0"/>
                <w:snapToGrid w:val="0"/>
                <w:color w:val="auto"/>
                <w:spacing w:val="0"/>
                <w:kern w:val="21"/>
                <w:sz w:val="24"/>
                <w:szCs w:val="24"/>
                <w:highlight w:val="none"/>
                <w:vertAlign w:val="baseline"/>
                <w:lang w:val="en-US" w:eastAsia="zh-CN"/>
              </w:rPr>
              <w:t>6.12</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m</w:t>
            </w:r>
            <w:r>
              <w:rPr>
                <w:rFonts w:hint="default" w:ascii="Times New Roman" w:hAnsi="Times New Roman" w:eastAsia="宋体" w:cs="Times New Roman"/>
                <w:b w:val="0"/>
                <w:bCs w:val="0"/>
                <w:snapToGrid w:val="0"/>
                <w:color w:val="auto"/>
                <w:spacing w:val="0"/>
                <w:kern w:val="21"/>
                <w:sz w:val="24"/>
                <w:szCs w:val="24"/>
                <w:highlight w:val="none"/>
                <w:vertAlign w:val="superscript"/>
                <w:lang w:val="en-US" w:eastAsia="zh-CN"/>
              </w:rPr>
              <w:t>3</w:t>
            </w:r>
            <w:r>
              <w:rPr>
                <w:rFonts w:hint="default" w:ascii="Times New Roman" w:hAnsi="Times New Roman" w:eastAsia="宋体" w:cs="Times New Roman"/>
                <w:b w:val="0"/>
                <w:bCs w:val="0"/>
                <w:snapToGrid w:val="0"/>
                <w:color w:val="auto"/>
                <w:spacing w:val="0"/>
                <w:kern w:val="21"/>
                <w:sz w:val="24"/>
                <w:szCs w:val="24"/>
                <w:highlight w:val="none"/>
                <w:vertAlign w:val="baseline"/>
                <w:lang w:val="en-US" w:eastAsia="zh-CN"/>
              </w:rPr>
              <w:t>。</w:t>
            </w:r>
          </w:p>
          <w:p w14:paraId="1BAC3AF2">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则经核算，V总为</w:t>
            </w:r>
            <w:r>
              <w:rPr>
                <w:rFonts w:hint="eastAsia" w:cs="Times New Roman"/>
                <w:color w:val="auto"/>
                <w:kern w:val="0"/>
                <w:sz w:val="24"/>
                <w:szCs w:val="24"/>
                <w:highlight w:val="none"/>
                <w:lang w:val="en-US" w:eastAsia="zh-CN"/>
              </w:rPr>
              <w:t>254.12</w:t>
            </w:r>
            <w:r>
              <w:rPr>
                <w:rFonts w:hint="default" w:ascii="Times New Roman" w:hAnsi="Times New Roman" w:cs="Times New Roman"/>
                <w:color w:val="auto"/>
                <w:kern w:val="0"/>
                <w:sz w:val="24"/>
                <w:szCs w:val="24"/>
                <w:highlight w:val="none"/>
                <w:lang w:val="en-US" w:eastAsia="zh-CN"/>
              </w:rPr>
              <w:t>m</w:t>
            </w:r>
            <w:r>
              <w:rPr>
                <w:rFonts w:hint="default" w:ascii="Times New Roman" w:hAnsi="Times New Roman" w:cs="Times New Roman"/>
                <w:color w:val="auto"/>
                <w:kern w:val="0"/>
                <w:sz w:val="24"/>
                <w:szCs w:val="24"/>
                <w:highlight w:val="none"/>
                <w:vertAlign w:val="superscript"/>
                <w:lang w:val="en-US" w:eastAsia="zh-CN"/>
              </w:rPr>
              <w:t>3</w:t>
            </w:r>
            <w:r>
              <w:rPr>
                <w:rFonts w:hint="default" w:ascii="Times New Roman" w:hAnsi="Times New Roman" w:cs="Times New Roman"/>
                <w:color w:val="auto"/>
                <w:kern w:val="0"/>
                <w:sz w:val="24"/>
                <w:szCs w:val="24"/>
                <w:highlight w:val="none"/>
                <w:lang w:val="en-US" w:eastAsia="zh-CN"/>
              </w:rPr>
              <w:t>，本项目至少需</w:t>
            </w:r>
            <w:r>
              <w:rPr>
                <w:rFonts w:hint="eastAsia" w:cs="Times New Roman"/>
                <w:color w:val="auto"/>
                <w:kern w:val="0"/>
                <w:sz w:val="24"/>
                <w:szCs w:val="24"/>
                <w:highlight w:val="none"/>
                <w:lang w:val="en-US" w:eastAsia="zh-CN"/>
              </w:rPr>
              <w:t>255</w:t>
            </w:r>
            <w:r>
              <w:rPr>
                <w:rFonts w:hint="default" w:ascii="Times New Roman" w:hAnsi="Times New Roman" w:cs="Times New Roman"/>
                <w:color w:val="auto"/>
                <w:kern w:val="0"/>
                <w:sz w:val="24"/>
                <w:szCs w:val="24"/>
                <w:highlight w:val="none"/>
                <w:lang w:val="en-US" w:eastAsia="zh-CN"/>
              </w:rPr>
              <w:t>m</w:t>
            </w:r>
            <w:r>
              <w:rPr>
                <w:rFonts w:hint="default" w:ascii="Times New Roman" w:hAnsi="Times New Roman" w:cs="Times New Roman"/>
                <w:color w:val="auto"/>
                <w:kern w:val="0"/>
                <w:sz w:val="24"/>
                <w:szCs w:val="24"/>
                <w:highlight w:val="none"/>
                <w:vertAlign w:val="superscript"/>
                <w:lang w:val="en-US" w:eastAsia="zh-CN"/>
              </w:rPr>
              <w:t>3</w:t>
            </w:r>
            <w:r>
              <w:rPr>
                <w:rFonts w:hint="default" w:ascii="Times New Roman" w:hAnsi="Times New Roman" w:cs="Times New Roman"/>
                <w:color w:val="auto"/>
                <w:kern w:val="0"/>
                <w:sz w:val="24"/>
                <w:szCs w:val="24"/>
                <w:highlight w:val="none"/>
                <w:lang w:val="en-US" w:eastAsia="zh-CN"/>
              </w:rPr>
              <w:t>的事故水池</w:t>
            </w:r>
            <w:r>
              <w:rPr>
                <w:rFonts w:hint="eastAsia" w:cs="Times New Roman"/>
                <w:color w:val="auto"/>
                <w:kern w:val="0"/>
                <w:sz w:val="24"/>
                <w:szCs w:val="24"/>
                <w:highlight w:val="none"/>
                <w:lang w:val="en-US" w:eastAsia="zh-CN"/>
              </w:rPr>
              <w:t>容积</w:t>
            </w:r>
            <w:r>
              <w:rPr>
                <w:rFonts w:hint="default"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根据</w:t>
            </w:r>
            <w:r>
              <w:rPr>
                <w:sz w:val="24"/>
                <w:szCs w:val="24"/>
                <w:highlight w:val="none"/>
              </w:rPr>
              <w:t>二级预防控制</w:t>
            </w:r>
            <w:r>
              <w:rPr>
                <w:rFonts w:hint="eastAsia"/>
                <w:sz w:val="24"/>
                <w:szCs w:val="24"/>
                <w:highlight w:val="none"/>
                <w:lang w:eastAsia="zh-CN"/>
              </w:rPr>
              <w:t>，</w:t>
            </w:r>
            <w:r>
              <w:rPr>
                <w:rFonts w:hint="eastAsia"/>
                <w:sz w:val="24"/>
                <w:szCs w:val="24"/>
                <w:highlight w:val="none"/>
                <w:lang w:val="en-US" w:eastAsia="zh-CN"/>
              </w:rPr>
              <w:t>厂区内设置</w:t>
            </w:r>
            <w:r>
              <w:rPr>
                <w:sz w:val="24"/>
                <w:szCs w:val="24"/>
                <w:highlight w:val="none"/>
              </w:rPr>
              <w:t>1座30000m</w:t>
            </w:r>
            <w:r>
              <w:rPr>
                <w:sz w:val="24"/>
                <w:szCs w:val="24"/>
                <w:highlight w:val="none"/>
                <w:vertAlign w:val="superscript"/>
              </w:rPr>
              <w:t>3</w:t>
            </w:r>
            <w:r>
              <w:rPr>
                <w:sz w:val="24"/>
                <w:szCs w:val="24"/>
                <w:highlight w:val="none"/>
              </w:rPr>
              <w:t>的消防事故水收集池，作为二级预防与控制体系。三级预防控制：在园区东北侧设置一座事故废水收集池，容积不小于2500m</w:t>
            </w:r>
            <w:r>
              <w:rPr>
                <w:sz w:val="24"/>
                <w:szCs w:val="24"/>
                <w:highlight w:val="none"/>
                <w:vertAlign w:val="superscript"/>
              </w:rPr>
              <w:t>3</w:t>
            </w:r>
            <w:r>
              <w:rPr>
                <w:rFonts w:hint="default"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因此完全满足本项目的需求</w:t>
            </w:r>
            <w:r>
              <w:rPr>
                <w:rFonts w:hint="default" w:ascii="Times New Roman" w:hAnsi="Times New Roman" w:cs="Times New Roman"/>
                <w:color w:val="auto"/>
                <w:kern w:val="0"/>
                <w:sz w:val="24"/>
                <w:szCs w:val="24"/>
                <w:highlight w:val="none"/>
                <w:lang w:val="en-US" w:eastAsia="zh-CN"/>
              </w:rPr>
              <w:t>。</w:t>
            </w:r>
          </w:p>
          <w:p w14:paraId="32BD2ABD">
            <w:pPr>
              <w:keepNext w:val="0"/>
              <w:keepLines w:val="0"/>
              <w:pageBreakBefore w:val="0"/>
              <w:widowControl w:val="0"/>
              <w:kinsoku/>
              <w:wordWrap/>
              <w:overflowPunct/>
              <w:topLinePunct w:val="0"/>
              <w:autoSpaceDE/>
              <w:autoSpaceDN/>
              <w:bidi w:val="0"/>
              <w:adjustRightInd/>
              <w:snapToGrid/>
              <w:spacing w:line="360" w:lineRule="auto"/>
              <w:ind w:firstLine="482"/>
              <w:textAlignment w:val="auto"/>
              <w:rPr>
                <w:sz w:val="24"/>
                <w:szCs w:val="24"/>
                <w:highlight w:val="none"/>
              </w:rPr>
            </w:pPr>
            <w:r>
              <w:rPr>
                <w:rFonts w:hint="default" w:ascii="Times New Roman" w:hAnsi="Times New Roman" w:cs="Times New Roman"/>
                <w:color w:val="auto"/>
                <w:kern w:val="0"/>
                <w:sz w:val="24"/>
                <w:szCs w:val="24"/>
                <w:highlight w:val="none"/>
              </w:rPr>
              <w:t>内蒙古伊泰化工有限责任公司120万吨/年精细化学品示范项目已经建立起</w:t>
            </w:r>
            <w:r>
              <w:rPr>
                <w:rFonts w:hint="eastAsia" w:cs="Times New Roman"/>
                <w:color w:val="auto"/>
                <w:kern w:val="0"/>
                <w:sz w:val="24"/>
                <w:szCs w:val="24"/>
                <w:highlight w:val="none"/>
                <w:lang w:eastAsia="zh-CN"/>
              </w:rPr>
              <w:t>了“</w:t>
            </w:r>
            <w:r>
              <w:rPr>
                <w:rFonts w:hint="default" w:ascii="Times New Roman" w:hAnsi="Times New Roman" w:cs="Times New Roman"/>
                <w:color w:val="auto"/>
                <w:kern w:val="0"/>
                <w:sz w:val="24"/>
                <w:szCs w:val="24"/>
                <w:highlight w:val="none"/>
              </w:rPr>
              <w:t>单元——厂区——工业园区</w:t>
            </w:r>
            <w:r>
              <w:rPr>
                <w:rFonts w:hint="eastAsia" w:cs="Times New Roman"/>
                <w:color w:val="auto"/>
                <w:kern w:val="0"/>
                <w:sz w:val="24"/>
                <w:szCs w:val="24"/>
                <w:highlight w:val="none"/>
                <w:lang w:eastAsia="zh-CN"/>
              </w:rPr>
              <w:t>”</w:t>
            </w:r>
            <w:r>
              <w:rPr>
                <w:rFonts w:hint="default" w:ascii="Times New Roman" w:hAnsi="Times New Roman" w:cs="Times New Roman"/>
                <w:color w:val="auto"/>
                <w:kern w:val="0"/>
                <w:sz w:val="24"/>
                <w:szCs w:val="24"/>
                <w:highlight w:val="none"/>
              </w:rPr>
              <w:t>的环境风险防控体系，设置事故废水收集（以非动力自流方式）和应急储存设施，以满足事故状态下收集泄漏物料、污染消防水和污染雨水的需要，防止事故废水进</w:t>
            </w:r>
            <w:r>
              <w:rPr>
                <w:sz w:val="24"/>
                <w:szCs w:val="24"/>
                <w:highlight w:val="none"/>
              </w:rPr>
              <w:t>入外环境的控制、封堵系统。确保发生事故时，事故消防等污水不会进一步扩大</w:t>
            </w:r>
            <w:r>
              <w:rPr>
                <w:rFonts w:hint="eastAsia"/>
                <w:sz w:val="24"/>
                <w:szCs w:val="24"/>
                <w:highlight w:val="none"/>
                <w:lang w:eastAsia="zh-CN"/>
              </w:rPr>
              <w:t>，</w:t>
            </w:r>
            <w:r>
              <w:rPr>
                <w:rFonts w:hint="eastAsia"/>
                <w:sz w:val="24"/>
                <w:szCs w:val="24"/>
                <w:highlight w:val="none"/>
                <w:lang w:val="en-US" w:eastAsia="zh-CN"/>
              </w:rPr>
              <w:t>从而</w:t>
            </w:r>
            <w:r>
              <w:rPr>
                <w:sz w:val="24"/>
                <w:szCs w:val="24"/>
                <w:highlight w:val="none"/>
              </w:rPr>
              <w:t>影响工业园区外部的地表水环境。</w:t>
            </w:r>
          </w:p>
          <w:p w14:paraId="5410DBD0">
            <w:pPr>
              <w:spacing w:line="360" w:lineRule="auto"/>
              <w:ind w:firstLine="480" w:firstLineChars="200"/>
              <w:rPr>
                <w:sz w:val="24"/>
                <w:szCs w:val="24"/>
                <w:highlight w:val="none"/>
              </w:rPr>
            </w:pPr>
            <w:r>
              <w:rPr>
                <w:rFonts w:hint="eastAsia"/>
                <w:sz w:val="24"/>
                <w:szCs w:val="24"/>
                <w:highlight w:val="none"/>
                <w:lang w:val="en-US" w:eastAsia="zh-CN"/>
              </w:rPr>
              <w:t>6.7</w:t>
            </w:r>
            <w:r>
              <w:rPr>
                <w:sz w:val="24"/>
                <w:szCs w:val="24"/>
                <w:highlight w:val="none"/>
              </w:rPr>
              <w:t>环境风险评价结论</w:t>
            </w:r>
          </w:p>
          <w:p w14:paraId="5A3C7DB0">
            <w:pPr>
              <w:spacing w:line="360" w:lineRule="auto"/>
              <w:ind w:firstLine="480"/>
              <w:rPr>
                <w:sz w:val="24"/>
                <w:szCs w:val="24"/>
                <w:highlight w:val="none"/>
              </w:rPr>
            </w:pPr>
            <w:r>
              <w:rPr>
                <w:sz w:val="24"/>
                <w:szCs w:val="24"/>
                <w:highlight w:val="none"/>
              </w:rPr>
              <w:t>在落实各项环保措施</w:t>
            </w:r>
            <w:r>
              <w:rPr>
                <w:rFonts w:hint="eastAsia"/>
                <w:sz w:val="24"/>
                <w:szCs w:val="24"/>
                <w:highlight w:val="none"/>
                <w:lang w:eastAsia="zh-CN"/>
              </w:rPr>
              <w:t>和</w:t>
            </w:r>
            <w:r>
              <w:rPr>
                <w:sz w:val="24"/>
                <w:szCs w:val="24"/>
                <w:highlight w:val="none"/>
              </w:rPr>
              <w:t>环境风险防范措施、建立有效的突发环境事件应急预案、加强风险管理的条件下，本项目技改后的环境风险是可防控的。</w:t>
            </w:r>
          </w:p>
          <w:p w14:paraId="194639E5">
            <w:pPr>
              <w:spacing w:line="240" w:lineRule="auto"/>
              <w:jc w:val="center"/>
              <w:rPr>
                <w:rFonts w:ascii="Times New Roman" w:hAnsi="Times New Roman" w:eastAsia="宋体" w:cs="Times New Roman"/>
                <w:b/>
                <w:sz w:val="24"/>
                <w:szCs w:val="24"/>
                <w:highlight w:val="none"/>
              </w:rPr>
            </w:pPr>
            <w:r>
              <w:rPr>
                <w:rFonts w:ascii="Times New Roman" w:hAnsi="Times New Roman" w:eastAsia="宋体" w:cs="Times New Roman"/>
                <w:b/>
                <w:sz w:val="24"/>
                <w:szCs w:val="24"/>
                <w:highlight w:val="none"/>
              </w:rPr>
              <w:t>表4-</w:t>
            </w:r>
            <w:r>
              <w:rPr>
                <w:rFonts w:hint="eastAsia" w:ascii="Times New Roman" w:hAnsi="Times New Roman" w:cs="Times New Roman"/>
                <w:b/>
                <w:sz w:val="24"/>
                <w:szCs w:val="24"/>
                <w:highlight w:val="none"/>
                <w:lang w:val="en-US" w:eastAsia="zh-CN"/>
              </w:rPr>
              <w:t>2</w:t>
            </w:r>
            <w:r>
              <w:rPr>
                <w:rFonts w:hint="eastAsia" w:cs="Times New Roman"/>
                <w:b/>
                <w:sz w:val="24"/>
                <w:szCs w:val="24"/>
                <w:highlight w:val="none"/>
                <w:lang w:val="en-US" w:eastAsia="zh-CN"/>
              </w:rPr>
              <w:t>3：</w:t>
            </w:r>
            <w:r>
              <w:rPr>
                <w:rFonts w:ascii="Times New Roman" w:hAnsi="Times New Roman" w:eastAsia="宋体" w:cs="Times New Roman"/>
                <w:b/>
                <w:sz w:val="24"/>
                <w:szCs w:val="24"/>
                <w:highlight w:val="none"/>
              </w:rPr>
              <w:t>建设项目环境风险简单分析内容表</w:t>
            </w:r>
          </w:p>
          <w:tbl>
            <w:tblPr>
              <w:tblStyle w:val="4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60"/>
              <w:gridCol w:w="1147"/>
              <w:gridCol w:w="1694"/>
              <w:gridCol w:w="1436"/>
              <w:gridCol w:w="2148"/>
            </w:tblGrid>
            <w:tr w14:paraId="63C1D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05E5D1B3">
                  <w:pPr>
                    <w:pStyle w:val="398"/>
                    <w:rPr>
                      <w:color w:val="000000"/>
                      <w:highlight w:val="none"/>
                      <w:lang w:val="zh-CN"/>
                    </w:rPr>
                  </w:pPr>
                  <w:r>
                    <w:rPr>
                      <w:color w:val="000000"/>
                      <w:highlight w:val="none"/>
                      <w:lang w:val="zh-CN"/>
                    </w:rPr>
                    <w:t>建设项目名称</w:t>
                  </w:r>
                </w:p>
              </w:tc>
              <w:tc>
                <w:tcPr>
                  <w:tcW w:w="3785" w:type="pct"/>
                  <w:gridSpan w:val="4"/>
                  <w:tcBorders>
                    <w:tl2br w:val="nil"/>
                    <w:tr2bl w:val="nil"/>
                  </w:tcBorders>
                  <w:noWrap w:val="0"/>
                  <w:vAlign w:val="center"/>
                </w:tcPr>
                <w:p w14:paraId="3067B294">
                  <w:pPr>
                    <w:pStyle w:val="398"/>
                    <w:rPr>
                      <w:color w:val="000000"/>
                      <w:highlight w:val="none"/>
                      <w:lang w:val="zh-CN"/>
                    </w:rPr>
                  </w:pPr>
                  <w:r>
                    <w:rPr>
                      <w:rFonts w:hint="eastAsia"/>
                      <w:szCs w:val="21"/>
                      <w:highlight w:val="none"/>
                      <w:lang w:eastAsia="zh-CN"/>
                    </w:rPr>
                    <w:t>内蒙古伊泰化工有限责任公司费托</w:t>
                  </w:r>
                  <w:r>
                    <w:rPr>
                      <w:rFonts w:hint="eastAsia"/>
                      <w:szCs w:val="21"/>
                      <w:highlight w:val="none"/>
                      <w:lang w:val="en-US" w:eastAsia="zh-CN"/>
                    </w:rPr>
                    <w:t>油水技改</w:t>
                  </w:r>
                  <w:r>
                    <w:rPr>
                      <w:rFonts w:hint="eastAsia"/>
                      <w:szCs w:val="21"/>
                      <w:highlight w:val="none"/>
                      <w:lang w:eastAsia="zh-CN"/>
                    </w:rPr>
                    <w:t>项目</w:t>
                  </w:r>
                </w:p>
              </w:tc>
            </w:tr>
            <w:tr w14:paraId="6726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36363871">
                  <w:pPr>
                    <w:pStyle w:val="398"/>
                    <w:rPr>
                      <w:color w:val="000000"/>
                      <w:highlight w:val="none"/>
                      <w:lang w:val="zh-CN"/>
                    </w:rPr>
                  </w:pPr>
                  <w:r>
                    <w:rPr>
                      <w:color w:val="000000"/>
                      <w:highlight w:val="none"/>
                      <w:lang w:val="zh-CN"/>
                    </w:rPr>
                    <w:t>建设地点</w:t>
                  </w:r>
                </w:p>
              </w:tc>
              <w:tc>
                <w:tcPr>
                  <w:tcW w:w="3785" w:type="pct"/>
                  <w:gridSpan w:val="4"/>
                  <w:tcBorders>
                    <w:tl2br w:val="nil"/>
                    <w:tr2bl w:val="nil"/>
                  </w:tcBorders>
                  <w:noWrap w:val="0"/>
                  <w:vAlign w:val="center"/>
                </w:tcPr>
                <w:p w14:paraId="0C471B0F">
                  <w:pPr>
                    <w:pStyle w:val="398"/>
                    <w:rPr>
                      <w:color w:val="000000"/>
                      <w:highlight w:val="none"/>
                      <w:lang w:val="zh-CN"/>
                    </w:rPr>
                  </w:pPr>
                  <w:r>
                    <w:rPr>
                      <w:rFonts w:hint="eastAsia"/>
                      <w:szCs w:val="21"/>
                      <w:highlight w:val="none"/>
                    </w:rPr>
                    <w:t>内蒙古鄂尔多斯杭锦经济开发区独贵塔拉产业园南项目区</w:t>
                  </w:r>
                </w:p>
              </w:tc>
            </w:tr>
            <w:tr w14:paraId="4A93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29CCFEEC">
                  <w:pPr>
                    <w:pStyle w:val="398"/>
                    <w:rPr>
                      <w:color w:val="000000"/>
                      <w:highlight w:val="none"/>
                      <w:lang w:val="zh-CN"/>
                    </w:rPr>
                  </w:pPr>
                  <w:r>
                    <w:rPr>
                      <w:color w:val="000000"/>
                      <w:highlight w:val="none"/>
                      <w:lang w:val="zh-CN"/>
                    </w:rPr>
                    <w:t>地理坐标</w:t>
                  </w:r>
                </w:p>
              </w:tc>
              <w:tc>
                <w:tcPr>
                  <w:tcW w:w="676" w:type="pct"/>
                  <w:tcBorders>
                    <w:tl2br w:val="nil"/>
                    <w:tr2bl w:val="nil"/>
                  </w:tcBorders>
                  <w:noWrap w:val="0"/>
                  <w:vAlign w:val="center"/>
                </w:tcPr>
                <w:p w14:paraId="291F05BC">
                  <w:pPr>
                    <w:pStyle w:val="398"/>
                    <w:rPr>
                      <w:color w:val="000000"/>
                      <w:highlight w:val="none"/>
                      <w:lang w:val="zh-CN"/>
                    </w:rPr>
                  </w:pPr>
                  <w:r>
                    <w:rPr>
                      <w:color w:val="000000"/>
                      <w:highlight w:val="none"/>
                      <w:lang w:val="zh-CN"/>
                    </w:rPr>
                    <w:t>经度</w:t>
                  </w:r>
                </w:p>
              </w:tc>
              <w:tc>
                <w:tcPr>
                  <w:tcW w:w="998" w:type="pct"/>
                  <w:tcBorders>
                    <w:tl2br w:val="nil"/>
                    <w:tr2bl w:val="nil"/>
                  </w:tcBorders>
                  <w:noWrap w:val="0"/>
                  <w:vAlign w:val="center"/>
                </w:tcPr>
                <w:p w14:paraId="704E0094">
                  <w:pPr>
                    <w:pStyle w:val="398"/>
                    <w:rPr>
                      <w:color w:val="000000"/>
                      <w:highlight w:val="none"/>
                      <w:lang w:val="zh-CN"/>
                    </w:rPr>
                  </w:pPr>
                  <w:r>
                    <w:rPr>
                      <w:color w:val="000000"/>
                      <w:highlight w:val="none"/>
                      <w:lang w:val="zh-CN"/>
                    </w:rPr>
                    <w:t>1</w:t>
                  </w:r>
                  <w:r>
                    <w:rPr>
                      <w:rFonts w:hint="eastAsia"/>
                      <w:color w:val="000000"/>
                      <w:highlight w:val="none"/>
                    </w:rPr>
                    <w:t>08</w:t>
                  </w:r>
                  <w:r>
                    <w:rPr>
                      <w:rFonts w:hint="eastAsia"/>
                      <w:color w:val="000000"/>
                      <w:highlight w:val="none"/>
                      <w:lang w:val="en-US" w:eastAsia="zh-CN"/>
                    </w:rPr>
                    <w:t>°30′</w:t>
                  </w:r>
                  <w:r>
                    <w:rPr>
                      <w:color w:val="000000"/>
                      <w:highlight w:val="none"/>
                      <w:lang w:val="zh-CN"/>
                    </w:rPr>
                    <w:t>′6.</w:t>
                  </w:r>
                  <w:r>
                    <w:rPr>
                      <w:rFonts w:hint="eastAsia"/>
                      <w:color w:val="000000"/>
                      <w:highlight w:val="none"/>
                      <w:lang w:val="zh-CN" w:eastAsia="zh-CN"/>
                    </w:rPr>
                    <w:t>026</w:t>
                  </w:r>
                  <w:r>
                    <w:rPr>
                      <w:rFonts w:hint="eastAsia"/>
                      <w:color w:val="000000"/>
                      <w:highlight w:val="none"/>
                      <w:lang w:val="zh-CN"/>
                    </w:rPr>
                    <w:t>″</w:t>
                  </w:r>
                </w:p>
              </w:tc>
              <w:tc>
                <w:tcPr>
                  <w:tcW w:w="846" w:type="pct"/>
                  <w:tcBorders>
                    <w:tl2br w:val="nil"/>
                    <w:tr2bl w:val="nil"/>
                  </w:tcBorders>
                  <w:noWrap w:val="0"/>
                  <w:vAlign w:val="center"/>
                </w:tcPr>
                <w:p w14:paraId="6B75BCBD">
                  <w:pPr>
                    <w:pStyle w:val="398"/>
                    <w:rPr>
                      <w:color w:val="000000"/>
                      <w:highlight w:val="none"/>
                      <w:lang w:val="zh-CN"/>
                    </w:rPr>
                  </w:pPr>
                  <w:r>
                    <w:rPr>
                      <w:color w:val="000000"/>
                      <w:highlight w:val="none"/>
                      <w:lang w:val="zh-CN"/>
                    </w:rPr>
                    <w:t>纬度</w:t>
                  </w:r>
                </w:p>
              </w:tc>
              <w:tc>
                <w:tcPr>
                  <w:tcW w:w="1264" w:type="pct"/>
                  <w:tcBorders>
                    <w:tl2br w:val="nil"/>
                    <w:tr2bl w:val="nil"/>
                  </w:tcBorders>
                  <w:noWrap w:val="0"/>
                  <w:vAlign w:val="center"/>
                </w:tcPr>
                <w:p w14:paraId="752F453C">
                  <w:pPr>
                    <w:pStyle w:val="398"/>
                    <w:rPr>
                      <w:color w:val="000000"/>
                      <w:highlight w:val="none"/>
                      <w:lang w:val="zh-CN"/>
                    </w:rPr>
                  </w:pPr>
                  <w:r>
                    <w:rPr>
                      <w:rFonts w:hint="eastAsia"/>
                      <w:color w:val="000000"/>
                      <w:highlight w:val="none"/>
                      <w:lang w:val="en-US" w:eastAsia="zh-CN"/>
                    </w:rPr>
                    <w:t>40°1</w:t>
                  </w:r>
                  <w:r>
                    <w:rPr>
                      <w:rFonts w:hint="eastAsia"/>
                      <w:color w:val="000000"/>
                      <w:highlight w:val="none"/>
                      <w:lang w:val="zh-CN"/>
                    </w:rPr>
                    <w:t>′</w:t>
                  </w:r>
                  <w:r>
                    <w:rPr>
                      <w:rFonts w:hint="eastAsia"/>
                      <w:color w:val="000000"/>
                      <w:highlight w:val="none"/>
                      <w:lang w:val="zh-CN" w:eastAsia="zh-CN"/>
                    </w:rPr>
                    <w:t>48.861</w:t>
                  </w:r>
                  <w:r>
                    <w:rPr>
                      <w:rFonts w:hint="eastAsia"/>
                      <w:color w:val="000000"/>
                      <w:highlight w:val="none"/>
                      <w:lang w:val="zh-CN"/>
                    </w:rPr>
                    <w:t>″</w:t>
                  </w:r>
                </w:p>
              </w:tc>
            </w:tr>
            <w:tr w14:paraId="4587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1" w:hRule="atLeast"/>
                <w:jc w:val="center"/>
              </w:trPr>
              <w:tc>
                <w:tcPr>
                  <w:tcW w:w="1214" w:type="pct"/>
                  <w:tcBorders>
                    <w:tl2br w:val="nil"/>
                    <w:tr2bl w:val="nil"/>
                  </w:tcBorders>
                  <w:noWrap w:val="0"/>
                  <w:vAlign w:val="center"/>
                </w:tcPr>
                <w:p w14:paraId="67516057">
                  <w:pPr>
                    <w:pStyle w:val="398"/>
                    <w:rPr>
                      <w:color w:val="000000"/>
                      <w:highlight w:val="none"/>
                      <w:lang w:val="zh-CN"/>
                    </w:rPr>
                  </w:pPr>
                  <w:r>
                    <w:rPr>
                      <w:color w:val="000000"/>
                      <w:highlight w:val="none"/>
                      <w:lang w:val="zh-CN"/>
                    </w:rPr>
                    <w:t>主要危险物质及分布</w:t>
                  </w:r>
                </w:p>
              </w:tc>
              <w:tc>
                <w:tcPr>
                  <w:tcW w:w="3785" w:type="pct"/>
                  <w:gridSpan w:val="4"/>
                  <w:tcBorders>
                    <w:tl2br w:val="nil"/>
                    <w:tr2bl w:val="nil"/>
                  </w:tcBorders>
                  <w:noWrap w:val="0"/>
                  <w:vAlign w:val="center"/>
                </w:tcPr>
                <w:p w14:paraId="752928ED">
                  <w:pPr>
                    <w:pStyle w:val="398"/>
                    <w:rPr>
                      <w:color w:val="000000"/>
                      <w:highlight w:val="none"/>
                      <w:lang w:val="zh-CN"/>
                    </w:rPr>
                  </w:pPr>
                  <w:r>
                    <w:rPr>
                      <w:color w:val="000000"/>
                      <w:highlight w:val="none"/>
                      <w:lang w:val="zh-CN"/>
                    </w:rPr>
                    <w:t>主要危险物质</w:t>
                  </w:r>
                  <w:r>
                    <w:rPr>
                      <w:rFonts w:hint="eastAsia"/>
                      <w:color w:val="000000"/>
                      <w:highlight w:val="none"/>
                      <w:lang w:val="en-US" w:eastAsia="zh-CN"/>
                    </w:rPr>
                    <w:t>为</w:t>
                  </w:r>
                  <w:r>
                    <w:rPr>
                      <w:rFonts w:hint="eastAsia"/>
                      <w:szCs w:val="21"/>
                      <w:highlight w:val="none"/>
                      <w:lang w:val="en-US" w:eastAsia="zh-CN"/>
                    </w:rPr>
                    <w:t>矿物油，分别</w:t>
                  </w:r>
                  <w:r>
                    <w:rPr>
                      <w:color w:val="000000"/>
                      <w:highlight w:val="none"/>
                      <w:lang w:val="zh-CN"/>
                    </w:rPr>
                    <w:t>分布</w:t>
                  </w:r>
                  <w:r>
                    <w:rPr>
                      <w:rFonts w:hint="eastAsia"/>
                      <w:color w:val="000000"/>
                      <w:highlight w:val="none"/>
                      <w:lang w:val="en-US" w:eastAsia="zh-CN"/>
                    </w:rPr>
                    <w:t>在</w:t>
                  </w:r>
                  <w:r>
                    <w:rPr>
                      <w:rFonts w:hint="eastAsia"/>
                      <w:color w:val="000000"/>
                      <w:highlight w:val="none"/>
                      <w:lang w:val="zh-CN"/>
                    </w:rPr>
                    <w:t>减压塔</w:t>
                  </w:r>
                  <w:r>
                    <w:rPr>
                      <w:rFonts w:hint="eastAsia"/>
                      <w:color w:val="000000"/>
                      <w:highlight w:val="none"/>
                      <w:lang w:val="en-US" w:eastAsia="zh-CN"/>
                    </w:rPr>
                    <w:t>和</w:t>
                  </w:r>
                  <w:r>
                    <w:rPr>
                      <w:rFonts w:hint="eastAsia"/>
                      <w:color w:val="000000"/>
                      <w:highlight w:val="none"/>
                      <w:lang w:val="zh-CN"/>
                    </w:rPr>
                    <w:t>减压汽提塔。</w:t>
                  </w:r>
                </w:p>
              </w:tc>
            </w:tr>
            <w:tr w14:paraId="1B55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1B1D0607">
                  <w:pPr>
                    <w:pStyle w:val="398"/>
                    <w:rPr>
                      <w:color w:val="000000"/>
                      <w:highlight w:val="none"/>
                      <w:lang w:val="zh-CN"/>
                    </w:rPr>
                  </w:pPr>
                  <w:r>
                    <w:rPr>
                      <w:color w:val="000000"/>
                      <w:highlight w:val="none"/>
                      <w:lang w:val="zh-CN"/>
                    </w:rPr>
                    <w:t>环境影响途径及危害后果</w:t>
                  </w:r>
                </w:p>
              </w:tc>
              <w:tc>
                <w:tcPr>
                  <w:tcW w:w="3785" w:type="pct"/>
                  <w:gridSpan w:val="4"/>
                  <w:tcBorders>
                    <w:tl2br w:val="nil"/>
                    <w:tr2bl w:val="nil"/>
                  </w:tcBorders>
                  <w:noWrap w:val="0"/>
                  <w:vAlign w:val="center"/>
                </w:tcPr>
                <w:p w14:paraId="6F3EC08B">
                  <w:pPr>
                    <w:pStyle w:val="398"/>
                    <w:rPr>
                      <w:rFonts w:hint="eastAsia"/>
                      <w:color w:val="000000"/>
                      <w:highlight w:val="none"/>
                      <w:lang w:val="zh-CN"/>
                    </w:rPr>
                  </w:pPr>
                  <w:r>
                    <w:rPr>
                      <w:rFonts w:hint="eastAsia"/>
                      <w:color w:val="000000"/>
                      <w:highlight w:val="none"/>
                      <w:lang w:val="zh-CN"/>
                    </w:rPr>
                    <w:t>本项目环境风险类型主要为有毒有害危险物质泄漏对环境造成的直接污染，以及因火灾、爆炸等事故引发的次生环境污染。</w:t>
                  </w:r>
                </w:p>
                <w:p w14:paraId="3CFC1067">
                  <w:pPr>
                    <w:pStyle w:val="398"/>
                    <w:rPr>
                      <w:rFonts w:hint="eastAsia"/>
                      <w:color w:val="000000"/>
                      <w:highlight w:val="none"/>
                      <w:lang w:val="zh-CN"/>
                    </w:rPr>
                  </w:pPr>
                  <w:r>
                    <w:rPr>
                      <w:rFonts w:hint="eastAsia"/>
                      <w:color w:val="000000"/>
                      <w:highlight w:val="none"/>
                      <w:lang w:val="zh-CN"/>
                    </w:rPr>
                    <w:t>直接污染事故通常的起因是设备、管线、阀门或其他设施出现故障或操作失误等，使有毒有害物质泄漏，弥散在空气中，对大气环境造成污染。可能受影响的环境敏感目标主要为评价范围内的村庄。</w:t>
                  </w:r>
                </w:p>
                <w:p w14:paraId="4E0FD01F">
                  <w:pPr>
                    <w:pStyle w:val="398"/>
                    <w:rPr>
                      <w:color w:val="000000"/>
                      <w:highlight w:val="none"/>
                      <w:lang w:val="zh-CN"/>
                    </w:rPr>
                  </w:pPr>
                  <w:r>
                    <w:rPr>
                      <w:rFonts w:hint="eastAsia"/>
                      <w:color w:val="000000"/>
                      <w:highlight w:val="none"/>
                      <w:lang w:val="zh-CN"/>
                    </w:rPr>
                    <w:t>次生污染主要为可燃或易燃泄漏物遇点火源引发火灾事故，火灾产生的CO等有毒有害烟气对周围大气环境造成污染，可能影响评价范围内的村庄等敏感目标。另外，扑灭火灾或应急处置时产生的消防污水、伴随泄漏物料以及污染雨水若未采取控制措施或控制措施失效，出厂事故废水可能形成地表径流流入外界环境。若污染物深入土壤，将会对地下水环境造成污染</w:t>
                  </w:r>
                  <w:r>
                    <w:rPr>
                      <w:color w:val="000000"/>
                      <w:highlight w:val="none"/>
                      <w:lang w:val="zh-CN"/>
                    </w:rPr>
                    <w:t>。</w:t>
                  </w:r>
                </w:p>
              </w:tc>
            </w:tr>
            <w:tr w14:paraId="6E0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214" w:type="pct"/>
                  <w:tcBorders>
                    <w:tl2br w:val="nil"/>
                    <w:tr2bl w:val="nil"/>
                  </w:tcBorders>
                  <w:noWrap w:val="0"/>
                  <w:vAlign w:val="center"/>
                </w:tcPr>
                <w:p w14:paraId="665C35A2">
                  <w:pPr>
                    <w:pStyle w:val="398"/>
                    <w:rPr>
                      <w:color w:val="000000"/>
                      <w:highlight w:val="none"/>
                      <w:lang w:val="zh-CN"/>
                    </w:rPr>
                  </w:pPr>
                  <w:r>
                    <w:rPr>
                      <w:color w:val="000000"/>
                      <w:highlight w:val="none"/>
                      <w:lang w:val="zh-CN"/>
                    </w:rPr>
                    <w:t>风险防范措施要求</w:t>
                  </w:r>
                </w:p>
              </w:tc>
              <w:tc>
                <w:tcPr>
                  <w:tcW w:w="3785" w:type="pct"/>
                  <w:gridSpan w:val="4"/>
                  <w:tcBorders>
                    <w:tl2br w:val="nil"/>
                    <w:tr2bl w:val="nil"/>
                  </w:tcBorders>
                  <w:noWrap w:val="0"/>
                  <w:vAlign w:val="center"/>
                </w:tcPr>
                <w:p w14:paraId="4174095A">
                  <w:pPr>
                    <w:pStyle w:val="398"/>
                    <w:rPr>
                      <w:rFonts w:hint="eastAsia"/>
                      <w:color w:val="000000"/>
                      <w:highlight w:val="none"/>
                      <w:lang w:val="zh-CN"/>
                    </w:rPr>
                  </w:pPr>
                  <w:r>
                    <w:rPr>
                      <w:rFonts w:hint="eastAsia"/>
                      <w:color w:val="000000"/>
                      <w:highlight w:val="none"/>
                      <w:lang w:val="zh-CN"/>
                    </w:rPr>
                    <w:t>项目采取严格的事故废水三级防控体系，物料储存区及装置区均按相关要求设置围堰及事故水池，事故废水收集设施容积满足事故废水暂存的需要，防止事故废水直接排放，落实相应风险事故防护措施的情况下，在发生风险事故时，不会造成携带污染物的废水进入地表水环境，对地表水环境产生不利影响。</w:t>
                  </w:r>
                </w:p>
                <w:p w14:paraId="7BD45CD1">
                  <w:pPr>
                    <w:pStyle w:val="398"/>
                    <w:rPr>
                      <w:rFonts w:hint="eastAsia"/>
                      <w:color w:val="000000"/>
                      <w:highlight w:val="none"/>
                      <w:lang w:val="zh-CN"/>
                    </w:rPr>
                  </w:pPr>
                  <w:r>
                    <w:rPr>
                      <w:rFonts w:hint="eastAsia"/>
                      <w:color w:val="000000"/>
                      <w:highlight w:val="none"/>
                      <w:lang w:val="zh-CN"/>
                    </w:rPr>
                    <w:t>全厂按照《石油化工工程防渗技术规范》（GB/T50934-2013）要求对厂区进行分区防渗，将厂区重点单元进行重点防渗设施，避免发生事故时对厂区地下水造成影响，地下水不利影响在可接受水平。</w:t>
                  </w:r>
                </w:p>
                <w:p w14:paraId="3B096FB8">
                  <w:pPr>
                    <w:pStyle w:val="398"/>
                    <w:rPr>
                      <w:color w:val="000000"/>
                      <w:highlight w:val="none"/>
                      <w:lang w:val="zh-CN"/>
                    </w:rPr>
                  </w:pPr>
                  <w:r>
                    <w:rPr>
                      <w:rFonts w:hint="eastAsia"/>
                      <w:color w:val="000000"/>
                      <w:highlight w:val="none"/>
                      <w:lang w:val="zh-CN"/>
                    </w:rPr>
                    <w:t>建设单位应根据《企事业单位突发环境事件应急预案备案管理办法》（环发〔2015〕4号）编制突发环境事件应急预案，并在项目投产前向主管部门备案</w:t>
                  </w:r>
                  <w:r>
                    <w:rPr>
                      <w:color w:val="000000"/>
                      <w:highlight w:val="none"/>
                      <w:lang w:val="zh-CN"/>
                    </w:rPr>
                    <w:t>。</w:t>
                  </w:r>
                </w:p>
              </w:tc>
            </w:tr>
            <w:tr w14:paraId="39A5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000" w:type="pct"/>
                  <w:gridSpan w:val="5"/>
                  <w:tcBorders>
                    <w:tl2br w:val="nil"/>
                    <w:tr2bl w:val="nil"/>
                  </w:tcBorders>
                  <w:noWrap w:val="0"/>
                  <w:vAlign w:val="center"/>
                </w:tcPr>
                <w:p w14:paraId="69529D0D">
                  <w:pPr>
                    <w:pStyle w:val="398"/>
                    <w:rPr>
                      <w:color w:val="000000"/>
                      <w:highlight w:val="none"/>
                      <w:lang w:val="zh-CN"/>
                    </w:rPr>
                  </w:pPr>
                  <w:r>
                    <w:rPr>
                      <w:color w:val="000000"/>
                      <w:highlight w:val="none"/>
                      <w:lang w:val="zh-CN"/>
                    </w:rPr>
                    <w:t>填表说明（列出项目相关信息及评价说明）：</w:t>
                  </w:r>
                </w:p>
                <w:p w14:paraId="4A9238FD">
                  <w:pPr>
                    <w:pStyle w:val="398"/>
                    <w:rPr>
                      <w:color w:val="000000"/>
                      <w:highlight w:val="none"/>
                      <w:lang w:val="zh-CN"/>
                    </w:rPr>
                  </w:pPr>
                  <w:r>
                    <w:rPr>
                      <w:color w:val="000000"/>
                      <w:highlight w:val="none"/>
                      <w:lang w:val="zh-CN"/>
                    </w:rPr>
                    <w:t>主要风险为</w:t>
                  </w:r>
                  <w:r>
                    <w:rPr>
                      <w:rFonts w:hint="eastAsia" w:cs="Times New Roman"/>
                      <w:kern w:val="2"/>
                      <w:sz w:val="21"/>
                      <w:szCs w:val="24"/>
                      <w:highlight w:val="none"/>
                      <w:lang w:val="en-US" w:eastAsia="zh-CN" w:bidi="ar-SA"/>
                    </w:rPr>
                    <w:t>矿物油</w:t>
                  </w:r>
                  <w:r>
                    <w:rPr>
                      <w:highlight w:val="none"/>
                    </w:rPr>
                    <w:t>泄漏</w:t>
                  </w:r>
                  <w:r>
                    <w:rPr>
                      <w:color w:val="000000"/>
                      <w:highlight w:val="none"/>
                      <w:lang w:val="zh-CN"/>
                    </w:rPr>
                    <w:t>。经分析，在落实各项环保措施</w:t>
                  </w:r>
                  <w:r>
                    <w:rPr>
                      <w:rFonts w:hint="eastAsia"/>
                      <w:color w:val="000000"/>
                      <w:highlight w:val="none"/>
                      <w:lang w:val="zh-CN"/>
                    </w:rPr>
                    <w:t>和</w:t>
                  </w:r>
                  <w:r>
                    <w:rPr>
                      <w:color w:val="000000"/>
                      <w:highlight w:val="none"/>
                      <w:lang w:val="zh-CN"/>
                    </w:rPr>
                    <w:t>环境风险防范措施、建立有效的突发环境事件应急预案、加强</w:t>
                  </w:r>
                  <w:r>
                    <w:rPr>
                      <w:rFonts w:hint="eastAsia"/>
                      <w:color w:val="000000"/>
                      <w:highlight w:val="none"/>
                      <w:lang w:val="zh-CN"/>
                    </w:rPr>
                    <w:t>环境</w:t>
                  </w:r>
                  <w:r>
                    <w:rPr>
                      <w:color w:val="000000"/>
                      <w:highlight w:val="none"/>
                      <w:lang w:val="zh-CN"/>
                    </w:rPr>
                    <w:t>风险管理的条件下，本项目技改后的环境风险是可防控的。</w:t>
                  </w:r>
                </w:p>
              </w:tc>
            </w:tr>
          </w:tbl>
          <w:p w14:paraId="1C1168DC">
            <w:pPr>
              <w:spacing w:line="360" w:lineRule="auto"/>
              <w:rPr>
                <w:sz w:val="24"/>
              </w:rPr>
            </w:pPr>
            <w:r>
              <w:rPr>
                <w:b/>
                <w:sz w:val="24"/>
              </w:rPr>
              <w:t>7</w:t>
            </w:r>
            <w:r>
              <w:rPr>
                <w:rFonts w:hint="eastAsia"/>
                <w:b/>
                <w:sz w:val="24"/>
              </w:rPr>
              <w:t>.</w:t>
            </w:r>
            <w:r>
              <w:rPr>
                <w:b/>
                <w:sz w:val="24"/>
                <w:szCs w:val="20"/>
              </w:rPr>
              <w:t>环保投资估算</w:t>
            </w:r>
          </w:p>
          <w:p w14:paraId="58B523AC">
            <w:pPr>
              <w:spacing w:line="360" w:lineRule="auto"/>
              <w:ind w:firstLine="480" w:firstLineChars="200"/>
              <w:rPr>
                <w:sz w:val="24"/>
              </w:rPr>
            </w:pPr>
            <w:r>
              <w:rPr>
                <w:sz w:val="24"/>
              </w:rPr>
              <w:t>本项目总投资</w:t>
            </w:r>
            <w:r>
              <w:rPr>
                <w:rFonts w:hint="eastAsia"/>
                <w:bCs/>
                <w:sz w:val="24"/>
                <w:lang w:val="en-US" w:eastAsia="zh-CN"/>
              </w:rPr>
              <w:t>2493.73</w:t>
            </w:r>
            <w:r>
              <w:rPr>
                <w:sz w:val="24"/>
              </w:rPr>
              <w:t>万元，其中环保投资</w:t>
            </w:r>
            <w:r>
              <w:rPr>
                <w:rFonts w:hint="eastAsia"/>
                <w:sz w:val="24"/>
                <w:lang w:val="en-US" w:eastAsia="zh-CN"/>
              </w:rPr>
              <w:t>11.5</w:t>
            </w:r>
            <w:r>
              <w:rPr>
                <w:sz w:val="24"/>
              </w:rPr>
              <w:t>万元，占总投资的</w:t>
            </w:r>
            <w:r>
              <w:rPr>
                <w:rFonts w:hint="eastAsia"/>
                <w:sz w:val="24"/>
                <w:lang w:val="en-US" w:eastAsia="zh-CN"/>
              </w:rPr>
              <w:t>0.46</w:t>
            </w:r>
            <w:r>
              <w:rPr>
                <w:sz w:val="24"/>
              </w:rPr>
              <w:t>%。具体见环境保护投资估算明细表4-</w:t>
            </w:r>
            <w:r>
              <w:rPr>
                <w:rFonts w:hint="eastAsia"/>
                <w:sz w:val="24"/>
                <w:lang w:val="en-US" w:eastAsia="zh-CN"/>
              </w:rPr>
              <w:t>24</w:t>
            </w:r>
            <w:r>
              <w:rPr>
                <w:sz w:val="24"/>
              </w:rPr>
              <w:t>。</w:t>
            </w:r>
          </w:p>
          <w:p w14:paraId="2CAE0E4C">
            <w:pPr>
              <w:ind w:right="10" w:firstLine="2891" w:firstLineChars="1200"/>
              <w:rPr>
                <w:sz w:val="24"/>
              </w:rPr>
            </w:pPr>
            <w:r>
              <w:rPr>
                <w:b/>
                <w:sz w:val="24"/>
              </w:rPr>
              <w:t>表4-</w:t>
            </w:r>
            <w:r>
              <w:rPr>
                <w:rFonts w:hint="eastAsia"/>
                <w:b/>
                <w:sz w:val="24"/>
                <w:lang w:val="en-US" w:eastAsia="zh-CN"/>
              </w:rPr>
              <w:t>24：</w:t>
            </w:r>
            <w:r>
              <w:rPr>
                <w:b/>
                <w:bCs/>
                <w:sz w:val="24"/>
              </w:rPr>
              <w:t>项目环保投资表</w:t>
            </w:r>
          </w:p>
          <w:tbl>
            <w:tblPr>
              <w:tblStyle w:val="4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80" w:type="dxa"/>
                <w:left w:w="108" w:type="dxa"/>
                <w:bottom w:w="0" w:type="dxa"/>
                <w:right w:w="55" w:type="dxa"/>
              </w:tblCellMar>
            </w:tblPr>
            <w:tblGrid>
              <w:gridCol w:w="1096"/>
              <w:gridCol w:w="1385"/>
              <w:gridCol w:w="4890"/>
              <w:gridCol w:w="1123"/>
            </w:tblGrid>
            <w:tr w14:paraId="3ABB43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0" w:type="dxa"/>
                  <w:left w:w="108" w:type="dxa"/>
                  <w:bottom w:w="0" w:type="dxa"/>
                  <w:right w:w="55" w:type="dxa"/>
                </w:tblCellMar>
              </w:tblPrEx>
              <w:trPr>
                <w:trHeight w:val="284" w:hRule="atLeast"/>
                <w:jc w:val="center"/>
              </w:trPr>
              <w:tc>
                <w:tcPr>
                  <w:tcW w:w="645" w:type="pct"/>
                  <w:tcBorders>
                    <w:top w:val="single" w:color="auto" w:sz="4" w:space="0"/>
                    <w:left w:val="single" w:color="auto" w:sz="0" w:space="0"/>
                    <w:tl2br w:val="nil"/>
                    <w:tr2bl w:val="nil"/>
                  </w:tcBorders>
                  <w:noWrap w:val="0"/>
                  <w:vAlign w:val="center"/>
                </w:tcPr>
                <w:p w14:paraId="2B0AA4A3">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b/>
                      <w:sz w:val="21"/>
                      <w:szCs w:val="21"/>
                    </w:rPr>
                  </w:pPr>
                  <w:r>
                    <w:rPr>
                      <w:b/>
                      <w:sz w:val="21"/>
                      <w:szCs w:val="21"/>
                    </w:rPr>
                    <w:t>类型</w:t>
                  </w:r>
                </w:p>
              </w:tc>
              <w:tc>
                <w:tcPr>
                  <w:tcW w:w="815" w:type="pct"/>
                  <w:tcBorders>
                    <w:top w:val="single" w:color="auto" w:sz="4" w:space="0"/>
                    <w:tl2br w:val="nil"/>
                    <w:tr2bl w:val="nil"/>
                  </w:tcBorders>
                  <w:noWrap w:val="0"/>
                  <w:vAlign w:val="center"/>
                </w:tcPr>
                <w:p w14:paraId="1CAB15EA">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b/>
                      <w:sz w:val="21"/>
                      <w:szCs w:val="21"/>
                    </w:rPr>
                  </w:pPr>
                  <w:r>
                    <w:rPr>
                      <w:b/>
                      <w:sz w:val="21"/>
                      <w:szCs w:val="21"/>
                    </w:rPr>
                    <w:t>污染工序</w:t>
                  </w:r>
                </w:p>
              </w:tc>
              <w:tc>
                <w:tcPr>
                  <w:tcW w:w="2877" w:type="pct"/>
                  <w:tcBorders>
                    <w:top w:val="single" w:color="auto" w:sz="4" w:space="0"/>
                    <w:tl2br w:val="nil"/>
                    <w:tr2bl w:val="nil"/>
                  </w:tcBorders>
                  <w:noWrap w:val="0"/>
                  <w:vAlign w:val="center"/>
                </w:tcPr>
                <w:p w14:paraId="299176AD">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b/>
                      <w:sz w:val="21"/>
                      <w:szCs w:val="21"/>
                    </w:rPr>
                  </w:pPr>
                  <w:r>
                    <w:rPr>
                      <w:b/>
                      <w:sz w:val="21"/>
                      <w:szCs w:val="21"/>
                    </w:rPr>
                    <w:t>环保措施</w:t>
                  </w:r>
                </w:p>
              </w:tc>
              <w:tc>
                <w:tcPr>
                  <w:tcW w:w="661" w:type="pct"/>
                  <w:tcBorders>
                    <w:top w:val="single" w:color="auto" w:sz="4" w:space="0"/>
                    <w:right w:val="single" w:color="auto" w:sz="4" w:space="0"/>
                    <w:tl2br w:val="nil"/>
                    <w:tr2bl w:val="nil"/>
                  </w:tcBorders>
                  <w:noWrap w:val="0"/>
                  <w:vAlign w:val="center"/>
                </w:tcPr>
                <w:p w14:paraId="5B44915C">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b/>
                      <w:sz w:val="21"/>
                      <w:szCs w:val="21"/>
                    </w:rPr>
                  </w:pPr>
                  <w:r>
                    <w:rPr>
                      <w:b/>
                      <w:sz w:val="21"/>
                      <w:szCs w:val="21"/>
                    </w:rPr>
                    <w:t>投资（万元）</w:t>
                  </w:r>
                </w:p>
              </w:tc>
            </w:tr>
            <w:tr w14:paraId="1137C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0" w:type="dxa"/>
                  <w:left w:w="108" w:type="dxa"/>
                  <w:bottom w:w="0" w:type="dxa"/>
                  <w:right w:w="55" w:type="dxa"/>
                </w:tblCellMar>
              </w:tblPrEx>
              <w:trPr>
                <w:trHeight w:val="381" w:hRule="atLeast"/>
                <w:jc w:val="center"/>
              </w:trPr>
              <w:tc>
                <w:tcPr>
                  <w:tcW w:w="645" w:type="pct"/>
                  <w:tcBorders>
                    <w:left w:val="single" w:color="auto" w:sz="4" w:space="0"/>
                    <w:tl2br w:val="nil"/>
                    <w:tr2bl w:val="nil"/>
                  </w:tcBorders>
                  <w:noWrap w:val="0"/>
                  <w:vAlign w:val="center"/>
                </w:tcPr>
                <w:p w14:paraId="02EA28CE">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sz w:val="21"/>
                      <w:szCs w:val="21"/>
                    </w:rPr>
                  </w:pPr>
                  <w:r>
                    <w:rPr>
                      <w:sz w:val="21"/>
                      <w:szCs w:val="21"/>
                    </w:rPr>
                    <w:t>噪声</w:t>
                  </w:r>
                </w:p>
              </w:tc>
              <w:tc>
                <w:tcPr>
                  <w:tcW w:w="3692" w:type="pct"/>
                  <w:gridSpan w:val="2"/>
                  <w:tcBorders>
                    <w:tl2br w:val="nil"/>
                    <w:tr2bl w:val="nil"/>
                  </w:tcBorders>
                  <w:noWrap w:val="0"/>
                  <w:vAlign w:val="center"/>
                </w:tcPr>
                <w:p w14:paraId="531039BD">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sz w:val="21"/>
                      <w:szCs w:val="21"/>
                    </w:rPr>
                  </w:pPr>
                  <w:r>
                    <w:rPr>
                      <w:sz w:val="21"/>
                      <w:szCs w:val="21"/>
                    </w:rPr>
                    <w:t>选用低噪声设备、加装基础减振、厂房隔声等控制措施；</w:t>
                  </w:r>
                </w:p>
              </w:tc>
              <w:tc>
                <w:tcPr>
                  <w:tcW w:w="661" w:type="pct"/>
                  <w:tcBorders>
                    <w:right w:val="single" w:color="auto" w:sz="4" w:space="0"/>
                    <w:tl2br w:val="nil"/>
                    <w:tr2bl w:val="nil"/>
                  </w:tcBorders>
                  <w:noWrap w:val="0"/>
                  <w:vAlign w:val="center"/>
                </w:tcPr>
                <w:p w14:paraId="75D45192">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rFonts w:hint="eastAsia" w:eastAsia="宋体"/>
                      <w:sz w:val="21"/>
                      <w:szCs w:val="21"/>
                      <w:lang w:eastAsia="zh-CN"/>
                    </w:rPr>
                  </w:pPr>
                  <w:r>
                    <w:rPr>
                      <w:rFonts w:hint="eastAsia"/>
                      <w:sz w:val="21"/>
                      <w:szCs w:val="21"/>
                      <w:lang w:val="en-US" w:eastAsia="zh-CN"/>
                    </w:rPr>
                    <w:t>5</w:t>
                  </w:r>
                </w:p>
              </w:tc>
            </w:tr>
            <w:tr w14:paraId="4A0636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0" w:type="dxa"/>
                  <w:left w:w="108" w:type="dxa"/>
                  <w:bottom w:w="0" w:type="dxa"/>
                  <w:right w:w="55" w:type="dxa"/>
                </w:tblCellMar>
              </w:tblPrEx>
              <w:trPr>
                <w:trHeight w:val="1040" w:hRule="atLeast"/>
                <w:jc w:val="center"/>
              </w:trPr>
              <w:tc>
                <w:tcPr>
                  <w:tcW w:w="645" w:type="pct"/>
                  <w:tcBorders>
                    <w:left w:val="single" w:color="auto" w:sz="4" w:space="0"/>
                    <w:tl2br w:val="nil"/>
                    <w:tr2bl w:val="nil"/>
                  </w:tcBorders>
                  <w:noWrap w:val="0"/>
                  <w:vAlign w:val="center"/>
                </w:tcPr>
                <w:p w14:paraId="4FFF0ED8">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sz w:val="21"/>
                      <w:szCs w:val="21"/>
                    </w:rPr>
                  </w:pPr>
                  <w:r>
                    <w:rPr>
                      <w:sz w:val="21"/>
                      <w:szCs w:val="21"/>
                    </w:rPr>
                    <w:t>防渗</w:t>
                  </w:r>
                </w:p>
              </w:tc>
              <w:tc>
                <w:tcPr>
                  <w:tcW w:w="3692" w:type="pct"/>
                  <w:gridSpan w:val="2"/>
                  <w:tcBorders>
                    <w:tl2br w:val="nil"/>
                    <w:tr2bl w:val="nil"/>
                  </w:tcBorders>
                  <w:noWrap w:val="0"/>
                  <w:vAlign w:val="center"/>
                </w:tcPr>
                <w:p w14:paraId="103EC320">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rFonts w:hint="eastAsia" w:eastAsia="宋体"/>
                      <w:sz w:val="21"/>
                      <w:szCs w:val="21"/>
                      <w:lang w:eastAsia="zh-CN"/>
                    </w:rPr>
                  </w:pPr>
                  <w:r>
                    <w:rPr>
                      <w:sz w:val="21"/>
                      <w:szCs w:val="21"/>
                    </w:rPr>
                    <w:t>一般防渗区：</w:t>
                  </w:r>
                  <w:r>
                    <w:rPr>
                      <w:rFonts w:hint="eastAsia"/>
                      <w:sz w:val="21"/>
                      <w:szCs w:val="21"/>
                      <w:lang w:val="en-US" w:eastAsia="zh-CN"/>
                    </w:rPr>
                    <w:t>装置区</w:t>
                  </w:r>
                  <w:r>
                    <w:rPr>
                      <w:sz w:val="21"/>
                      <w:szCs w:val="21"/>
                    </w:rPr>
                    <w:t>防渗效果等效</w:t>
                  </w:r>
                  <w:r>
                    <w:rPr>
                      <w:rFonts w:hint="eastAsia"/>
                      <w:sz w:val="21"/>
                      <w:szCs w:val="21"/>
                    </w:rPr>
                    <w:t>黏土</w:t>
                  </w:r>
                  <w:r>
                    <w:rPr>
                      <w:sz w:val="21"/>
                      <w:szCs w:val="21"/>
                    </w:rPr>
                    <w:t>防渗层</w:t>
                  </w:r>
                  <w:r>
                    <w:rPr>
                      <w:rFonts w:eastAsia="Times New Roman"/>
                      <w:sz w:val="21"/>
                      <w:szCs w:val="21"/>
                    </w:rPr>
                    <w:t>Mb≥1.5m</w:t>
                  </w:r>
                  <w:r>
                    <w:rPr>
                      <w:sz w:val="21"/>
                      <w:szCs w:val="21"/>
                    </w:rPr>
                    <w:t>，</w:t>
                  </w:r>
                  <w:r>
                    <w:rPr>
                      <w:rFonts w:eastAsia="Times New Roman"/>
                      <w:sz w:val="21"/>
                      <w:szCs w:val="21"/>
                    </w:rPr>
                    <w:t>K≤1×10</w:t>
                  </w:r>
                  <w:r>
                    <w:rPr>
                      <w:rFonts w:eastAsia="Times New Roman"/>
                      <w:sz w:val="21"/>
                      <w:szCs w:val="21"/>
                      <w:vertAlign w:val="superscript"/>
                    </w:rPr>
                    <w:t>-7</w:t>
                  </w:r>
                  <w:r>
                    <w:rPr>
                      <w:rFonts w:eastAsia="Times New Roman"/>
                      <w:sz w:val="21"/>
                      <w:szCs w:val="21"/>
                    </w:rPr>
                    <w:t>cm/s</w:t>
                  </w:r>
                  <w:r>
                    <w:rPr>
                      <w:sz w:val="21"/>
                      <w:szCs w:val="21"/>
                    </w:rPr>
                    <w:t>；</w:t>
                  </w:r>
                  <w:r>
                    <w:rPr>
                      <w:sz w:val="21"/>
                      <w:szCs w:val="21"/>
                    </w:rPr>
                    <w:br w:type="textWrapping"/>
                  </w:r>
                  <w:r>
                    <w:rPr>
                      <w:sz w:val="21"/>
                      <w:szCs w:val="21"/>
                    </w:rPr>
                    <w:t>重点防渗区：</w:t>
                  </w:r>
                  <w:r>
                    <w:rPr>
                      <w:rFonts w:hint="eastAsia"/>
                      <w:sz w:val="21"/>
                      <w:szCs w:val="21"/>
                    </w:rPr>
                    <w:t>原料缓冲罐罐区区域用C30抗渗混凝土，抗渗等级P6</w:t>
                  </w:r>
                  <w:r>
                    <w:rPr>
                      <w:rFonts w:hint="eastAsia"/>
                      <w:sz w:val="21"/>
                      <w:szCs w:val="21"/>
                      <w:lang w:eastAsia="zh-CN"/>
                    </w:rPr>
                    <w:t>。</w:t>
                  </w:r>
                </w:p>
              </w:tc>
              <w:tc>
                <w:tcPr>
                  <w:tcW w:w="661" w:type="pct"/>
                  <w:tcBorders>
                    <w:right w:val="single" w:color="auto" w:sz="4" w:space="0"/>
                    <w:tl2br w:val="nil"/>
                    <w:tr2bl w:val="nil"/>
                  </w:tcBorders>
                  <w:noWrap w:val="0"/>
                  <w:vAlign w:val="center"/>
                </w:tcPr>
                <w:p w14:paraId="6AA4AD49">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rFonts w:hint="default" w:eastAsia="宋体"/>
                      <w:sz w:val="21"/>
                      <w:szCs w:val="21"/>
                      <w:lang w:val="en-US" w:eastAsia="zh-CN"/>
                    </w:rPr>
                  </w:pPr>
                  <w:r>
                    <w:rPr>
                      <w:rFonts w:hint="eastAsia" w:eastAsia="宋体"/>
                      <w:sz w:val="21"/>
                      <w:szCs w:val="21"/>
                      <w:lang w:val="en-US" w:eastAsia="zh-CN"/>
                    </w:rPr>
                    <w:t>6.5</w:t>
                  </w:r>
                </w:p>
              </w:tc>
            </w:tr>
            <w:tr w14:paraId="32E84E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80" w:type="dxa"/>
                  <w:left w:w="108" w:type="dxa"/>
                  <w:bottom w:w="0" w:type="dxa"/>
                  <w:right w:w="55" w:type="dxa"/>
                </w:tblCellMar>
              </w:tblPrEx>
              <w:trPr>
                <w:trHeight w:val="406" w:hRule="atLeast"/>
                <w:jc w:val="center"/>
              </w:trPr>
              <w:tc>
                <w:tcPr>
                  <w:tcW w:w="4338" w:type="pct"/>
                  <w:gridSpan w:val="3"/>
                  <w:tcBorders>
                    <w:left w:val="single" w:color="auto" w:sz="4" w:space="0"/>
                    <w:bottom w:val="single" w:color="auto" w:sz="4" w:space="0"/>
                    <w:tl2br w:val="nil"/>
                    <w:tr2bl w:val="nil"/>
                  </w:tcBorders>
                  <w:noWrap w:val="0"/>
                  <w:vAlign w:val="center"/>
                </w:tcPr>
                <w:p w14:paraId="71B20F05">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sz w:val="21"/>
                      <w:szCs w:val="21"/>
                    </w:rPr>
                  </w:pPr>
                  <w:r>
                    <w:rPr>
                      <w:sz w:val="21"/>
                      <w:szCs w:val="21"/>
                    </w:rPr>
                    <w:t>合计</w:t>
                  </w:r>
                </w:p>
              </w:tc>
              <w:tc>
                <w:tcPr>
                  <w:tcW w:w="661" w:type="pct"/>
                  <w:tcBorders>
                    <w:bottom w:val="single" w:color="auto" w:sz="4" w:space="0"/>
                    <w:right w:val="single" w:color="auto" w:sz="4" w:space="0"/>
                    <w:tl2br w:val="nil"/>
                    <w:tr2bl w:val="nil"/>
                  </w:tcBorders>
                  <w:noWrap w:val="0"/>
                  <w:vAlign w:val="center"/>
                </w:tcPr>
                <w:p w14:paraId="338674D2">
                  <w:pPr>
                    <w:keepNext w:val="0"/>
                    <w:keepLines w:val="0"/>
                    <w:pageBreakBefore w:val="0"/>
                    <w:widowControl w:val="0"/>
                    <w:kinsoku/>
                    <w:wordWrap/>
                    <w:overflowPunct/>
                    <w:topLinePunct w:val="0"/>
                    <w:autoSpaceDE/>
                    <w:autoSpaceDN/>
                    <w:bidi w:val="0"/>
                    <w:adjustRightInd/>
                    <w:snapToGrid w:val="0"/>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11.5</w:t>
                  </w:r>
                </w:p>
              </w:tc>
            </w:tr>
          </w:tbl>
          <w:p w14:paraId="22070380">
            <w:pPr>
              <w:snapToGrid w:val="0"/>
              <w:spacing w:line="360" w:lineRule="auto"/>
              <w:rPr>
                <w:sz w:val="24"/>
              </w:rPr>
            </w:pPr>
          </w:p>
        </w:tc>
      </w:tr>
    </w:tbl>
    <w:p w14:paraId="561CF2C0">
      <w:pPr>
        <w:pStyle w:val="37"/>
        <w:snapToGrid w:val="0"/>
        <w:spacing w:before="0" w:beforeAutospacing="0" w:after="0" w:afterAutospacing="0" w:line="288" w:lineRule="auto"/>
        <w:outlineLvl w:val="9"/>
        <w:rPr>
          <w:rFonts w:ascii="Times New Roman" w:hAnsi="Times New Roman"/>
          <w:b/>
          <w:snapToGrid w:val="0"/>
          <w:color w:val="000000"/>
          <w:sz w:val="32"/>
          <w:szCs w:val="32"/>
        </w:rPr>
      </w:pPr>
    </w:p>
    <w:p w14:paraId="303F8F40">
      <w:pPr>
        <w:pStyle w:val="37"/>
        <w:snapToGrid w:val="0"/>
        <w:spacing w:before="0" w:beforeAutospacing="0" w:after="0" w:afterAutospacing="0" w:line="288" w:lineRule="auto"/>
        <w:outlineLvl w:val="9"/>
        <w:rPr>
          <w:rFonts w:ascii="Times New Roman" w:hAnsi="Times New Roman"/>
          <w:b/>
          <w:snapToGrid w:val="0"/>
          <w:color w:val="000000"/>
          <w:sz w:val="32"/>
          <w:szCs w:val="32"/>
        </w:rPr>
      </w:pPr>
    </w:p>
    <w:p w14:paraId="518F9E75">
      <w:pPr>
        <w:pStyle w:val="37"/>
        <w:snapToGrid w:val="0"/>
        <w:spacing w:before="0" w:beforeAutospacing="0" w:after="0" w:afterAutospacing="0" w:line="288" w:lineRule="auto"/>
        <w:outlineLvl w:val="9"/>
        <w:rPr>
          <w:rFonts w:ascii="Times New Roman" w:hAnsi="Times New Roman"/>
          <w:b/>
          <w:snapToGrid w:val="0"/>
          <w:color w:val="000000"/>
          <w:sz w:val="32"/>
          <w:szCs w:val="32"/>
        </w:rPr>
        <w:sectPr>
          <w:pgSz w:w="11907" w:h="16840"/>
          <w:pgMar w:top="1392" w:right="1531" w:bottom="1134" w:left="1531" w:header="851" w:footer="992" w:gutter="0"/>
          <w:pgBorders>
            <w:top w:val="none" w:sz="0" w:space="0"/>
            <w:left w:val="none" w:sz="0" w:space="0"/>
            <w:bottom w:val="none" w:sz="0" w:space="0"/>
            <w:right w:val="none" w:sz="0" w:space="0"/>
          </w:pgBorders>
          <w:cols w:space="720" w:num="1"/>
          <w:docGrid w:linePitch="312" w:charSpace="0"/>
        </w:sectPr>
      </w:pPr>
    </w:p>
    <w:p w14:paraId="4298E3BC">
      <w:pPr>
        <w:pStyle w:val="37"/>
        <w:snapToGrid w:val="0"/>
        <w:spacing w:before="0" w:beforeAutospacing="0" w:after="0" w:afterAutospacing="0" w:line="288" w:lineRule="auto"/>
        <w:outlineLvl w:val="0"/>
        <w:rPr>
          <w:rFonts w:ascii="Times New Roman" w:hAnsi="Times New Roman"/>
          <w:b/>
          <w:snapToGrid w:val="0"/>
          <w:color w:val="000000"/>
          <w:sz w:val="32"/>
          <w:szCs w:val="32"/>
        </w:rPr>
      </w:pPr>
      <w:r>
        <w:rPr>
          <w:rFonts w:ascii="Times New Roman" w:hAnsi="Times New Roman"/>
          <w:b/>
          <w:snapToGrid w:val="0"/>
          <w:color w:val="000000"/>
          <w:sz w:val="32"/>
          <w:szCs w:val="32"/>
        </w:rPr>
        <w:t>五、</w:t>
      </w:r>
      <w:bookmarkStart w:id="39" w:name="_Hlk54167917"/>
      <w:r>
        <w:rPr>
          <w:rFonts w:ascii="Times New Roman" w:hAnsi="Times New Roman"/>
          <w:b/>
          <w:snapToGrid w:val="0"/>
          <w:color w:val="000000"/>
          <w:sz w:val="32"/>
          <w:szCs w:val="32"/>
        </w:rPr>
        <w:t>环境保护措施监督检查清单</w:t>
      </w:r>
      <w:bookmarkEnd w:id="39"/>
    </w:p>
    <w:tbl>
      <w:tblPr>
        <w:tblStyle w:val="41"/>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1275"/>
        <w:gridCol w:w="1276"/>
        <w:gridCol w:w="2977"/>
        <w:gridCol w:w="2579"/>
      </w:tblGrid>
      <w:tr w14:paraId="201B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49" w:type="dxa"/>
            <w:tcBorders>
              <w:tl2br w:val="single" w:color="auto" w:sz="4" w:space="0"/>
            </w:tcBorders>
            <w:noWrap w:val="0"/>
            <w:vAlign w:val="top"/>
          </w:tcPr>
          <w:p w14:paraId="60562075">
            <w:pPr>
              <w:adjustRightInd w:val="0"/>
              <w:snapToGrid w:val="0"/>
              <w:ind w:firstLine="211" w:firstLineChars="100"/>
              <w:rPr>
                <w:b/>
                <w:bCs/>
                <w:color w:val="000000"/>
                <w:sz w:val="21"/>
                <w:szCs w:val="21"/>
              </w:rPr>
            </w:pPr>
            <w:r>
              <w:rPr>
                <w:b/>
                <w:bCs/>
                <w:color w:val="000000"/>
                <w:sz w:val="21"/>
                <w:szCs w:val="21"/>
              </w:rPr>
              <w:t>内容</w:t>
            </w:r>
          </w:p>
          <w:p w14:paraId="3F6E5006">
            <w:pPr>
              <w:adjustRightInd w:val="0"/>
              <w:snapToGrid w:val="0"/>
              <w:ind w:firstLine="211" w:firstLineChars="100"/>
              <w:rPr>
                <w:b/>
                <w:bCs/>
                <w:color w:val="000000"/>
                <w:sz w:val="21"/>
                <w:szCs w:val="21"/>
              </w:rPr>
            </w:pPr>
          </w:p>
          <w:p w14:paraId="4976C299">
            <w:pPr>
              <w:adjustRightInd w:val="0"/>
              <w:snapToGrid w:val="0"/>
              <w:rPr>
                <w:b/>
                <w:bCs/>
                <w:color w:val="000000"/>
                <w:sz w:val="21"/>
                <w:szCs w:val="21"/>
              </w:rPr>
            </w:pPr>
            <w:r>
              <w:rPr>
                <w:b/>
                <w:bCs/>
                <w:color w:val="000000"/>
                <w:sz w:val="21"/>
                <w:szCs w:val="21"/>
              </w:rPr>
              <w:t>要素</w:t>
            </w:r>
          </w:p>
        </w:tc>
        <w:tc>
          <w:tcPr>
            <w:tcW w:w="1275" w:type="dxa"/>
            <w:tcBorders>
              <w:tl2br w:val="nil"/>
              <w:tr2bl w:val="nil"/>
            </w:tcBorders>
            <w:noWrap w:val="0"/>
            <w:vAlign w:val="center"/>
          </w:tcPr>
          <w:p w14:paraId="4DE4C56C">
            <w:pPr>
              <w:adjustRightInd w:val="0"/>
              <w:snapToGrid w:val="0"/>
              <w:jc w:val="center"/>
              <w:rPr>
                <w:b/>
                <w:bCs/>
                <w:color w:val="000000"/>
                <w:sz w:val="21"/>
                <w:szCs w:val="21"/>
              </w:rPr>
            </w:pPr>
            <w:r>
              <w:rPr>
                <w:b/>
                <w:bCs/>
                <w:color w:val="000000"/>
                <w:sz w:val="21"/>
                <w:szCs w:val="21"/>
              </w:rPr>
              <w:t>排放口</w:t>
            </w:r>
            <w:r>
              <w:rPr>
                <w:rFonts w:hint="eastAsia"/>
                <w:b/>
                <w:bCs/>
                <w:color w:val="000000"/>
                <w:sz w:val="21"/>
                <w:szCs w:val="21"/>
              </w:rPr>
              <w:t>（</w:t>
            </w:r>
            <w:r>
              <w:rPr>
                <w:b/>
                <w:bCs/>
                <w:color w:val="000000"/>
                <w:sz w:val="21"/>
                <w:szCs w:val="21"/>
              </w:rPr>
              <w:t>编号、名称</w:t>
            </w:r>
            <w:r>
              <w:rPr>
                <w:rFonts w:hint="eastAsia"/>
                <w:b/>
                <w:bCs/>
                <w:color w:val="000000"/>
                <w:sz w:val="21"/>
                <w:szCs w:val="21"/>
              </w:rPr>
              <w:t>）</w:t>
            </w:r>
            <w:r>
              <w:rPr>
                <w:b/>
                <w:bCs/>
                <w:color w:val="000000"/>
                <w:sz w:val="21"/>
                <w:szCs w:val="21"/>
              </w:rPr>
              <w:t>/污染源</w:t>
            </w:r>
          </w:p>
        </w:tc>
        <w:tc>
          <w:tcPr>
            <w:tcW w:w="1276" w:type="dxa"/>
            <w:tcBorders>
              <w:tl2br w:val="nil"/>
              <w:tr2bl w:val="nil"/>
            </w:tcBorders>
            <w:noWrap w:val="0"/>
            <w:vAlign w:val="center"/>
          </w:tcPr>
          <w:p w14:paraId="44B295E0">
            <w:pPr>
              <w:adjustRightInd w:val="0"/>
              <w:snapToGrid w:val="0"/>
              <w:jc w:val="center"/>
              <w:rPr>
                <w:b/>
                <w:bCs/>
                <w:color w:val="000000"/>
                <w:sz w:val="21"/>
                <w:szCs w:val="21"/>
              </w:rPr>
            </w:pPr>
            <w:r>
              <w:rPr>
                <w:b/>
                <w:bCs/>
                <w:color w:val="000000"/>
                <w:sz w:val="21"/>
                <w:szCs w:val="21"/>
              </w:rPr>
              <w:t>污染物项目</w:t>
            </w:r>
          </w:p>
        </w:tc>
        <w:tc>
          <w:tcPr>
            <w:tcW w:w="2977" w:type="dxa"/>
            <w:tcBorders>
              <w:tl2br w:val="nil"/>
              <w:tr2bl w:val="nil"/>
            </w:tcBorders>
            <w:noWrap w:val="0"/>
            <w:vAlign w:val="center"/>
          </w:tcPr>
          <w:p w14:paraId="05B440D6">
            <w:pPr>
              <w:adjustRightInd w:val="0"/>
              <w:snapToGrid w:val="0"/>
              <w:jc w:val="center"/>
              <w:rPr>
                <w:b/>
                <w:bCs/>
                <w:color w:val="000000"/>
                <w:sz w:val="21"/>
                <w:szCs w:val="21"/>
              </w:rPr>
            </w:pPr>
            <w:r>
              <w:rPr>
                <w:b/>
                <w:bCs/>
                <w:color w:val="000000"/>
                <w:sz w:val="21"/>
                <w:szCs w:val="21"/>
              </w:rPr>
              <w:t>环境保护措施</w:t>
            </w:r>
          </w:p>
        </w:tc>
        <w:tc>
          <w:tcPr>
            <w:tcW w:w="2579" w:type="dxa"/>
            <w:tcBorders>
              <w:tl2br w:val="nil"/>
              <w:tr2bl w:val="nil"/>
            </w:tcBorders>
            <w:noWrap w:val="0"/>
            <w:vAlign w:val="center"/>
          </w:tcPr>
          <w:p w14:paraId="5FC54425">
            <w:pPr>
              <w:adjustRightInd w:val="0"/>
              <w:snapToGrid w:val="0"/>
              <w:jc w:val="center"/>
              <w:rPr>
                <w:b/>
                <w:bCs/>
                <w:color w:val="000000"/>
                <w:sz w:val="21"/>
                <w:szCs w:val="21"/>
              </w:rPr>
            </w:pPr>
            <w:r>
              <w:rPr>
                <w:b/>
                <w:bCs/>
                <w:color w:val="000000"/>
                <w:sz w:val="21"/>
                <w:szCs w:val="21"/>
              </w:rPr>
              <w:t>执行标准</w:t>
            </w:r>
          </w:p>
        </w:tc>
      </w:tr>
      <w:tr w14:paraId="2A78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249" w:type="dxa"/>
            <w:vMerge w:val="restart"/>
            <w:tcBorders>
              <w:tl2br w:val="nil"/>
              <w:tr2bl w:val="nil"/>
            </w:tcBorders>
            <w:noWrap w:val="0"/>
            <w:vAlign w:val="center"/>
          </w:tcPr>
          <w:p w14:paraId="04D3EE16">
            <w:pPr>
              <w:adjustRightInd w:val="0"/>
              <w:snapToGrid w:val="0"/>
              <w:jc w:val="center"/>
              <w:rPr>
                <w:b/>
                <w:color w:val="000000"/>
                <w:sz w:val="21"/>
                <w:szCs w:val="21"/>
              </w:rPr>
            </w:pPr>
            <w:r>
              <w:rPr>
                <w:b/>
                <w:color w:val="000000"/>
                <w:sz w:val="21"/>
                <w:szCs w:val="21"/>
              </w:rPr>
              <w:t>大气环境</w:t>
            </w:r>
          </w:p>
        </w:tc>
        <w:tc>
          <w:tcPr>
            <w:tcW w:w="1275" w:type="dxa"/>
            <w:tcBorders>
              <w:tl2br w:val="nil"/>
              <w:tr2bl w:val="nil"/>
            </w:tcBorders>
            <w:noWrap w:val="0"/>
            <w:vAlign w:val="center"/>
          </w:tcPr>
          <w:p w14:paraId="1828D7C1">
            <w:pPr>
              <w:adjustRightInd w:val="0"/>
              <w:snapToGrid w:val="0"/>
              <w:spacing w:line="240" w:lineRule="exact"/>
              <w:jc w:val="center"/>
              <w:rPr>
                <w:rFonts w:hint="eastAsia"/>
                <w:bCs/>
                <w:kern w:val="2"/>
                <w:sz w:val="21"/>
                <w:szCs w:val="21"/>
                <w:highlight w:val="cyan"/>
                <w:lang w:val="en-US" w:eastAsia="zh-CN" w:bidi="ar-SA"/>
              </w:rPr>
            </w:pPr>
            <w:r>
              <w:rPr>
                <w:rFonts w:hint="eastAsia"/>
                <w:sz w:val="21"/>
                <w:szCs w:val="21"/>
                <w:highlight w:val="none"/>
                <w:lang w:val="en-US" w:eastAsia="zh-CN"/>
              </w:rPr>
              <w:t>工艺不凝气</w:t>
            </w:r>
          </w:p>
        </w:tc>
        <w:tc>
          <w:tcPr>
            <w:tcW w:w="1276" w:type="dxa"/>
            <w:tcBorders>
              <w:tl2br w:val="nil"/>
              <w:tr2bl w:val="nil"/>
            </w:tcBorders>
            <w:noWrap w:val="0"/>
            <w:vAlign w:val="center"/>
          </w:tcPr>
          <w:p w14:paraId="4BB91D06">
            <w:pPr>
              <w:adjustRightInd w:val="0"/>
              <w:snapToGrid w:val="0"/>
              <w:jc w:val="center"/>
              <w:rPr>
                <w:rFonts w:hint="eastAsia"/>
                <w:bCs/>
                <w:kern w:val="2"/>
                <w:sz w:val="21"/>
                <w:szCs w:val="21"/>
                <w:lang w:val="en-US" w:eastAsia="zh-CN" w:bidi="ar-SA"/>
              </w:rPr>
            </w:pPr>
            <w:r>
              <w:rPr>
                <w:rFonts w:hint="eastAsia"/>
                <w:bCs/>
                <w:sz w:val="21"/>
                <w:szCs w:val="21"/>
                <w:lang w:val="en-US" w:eastAsia="zh-CN"/>
              </w:rPr>
              <w:t>一氧化碳、甲烷、乙烷、正丁烯、正丁烷、正戊烯、正戊烷、正己烯、正己烷等</w:t>
            </w:r>
          </w:p>
        </w:tc>
        <w:tc>
          <w:tcPr>
            <w:tcW w:w="2977" w:type="dxa"/>
            <w:tcBorders>
              <w:tl2br w:val="nil"/>
              <w:tr2bl w:val="nil"/>
            </w:tcBorders>
            <w:noWrap w:val="0"/>
            <w:vAlign w:val="center"/>
          </w:tcPr>
          <w:p w14:paraId="21E12EF8">
            <w:pPr>
              <w:adjustRightInd w:val="0"/>
              <w:snapToGrid w:val="0"/>
              <w:jc w:val="center"/>
              <w:rPr>
                <w:rFonts w:hint="eastAsia"/>
                <w:kern w:val="2"/>
                <w:sz w:val="21"/>
                <w:szCs w:val="21"/>
                <w:lang w:val="en-US" w:eastAsia="zh-CN" w:bidi="ar-SA"/>
              </w:rPr>
            </w:pPr>
            <w:r>
              <w:rPr>
                <w:rFonts w:hint="eastAsia" w:ascii="Times New Roman" w:hAnsi="Times New Roman" w:eastAsia="宋体" w:cs="Times New Roman"/>
                <w:kern w:val="2"/>
                <w:sz w:val="21"/>
                <w:szCs w:val="21"/>
                <w:highlight w:val="none"/>
                <w:lang w:val="en-US" w:eastAsia="zh-CN"/>
              </w:rPr>
              <w:t>经</w:t>
            </w:r>
            <w:r>
              <w:rPr>
                <w:rFonts w:hint="eastAsia" w:ascii="Times New Roman" w:hAnsi="Times New Roman" w:eastAsia="宋体" w:cs="Times New Roman"/>
                <w:kern w:val="2"/>
                <w:sz w:val="21"/>
                <w:szCs w:val="21"/>
                <w:highlight w:val="none"/>
              </w:rPr>
              <w:t>过</w:t>
            </w:r>
            <w:r>
              <w:rPr>
                <w:rFonts w:hint="eastAsia" w:ascii="Times New Roman" w:hAnsi="Times New Roman" w:eastAsia="宋体" w:cs="Times New Roman"/>
                <w:kern w:val="2"/>
                <w:sz w:val="21"/>
                <w:szCs w:val="21"/>
                <w:highlight w:val="none"/>
                <w:lang w:val="en-US" w:eastAsia="zh-CN"/>
              </w:rPr>
              <w:t>合成装置</w:t>
            </w:r>
            <w:r>
              <w:rPr>
                <w:rFonts w:hint="eastAsia" w:ascii="Times New Roman" w:hAnsi="Times New Roman" w:eastAsia="宋体" w:cs="Times New Roman"/>
                <w:kern w:val="2"/>
                <w:sz w:val="21"/>
                <w:szCs w:val="21"/>
                <w:highlight w:val="none"/>
              </w:rPr>
              <w:t>释放气压缩机分液罐（26121-V018）分液后进入释放气压缩机（26121-C002A/B），释放气经四级压缩后送至下游的尾气脱碳单元进行处理。一、二、三、四级压缩凝液送至油水分离器（26111-V012）。</w:t>
            </w:r>
            <w:r>
              <w:rPr>
                <w:rFonts w:hint="eastAsia" w:ascii="Times New Roman" w:hAnsi="Times New Roman" w:eastAsia="宋体" w:cs="Times New Roman"/>
                <w:kern w:val="2"/>
                <w:sz w:val="21"/>
                <w:szCs w:val="21"/>
                <w:highlight w:val="none"/>
                <w:lang w:val="en-US" w:eastAsia="zh-CN"/>
              </w:rPr>
              <w:t>尾气脱碳单元一部分气体进入合</w:t>
            </w:r>
            <w:r>
              <w:rPr>
                <w:rFonts w:hint="eastAsia" w:cs="Times New Roman"/>
                <w:kern w:val="2"/>
                <w:sz w:val="21"/>
                <w:szCs w:val="21"/>
                <w:highlight w:val="none"/>
                <w:lang w:val="en-US" w:eastAsia="zh-CN"/>
              </w:rPr>
              <w:t>成装置产出产品，另一部分气体进入加工油洗单元</w:t>
            </w:r>
            <w:r>
              <w:rPr>
                <w:rFonts w:hint="eastAsia" w:ascii="Times New Roman" w:hAnsi="Times New Roman" w:eastAsia="宋体" w:cs="Times New Roman"/>
                <w:kern w:val="2"/>
                <w:sz w:val="21"/>
                <w:szCs w:val="21"/>
                <w:highlight w:val="none"/>
                <w:lang w:val="en-US" w:eastAsia="zh-CN"/>
              </w:rPr>
              <w:t>产出产品。</w:t>
            </w:r>
          </w:p>
        </w:tc>
        <w:tc>
          <w:tcPr>
            <w:tcW w:w="2579" w:type="dxa"/>
            <w:tcBorders>
              <w:tl2br w:val="nil"/>
              <w:tr2bl w:val="nil"/>
            </w:tcBorders>
            <w:noWrap w:val="0"/>
            <w:vAlign w:val="center"/>
          </w:tcPr>
          <w:p w14:paraId="1845D429">
            <w:pPr>
              <w:jc w:val="center"/>
              <w:rPr>
                <w:rFonts w:hint="eastAsia" w:eastAsia="宋体"/>
                <w:color w:val="000000"/>
                <w:kern w:val="0"/>
                <w:sz w:val="21"/>
                <w:szCs w:val="21"/>
                <w:lang w:val="en-US" w:eastAsia="zh-CN" w:bidi="ar-SA"/>
              </w:rPr>
            </w:pPr>
            <w:r>
              <w:rPr>
                <w:rFonts w:hint="eastAsia"/>
                <w:color w:val="000000"/>
                <w:kern w:val="0"/>
                <w:sz w:val="21"/>
                <w:szCs w:val="21"/>
                <w:lang w:val="en-US" w:eastAsia="zh-CN"/>
              </w:rPr>
              <w:t>/</w:t>
            </w:r>
          </w:p>
        </w:tc>
      </w:tr>
      <w:tr w14:paraId="4D0E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249" w:type="dxa"/>
            <w:vMerge w:val="continue"/>
            <w:tcBorders>
              <w:tl2br w:val="nil"/>
              <w:tr2bl w:val="nil"/>
            </w:tcBorders>
            <w:noWrap w:val="0"/>
            <w:vAlign w:val="center"/>
          </w:tcPr>
          <w:p w14:paraId="04965B86">
            <w:pPr>
              <w:adjustRightInd w:val="0"/>
              <w:snapToGrid w:val="0"/>
              <w:jc w:val="center"/>
              <w:rPr>
                <w:b/>
                <w:color w:val="000000"/>
                <w:sz w:val="21"/>
                <w:szCs w:val="21"/>
              </w:rPr>
            </w:pPr>
          </w:p>
        </w:tc>
        <w:tc>
          <w:tcPr>
            <w:tcW w:w="1275" w:type="dxa"/>
            <w:tcBorders>
              <w:tl2br w:val="nil"/>
              <w:tr2bl w:val="nil"/>
            </w:tcBorders>
            <w:noWrap w:val="0"/>
            <w:vAlign w:val="center"/>
          </w:tcPr>
          <w:p w14:paraId="7FEAFD3D">
            <w:pPr>
              <w:adjustRightInd w:val="0"/>
              <w:snapToGrid w:val="0"/>
              <w:spacing w:line="240" w:lineRule="exact"/>
              <w:jc w:val="center"/>
              <w:rPr>
                <w:color w:val="auto"/>
                <w:sz w:val="21"/>
                <w:szCs w:val="21"/>
                <w:highlight w:val="none"/>
              </w:rPr>
            </w:pPr>
            <w:r>
              <w:rPr>
                <w:rFonts w:hint="eastAsia"/>
                <w:bCs/>
                <w:sz w:val="21"/>
                <w:szCs w:val="21"/>
                <w:highlight w:val="none"/>
              </w:rPr>
              <w:t>储罐废气</w:t>
            </w:r>
          </w:p>
        </w:tc>
        <w:tc>
          <w:tcPr>
            <w:tcW w:w="1276" w:type="dxa"/>
            <w:tcBorders>
              <w:tl2br w:val="nil"/>
              <w:tr2bl w:val="nil"/>
            </w:tcBorders>
            <w:noWrap w:val="0"/>
            <w:vAlign w:val="center"/>
          </w:tcPr>
          <w:p w14:paraId="05BAAC69">
            <w:pPr>
              <w:adjustRightInd w:val="0"/>
              <w:snapToGrid w:val="0"/>
              <w:jc w:val="center"/>
              <w:rPr>
                <w:rFonts w:hint="eastAsia"/>
                <w:bCs/>
                <w:sz w:val="21"/>
                <w:szCs w:val="21"/>
                <w:lang w:val="en-US" w:eastAsia="zh-CN"/>
              </w:rPr>
            </w:pPr>
            <w:r>
              <w:rPr>
                <w:bCs/>
                <w:sz w:val="21"/>
                <w:szCs w:val="21"/>
                <w:highlight w:val="none"/>
              </w:rPr>
              <w:t>非甲烷总烃</w:t>
            </w:r>
          </w:p>
        </w:tc>
        <w:tc>
          <w:tcPr>
            <w:tcW w:w="2977" w:type="dxa"/>
            <w:tcBorders>
              <w:tl2br w:val="nil"/>
              <w:tr2bl w:val="nil"/>
            </w:tcBorders>
            <w:noWrap w:val="0"/>
            <w:vAlign w:val="center"/>
          </w:tcPr>
          <w:p w14:paraId="3E612C2E">
            <w:pPr>
              <w:adjustRightInd w:val="0"/>
              <w:snapToGrid w:val="0"/>
              <w:jc w:val="center"/>
              <w:rPr>
                <w:rFonts w:hint="eastAsia"/>
                <w:bCs/>
                <w:sz w:val="21"/>
                <w:szCs w:val="21"/>
              </w:rPr>
            </w:pPr>
            <w:r>
              <w:rPr>
                <w:rFonts w:hint="eastAsia"/>
                <w:bCs/>
                <w:sz w:val="21"/>
                <w:szCs w:val="21"/>
                <w:highlight w:val="none"/>
                <w:lang w:val="en-US" w:eastAsia="zh-CN"/>
              </w:rPr>
              <w:t>无组织排放</w:t>
            </w:r>
          </w:p>
        </w:tc>
        <w:tc>
          <w:tcPr>
            <w:tcW w:w="2579" w:type="dxa"/>
            <w:vMerge w:val="restart"/>
            <w:tcBorders>
              <w:tl2br w:val="nil"/>
              <w:tr2bl w:val="nil"/>
            </w:tcBorders>
            <w:noWrap w:val="0"/>
            <w:vAlign w:val="center"/>
          </w:tcPr>
          <w:p w14:paraId="12E69420">
            <w:pPr>
              <w:jc w:val="center"/>
              <w:rPr>
                <w:rFonts w:hint="eastAsia"/>
                <w:color w:val="000000"/>
                <w:kern w:val="0"/>
                <w:sz w:val="21"/>
                <w:szCs w:val="21"/>
                <w:lang w:val="en-US" w:eastAsia="zh-CN"/>
              </w:rPr>
            </w:pPr>
            <w:r>
              <w:rPr>
                <w:rFonts w:hint="eastAsia"/>
                <w:color w:val="000000"/>
                <w:kern w:val="0"/>
                <w:sz w:val="21"/>
                <w:szCs w:val="21"/>
                <w:lang w:val="en-US" w:eastAsia="zh-CN"/>
              </w:rPr>
              <w:t>《挥发性有机物无组织排放控制标准》（GB37822-2019）</w:t>
            </w:r>
          </w:p>
        </w:tc>
      </w:tr>
      <w:tr w14:paraId="5B35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249" w:type="dxa"/>
            <w:vMerge w:val="continue"/>
            <w:tcBorders>
              <w:tl2br w:val="nil"/>
              <w:tr2bl w:val="nil"/>
            </w:tcBorders>
            <w:noWrap w:val="0"/>
            <w:vAlign w:val="center"/>
          </w:tcPr>
          <w:p w14:paraId="5EB63173">
            <w:pPr>
              <w:adjustRightInd w:val="0"/>
              <w:snapToGrid w:val="0"/>
              <w:jc w:val="center"/>
              <w:rPr>
                <w:b/>
                <w:color w:val="000000"/>
                <w:sz w:val="21"/>
                <w:szCs w:val="21"/>
              </w:rPr>
            </w:pPr>
          </w:p>
        </w:tc>
        <w:tc>
          <w:tcPr>
            <w:tcW w:w="1275" w:type="dxa"/>
            <w:tcBorders>
              <w:tl2br w:val="nil"/>
              <w:tr2bl w:val="nil"/>
            </w:tcBorders>
            <w:noWrap w:val="0"/>
            <w:vAlign w:val="center"/>
          </w:tcPr>
          <w:p w14:paraId="12E8D666">
            <w:pPr>
              <w:adjustRightInd w:val="0"/>
              <w:snapToGrid w:val="0"/>
              <w:spacing w:line="240" w:lineRule="exact"/>
              <w:jc w:val="center"/>
              <w:rPr>
                <w:color w:val="auto"/>
                <w:sz w:val="21"/>
                <w:szCs w:val="21"/>
                <w:highlight w:val="none"/>
              </w:rPr>
            </w:pPr>
            <w:r>
              <w:rPr>
                <w:rFonts w:hint="eastAsia"/>
                <w:bCs/>
                <w:sz w:val="21"/>
                <w:szCs w:val="21"/>
                <w:highlight w:val="none"/>
              </w:rPr>
              <w:t>无组织废气</w:t>
            </w:r>
          </w:p>
        </w:tc>
        <w:tc>
          <w:tcPr>
            <w:tcW w:w="1276" w:type="dxa"/>
            <w:tcBorders>
              <w:tl2br w:val="nil"/>
              <w:tr2bl w:val="nil"/>
            </w:tcBorders>
            <w:noWrap w:val="0"/>
            <w:vAlign w:val="center"/>
          </w:tcPr>
          <w:p w14:paraId="7E8A6470">
            <w:pPr>
              <w:adjustRightInd w:val="0"/>
              <w:snapToGrid w:val="0"/>
              <w:jc w:val="center"/>
              <w:rPr>
                <w:rFonts w:hint="eastAsia"/>
                <w:bCs/>
                <w:sz w:val="21"/>
                <w:szCs w:val="21"/>
                <w:lang w:val="en-US" w:eastAsia="zh-CN"/>
              </w:rPr>
            </w:pPr>
            <w:r>
              <w:rPr>
                <w:rFonts w:hint="eastAsia"/>
                <w:bCs/>
                <w:sz w:val="21"/>
                <w:szCs w:val="21"/>
                <w:highlight w:val="none"/>
                <w:lang w:val="en-US" w:eastAsia="zh-CN"/>
              </w:rPr>
              <w:t>非甲烷总烃</w:t>
            </w:r>
          </w:p>
        </w:tc>
        <w:tc>
          <w:tcPr>
            <w:tcW w:w="2977" w:type="dxa"/>
            <w:tcBorders>
              <w:tl2br w:val="nil"/>
              <w:tr2bl w:val="nil"/>
            </w:tcBorders>
            <w:noWrap w:val="0"/>
            <w:vAlign w:val="center"/>
          </w:tcPr>
          <w:p w14:paraId="6F813C6A">
            <w:pPr>
              <w:adjustRightInd w:val="0"/>
              <w:snapToGrid w:val="0"/>
              <w:spacing w:line="240" w:lineRule="exact"/>
              <w:jc w:val="center"/>
              <w:rPr>
                <w:rFonts w:hint="eastAsia"/>
                <w:bCs/>
                <w:sz w:val="21"/>
                <w:szCs w:val="21"/>
              </w:rPr>
            </w:pPr>
            <w:r>
              <w:rPr>
                <w:rFonts w:hint="eastAsia"/>
                <w:sz w:val="21"/>
                <w:szCs w:val="21"/>
                <w:highlight w:val="none"/>
              </w:rPr>
              <w:t>无组织排放</w:t>
            </w:r>
          </w:p>
        </w:tc>
        <w:tc>
          <w:tcPr>
            <w:tcW w:w="2579" w:type="dxa"/>
            <w:vMerge w:val="continue"/>
            <w:tcBorders>
              <w:tl2br w:val="nil"/>
              <w:tr2bl w:val="nil"/>
            </w:tcBorders>
            <w:noWrap w:val="0"/>
            <w:vAlign w:val="center"/>
          </w:tcPr>
          <w:p w14:paraId="4F58480D">
            <w:pPr>
              <w:jc w:val="center"/>
              <w:rPr>
                <w:rFonts w:hint="eastAsia"/>
                <w:color w:val="000000"/>
                <w:kern w:val="0"/>
                <w:sz w:val="21"/>
                <w:szCs w:val="21"/>
                <w:lang w:val="en-US" w:eastAsia="zh-CN"/>
              </w:rPr>
            </w:pPr>
          </w:p>
        </w:tc>
      </w:tr>
      <w:tr w14:paraId="7FC9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249" w:type="dxa"/>
            <w:vMerge w:val="continue"/>
            <w:tcBorders>
              <w:tl2br w:val="nil"/>
              <w:tr2bl w:val="nil"/>
            </w:tcBorders>
            <w:noWrap w:val="0"/>
            <w:vAlign w:val="center"/>
          </w:tcPr>
          <w:p w14:paraId="7F989CAD">
            <w:pPr>
              <w:adjustRightInd w:val="0"/>
              <w:snapToGrid w:val="0"/>
              <w:jc w:val="center"/>
              <w:rPr>
                <w:b/>
                <w:color w:val="000000"/>
                <w:sz w:val="21"/>
                <w:szCs w:val="21"/>
              </w:rPr>
            </w:pPr>
          </w:p>
        </w:tc>
        <w:tc>
          <w:tcPr>
            <w:tcW w:w="1275" w:type="dxa"/>
            <w:tcBorders>
              <w:tl2br w:val="nil"/>
              <w:tr2bl w:val="nil"/>
            </w:tcBorders>
            <w:noWrap w:val="0"/>
            <w:vAlign w:val="center"/>
          </w:tcPr>
          <w:p w14:paraId="39C30024">
            <w:pPr>
              <w:adjustRightInd w:val="0"/>
              <w:snapToGrid w:val="0"/>
              <w:spacing w:line="240" w:lineRule="exact"/>
              <w:jc w:val="center"/>
              <w:rPr>
                <w:color w:val="auto"/>
                <w:sz w:val="21"/>
                <w:szCs w:val="21"/>
                <w:highlight w:val="none"/>
              </w:rPr>
            </w:pPr>
            <w:r>
              <w:rPr>
                <w:sz w:val="21"/>
                <w:szCs w:val="21"/>
                <w:highlight w:val="none"/>
              </w:rPr>
              <w:t>非正常工况废气</w:t>
            </w:r>
          </w:p>
        </w:tc>
        <w:tc>
          <w:tcPr>
            <w:tcW w:w="1276" w:type="dxa"/>
            <w:tcBorders>
              <w:tl2br w:val="nil"/>
              <w:tr2bl w:val="nil"/>
            </w:tcBorders>
            <w:noWrap w:val="0"/>
            <w:vAlign w:val="center"/>
          </w:tcPr>
          <w:p w14:paraId="139EE108">
            <w:pPr>
              <w:adjustRightInd w:val="0"/>
              <w:snapToGrid w:val="0"/>
              <w:jc w:val="center"/>
              <w:rPr>
                <w:rFonts w:hint="eastAsia"/>
                <w:bCs/>
                <w:sz w:val="21"/>
                <w:szCs w:val="21"/>
                <w:lang w:val="en-US" w:eastAsia="zh-CN"/>
              </w:rPr>
            </w:pPr>
            <w:r>
              <w:rPr>
                <w:rFonts w:hint="eastAsia"/>
                <w:bCs/>
                <w:sz w:val="21"/>
                <w:szCs w:val="21"/>
                <w:highlight w:val="none"/>
                <w:lang w:val="en-US" w:eastAsia="zh-CN"/>
              </w:rPr>
              <w:t>烃类</w:t>
            </w:r>
          </w:p>
        </w:tc>
        <w:tc>
          <w:tcPr>
            <w:tcW w:w="2977" w:type="dxa"/>
            <w:tcBorders>
              <w:tl2br w:val="nil"/>
              <w:tr2bl w:val="nil"/>
            </w:tcBorders>
            <w:noWrap w:val="0"/>
            <w:vAlign w:val="center"/>
          </w:tcPr>
          <w:p w14:paraId="23509605">
            <w:pPr>
              <w:adjustRightInd w:val="0"/>
              <w:snapToGrid w:val="0"/>
              <w:jc w:val="center"/>
              <w:rPr>
                <w:rFonts w:hint="eastAsia" w:eastAsia="宋体"/>
                <w:bCs/>
                <w:sz w:val="21"/>
                <w:szCs w:val="21"/>
                <w:lang w:eastAsia="zh-CN"/>
              </w:rPr>
            </w:pPr>
            <w:r>
              <w:rPr>
                <w:rFonts w:hint="eastAsia"/>
                <w:bCs/>
                <w:sz w:val="21"/>
                <w:szCs w:val="21"/>
                <w:highlight w:val="none"/>
              </w:rPr>
              <w:t>进入火炬系统</w:t>
            </w:r>
            <w:r>
              <w:rPr>
                <w:rFonts w:hint="eastAsia"/>
                <w:bCs/>
                <w:sz w:val="21"/>
                <w:szCs w:val="21"/>
                <w:highlight w:val="none"/>
                <w:lang w:eastAsia="zh-CN"/>
              </w:rPr>
              <w:t>进行</w:t>
            </w:r>
            <w:r>
              <w:rPr>
                <w:rFonts w:hint="eastAsia"/>
                <w:bCs/>
                <w:sz w:val="21"/>
                <w:szCs w:val="21"/>
                <w:highlight w:val="none"/>
              </w:rPr>
              <w:t>燃烧</w:t>
            </w:r>
            <w:r>
              <w:rPr>
                <w:rFonts w:hint="eastAsia"/>
                <w:bCs/>
                <w:sz w:val="21"/>
                <w:szCs w:val="21"/>
                <w:highlight w:val="none"/>
                <w:lang w:eastAsia="zh-CN"/>
              </w:rPr>
              <w:t>。</w:t>
            </w:r>
          </w:p>
        </w:tc>
        <w:tc>
          <w:tcPr>
            <w:tcW w:w="2579" w:type="dxa"/>
            <w:vMerge w:val="continue"/>
            <w:tcBorders>
              <w:tl2br w:val="nil"/>
              <w:tr2bl w:val="nil"/>
            </w:tcBorders>
            <w:noWrap w:val="0"/>
            <w:vAlign w:val="center"/>
          </w:tcPr>
          <w:p w14:paraId="7140C87E">
            <w:pPr>
              <w:jc w:val="center"/>
              <w:rPr>
                <w:rFonts w:hint="eastAsia"/>
                <w:color w:val="000000"/>
                <w:kern w:val="0"/>
                <w:sz w:val="21"/>
                <w:szCs w:val="21"/>
                <w:lang w:val="en-US" w:eastAsia="zh-CN"/>
              </w:rPr>
            </w:pPr>
          </w:p>
        </w:tc>
      </w:tr>
      <w:tr w14:paraId="2AF1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249" w:type="dxa"/>
            <w:tcBorders>
              <w:tl2br w:val="nil"/>
              <w:tr2bl w:val="nil"/>
            </w:tcBorders>
            <w:noWrap w:val="0"/>
            <w:vAlign w:val="center"/>
          </w:tcPr>
          <w:p w14:paraId="3934D119">
            <w:pPr>
              <w:adjustRightInd w:val="0"/>
              <w:snapToGrid w:val="0"/>
              <w:jc w:val="center"/>
              <w:rPr>
                <w:b/>
                <w:color w:val="000000"/>
                <w:sz w:val="21"/>
                <w:szCs w:val="21"/>
              </w:rPr>
            </w:pPr>
            <w:r>
              <w:rPr>
                <w:b/>
                <w:color w:val="000000"/>
                <w:sz w:val="21"/>
                <w:szCs w:val="21"/>
              </w:rPr>
              <w:t>地表水环境</w:t>
            </w:r>
          </w:p>
        </w:tc>
        <w:tc>
          <w:tcPr>
            <w:tcW w:w="1275" w:type="dxa"/>
            <w:tcBorders>
              <w:tl2br w:val="nil"/>
              <w:tr2bl w:val="nil"/>
            </w:tcBorders>
            <w:noWrap w:val="0"/>
            <w:vAlign w:val="center"/>
          </w:tcPr>
          <w:p w14:paraId="05BFF3E2">
            <w:pPr>
              <w:adjustRightInd w:val="0"/>
              <w:snapToGrid w:val="0"/>
              <w:jc w:val="center"/>
              <w:rPr>
                <w:rFonts w:hint="default" w:eastAsia="宋体"/>
                <w:bCs/>
                <w:kern w:val="2"/>
                <w:sz w:val="21"/>
                <w:szCs w:val="21"/>
                <w:lang w:val="en-US" w:eastAsia="zh-CN" w:bidi="ar-SA"/>
              </w:rPr>
            </w:pPr>
            <w:r>
              <w:rPr>
                <w:rFonts w:hint="eastAsia"/>
                <w:sz w:val="21"/>
                <w:szCs w:val="21"/>
                <w:lang w:val="en-US" w:eastAsia="zh-CN"/>
              </w:rPr>
              <w:t>水洗废水、凝结水</w:t>
            </w:r>
          </w:p>
        </w:tc>
        <w:tc>
          <w:tcPr>
            <w:tcW w:w="1276" w:type="dxa"/>
            <w:tcBorders>
              <w:tl2br w:val="nil"/>
              <w:tr2bl w:val="nil"/>
            </w:tcBorders>
            <w:noWrap w:val="0"/>
            <w:vAlign w:val="center"/>
          </w:tcPr>
          <w:p w14:paraId="22B250B6">
            <w:pPr>
              <w:snapToGrid w:val="0"/>
              <w:jc w:val="center"/>
              <w:rPr>
                <w:rFonts w:hint="default" w:eastAsia="宋体"/>
                <w:kern w:val="2"/>
                <w:sz w:val="21"/>
                <w:szCs w:val="21"/>
                <w:lang w:val="en-US" w:eastAsia="zh-CN" w:bidi="ar-SA"/>
              </w:rPr>
            </w:pPr>
            <w:r>
              <w:rPr>
                <w:sz w:val="21"/>
                <w:szCs w:val="21"/>
              </w:rPr>
              <w:t>COD、</w:t>
            </w:r>
            <w:r>
              <w:rPr>
                <w:rFonts w:hint="eastAsia"/>
                <w:sz w:val="21"/>
                <w:szCs w:val="21"/>
                <w:lang w:val="en-US" w:eastAsia="zh-CN"/>
              </w:rPr>
              <w:t>SS、石油类</w:t>
            </w:r>
          </w:p>
        </w:tc>
        <w:tc>
          <w:tcPr>
            <w:tcW w:w="2977" w:type="dxa"/>
            <w:tcBorders>
              <w:tl2br w:val="nil"/>
              <w:tr2bl w:val="nil"/>
            </w:tcBorders>
            <w:noWrap w:val="0"/>
            <w:vAlign w:val="center"/>
          </w:tcPr>
          <w:p w14:paraId="2E71FB65">
            <w:pPr>
              <w:snapToGrid w:val="0"/>
              <w:jc w:val="center"/>
              <w:rPr>
                <w:kern w:val="2"/>
                <w:sz w:val="21"/>
                <w:szCs w:val="21"/>
                <w:lang w:val="en-US" w:eastAsia="zh-CN" w:bidi="ar-SA"/>
              </w:rPr>
            </w:pPr>
            <w:r>
              <w:rPr>
                <w:rFonts w:hint="eastAsia"/>
                <w:sz w:val="21"/>
                <w:szCs w:val="21"/>
                <w:lang w:val="en-US" w:eastAsia="zh-CN"/>
              </w:rPr>
              <w:t>水洗废水和凝结水一并</w:t>
            </w:r>
            <w:r>
              <w:rPr>
                <w:rFonts w:hint="eastAsia"/>
                <w:sz w:val="21"/>
                <w:szCs w:val="21"/>
              </w:rPr>
              <w:t>送</w:t>
            </w:r>
            <w:r>
              <w:rPr>
                <w:rFonts w:hint="eastAsia"/>
                <w:sz w:val="21"/>
                <w:szCs w:val="21"/>
                <w:lang w:eastAsia="zh-CN"/>
              </w:rPr>
              <w:t>污水处理厂</w:t>
            </w:r>
            <w:r>
              <w:rPr>
                <w:rFonts w:hint="eastAsia"/>
                <w:sz w:val="21"/>
                <w:szCs w:val="21"/>
              </w:rPr>
              <w:t>处理。</w:t>
            </w:r>
          </w:p>
        </w:tc>
        <w:tc>
          <w:tcPr>
            <w:tcW w:w="2579" w:type="dxa"/>
            <w:tcBorders>
              <w:tl2br w:val="nil"/>
              <w:tr2bl w:val="nil"/>
            </w:tcBorders>
            <w:noWrap w:val="0"/>
            <w:vAlign w:val="center"/>
          </w:tcPr>
          <w:p w14:paraId="5FB31043">
            <w:pPr>
              <w:adjustRightInd w:val="0"/>
              <w:snapToGrid w:val="0"/>
              <w:jc w:val="center"/>
              <w:rPr>
                <w:rFonts w:hint="eastAsia" w:eastAsia="宋体"/>
                <w:color w:val="000000"/>
                <w:sz w:val="21"/>
                <w:szCs w:val="21"/>
                <w:lang w:eastAsia="zh-CN"/>
              </w:rPr>
            </w:pPr>
            <w:r>
              <w:rPr>
                <w:rFonts w:hint="eastAsia"/>
                <w:bCs/>
                <w:sz w:val="21"/>
                <w:szCs w:val="21"/>
                <w:highlight w:val="none"/>
                <w:lang w:val="en-US" w:eastAsia="zh-CN"/>
              </w:rPr>
              <w:t>厂区</w:t>
            </w:r>
            <w:r>
              <w:rPr>
                <w:rFonts w:hint="eastAsia"/>
                <w:bCs/>
                <w:sz w:val="21"/>
                <w:szCs w:val="21"/>
                <w:highlight w:val="none"/>
              </w:rPr>
              <w:t>综合污水</w:t>
            </w:r>
            <w:r>
              <w:rPr>
                <w:rFonts w:hint="eastAsia"/>
                <w:bCs/>
                <w:sz w:val="21"/>
                <w:szCs w:val="21"/>
                <w:highlight w:val="none"/>
                <w:lang w:val="en-US" w:eastAsia="zh-CN"/>
              </w:rPr>
              <w:t>处理厂</w:t>
            </w:r>
            <w:r>
              <w:rPr>
                <w:rFonts w:hint="eastAsia"/>
                <w:bCs/>
                <w:sz w:val="21"/>
                <w:szCs w:val="21"/>
                <w:highlight w:val="none"/>
              </w:rPr>
              <w:t>进水水质</w:t>
            </w:r>
            <w:r>
              <w:rPr>
                <w:rFonts w:hint="eastAsia"/>
                <w:bCs/>
                <w:sz w:val="21"/>
                <w:szCs w:val="21"/>
                <w:highlight w:val="none"/>
                <w:lang w:val="en-US" w:eastAsia="zh-CN"/>
              </w:rPr>
              <w:t>要求</w:t>
            </w:r>
          </w:p>
        </w:tc>
      </w:tr>
      <w:tr w14:paraId="647F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49" w:type="dxa"/>
            <w:tcBorders>
              <w:tl2br w:val="nil"/>
              <w:tr2bl w:val="nil"/>
            </w:tcBorders>
            <w:noWrap w:val="0"/>
            <w:vAlign w:val="center"/>
          </w:tcPr>
          <w:p w14:paraId="4E6375D7">
            <w:pPr>
              <w:adjustRightInd w:val="0"/>
              <w:snapToGrid w:val="0"/>
              <w:jc w:val="center"/>
              <w:rPr>
                <w:b/>
                <w:color w:val="000000"/>
                <w:sz w:val="21"/>
                <w:szCs w:val="21"/>
              </w:rPr>
            </w:pPr>
            <w:r>
              <w:rPr>
                <w:b/>
                <w:color w:val="000000"/>
                <w:sz w:val="21"/>
                <w:szCs w:val="21"/>
              </w:rPr>
              <w:t>声环境</w:t>
            </w:r>
          </w:p>
        </w:tc>
        <w:tc>
          <w:tcPr>
            <w:tcW w:w="1275" w:type="dxa"/>
            <w:tcBorders>
              <w:tl2br w:val="nil"/>
              <w:tr2bl w:val="nil"/>
            </w:tcBorders>
            <w:noWrap w:val="0"/>
            <w:vAlign w:val="center"/>
          </w:tcPr>
          <w:p w14:paraId="2E24AB9F">
            <w:pPr>
              <w:adjustRightInd w:val="0"/>
              <w:snapToGrid w:val="0"/>
              <w:jc w:val="center"/>
              <w:rPr>
                <w:color w:val="000000"/>
                <w:sz w:val="21"/>
                <w:szCs w:val="21"/>
              </w:rPr>
            </w:pPr>
            <w:r>
              <w:rPr>
                <w:color w:val="000000"/>
                <w:sz w:val="21"/>
                <w:szCs w:val="21"/>
              </w:rPr>
              <w:t>机械噪声</w:t>
            </w:r>
          </w:p>
        </w:tc>
        <w:tc>
          <w:tcPr>
            <w:tcW w:w="1276" w:type="dxa"/>
            <w:tcBorders>
              <w:tl2br w:val="nil"/>
              <w:tr2bl w:val="nil"/>
            </w:tcBorders>
            <w:noWrap w:val="0"/>
            <w:vAlign w:val="center"/>
          </w:tcPr>
          <w:p w14:paraId="140B8910">
            <w:pPr>
              <w:adjustRightInd w:val="0"/>
              <w:snapToGrid w:val="0"/>
              <w:jc w:val="center"/>
              <w:rPr>
                <w:color w:val="000000"/>
                <w:sz w:val="21"/>
                <w:szCs w:val="21"/>
              </w:rPr>
            </w:pPr>
            <w:r>
              <w:rPr>
                <w:color w:val="000000"/>
                <w:sz w:val="21"/>
                <w:szCs w:val="21"/>
              </w:rPr>
              <w:t>噪声</w:t>
            </w:r>
          </w:p>
        </w:tc>
        <w:tc>
          <w:tcPr>
            <w:tcW w:w="2977" w:type="dxa"/>
            <w:tcBorders>
              <w:tl2br w:val="nil"/>
              <w:tr2bl w:val="nil"/>
            </w:tcBorders>
            <w:noWrap w:val="0"/>
            <w:vAlign w:val="center"/>
          </w:tcPr>
          <w:p w14:paraId="6EA503EF">
            <w:pPr>
              <w:adjustRightInd w:val="0"/>
              <w:snapToGrid w:val="0"/>
              <w:jc w:val="center"/>
              <w:rPr>
                <w:color w:val="000000"/>
                <w:sz w:val="21"/>
                <w:szCs w:val="21"/>
              </w:rPr>
            </w:pPr>
            <w:r>
              <w:rPr>
                <w:color w:val="000000"/>
                <w:sz w:val="21"/>
                <w:szCs w:val="21"/>
              </w:rPr>
              <w:t>选用低噪声设备，采取隔声、消音等措施。</w:t>
            </w:r>
          </w:p>
        </w:tc>
        <w:tc>
          <w:tcPr>
            <w:tcW w:w="2579" w:type="dxa"/>
            <w:tcBorders>
              <w:tl2br w:val="nil"/>
              <w:tr2bl w:val="nil"/>
            </w:tcBorders>
            <w:noWrap w:val="0"/>
            <w:vAlign w:val="center"/>
          </w:tcPr>
          <w:p w14:paraId="12484928">
            <w:pPr>
              <w:adjustRightInd w:val="0"/>
              <w:snapToGrid w:val="0"/>
              <w:jc w:val="center"/>
              <w:rPr>
                <w:rFonts w:hint="eastAsia"/>
                <w:color w:val="000000"/>
                <w:sz w:val="21"/>
                <w:szCs w:val="21"/>
              </w:rPr>
            </w:pPr>
            <w:r>
              <w:rPr>
                <w:color w:val="000000"/>
                <w:sz w:val="21"/>
                <w:szCs w:val="21"/>
              </w:rPr>
              <w:t>《工业企业厂界环境噪声标准》（GB12348-2008）3类标准要求</w:t>
            </w:r>
          </w:p>
        </w:tc>
      </w:tr>
      <w:tr w14:paraId="6D4BB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49" w:type="dxa"/>
            <w:tcBorders>
              <w:tl2br w:val="nil"/>
              <w:tr2bl w:val="nil"/>
            </w:tcBorders>
            <w:noWrap w:val="0"/>
            <w:vAlign w:val="center"/>
          </w:tcPr>
          <w:p w14:paraId="0DA3D34F">
            <w:pPr>
              <w:adjustRightInd w:val="0"/>
              <w:snapToGrid w:val="0"/>
              <w:jc w:val="center"/>
              <w:rPr>
                <w:b/>
                <w:color w:val="000000"/>
                <w:sz w:val="21"/>
                <w:szCs w:val="21"/>
              </w:rPr>
            </w:pPr>
            <w:r>
              <w:rPr>
                <w:b/>
                <w:color w:val="000000"/>
                <w:sz w:val="21"/>
                <w:szCs w:val="21"/>
              </w:rPr>
              <w:t>电磁辐射</w:t>
            </w:r>
          </w:p>
        </w:tc>
        <w:tc>
          <w:tcPr>
            <w:tcW w:w="1275" w:type="dxa"/>
            <w:tcBorders>
              <w:tl2br w:val="nil"/>
              <w:tr2bl w:val="nil"/>
            </w:tcBorders>
            <w:noWrap w:val="0"/>
            <w:vAlign w:val="center"/>
          </w:tcPr>
          <w:p w14:paraId="140256E8">
            <w:pPr>
              <w:adjustRightInd w:val="0"/>
              <w:snapToGrid w:val="0"/>
              <w:jc w:val="center"/>
              <w:rPr>
                <w:color w:val="000000"/>
                <w:sz w:val="21"/>
                <w:szCs w:val="21"/>
              </w:rPr>
            </w:pPr>
            <w:r>
              <w:rPr>
                <w:color w:val="000000"/>
                <w:sz w:val="21"/>
                <w:szCs w:val="21"/>
              </w:rPr>
              <w:t>无</w:t>
            </w:r>
          </w:p>
        </w:tc>
        <w:tc>
          <w:tcPr>
            <w:tcW w:w="1276" w:type="dxa"/>
            <w:tcBorders>
              <w:tl2br w:val="nil"/>
              <w:tr2bl w:val="nil"/>
            </w:tcBorders>
            <w:noWrap w:val="0"/>
            <w:vAlign w:val="center"/>
          </w:tcPr>
          <w:p w14:paraId="3522A881">
            <w:pPr>
              <w:adjustRightInd w:val="0"/>
              <w:snapToGrid w:val="0"/>
              <w:jc w:val="center"/>
              <w:rPr>
                <w:color w:val="000000"/>
                <w:sz w:val="21"/>
                <w:szCs w:val="21"/>
              </w:rPr>
            </w:pPr>
            <w:r>
              <w:rPr>
                <w:color w:val="000000"/>
                <w:sz w:val="21"/>
                <w:szCs w:val="21"/>
              </w:rPr>
              <w:t>无</w:t>
            </w:r>
          </w:p>
        </w:tc>
        <w:tc>
          <w:tcPr>
            <w:tcW w:w="2977" w:type="dxa"/>
            <w:tcBorders>
              <w:tl2br w:val="nil"/>
              <w:tr2bl w:val="nil"/>
            </w:tcBorders>
            <w:noWrap w:val="0"/>
            <w:vAlign w:val="center"/>
          </w:tcPr>
          <w:p w14:paraId="46CB65C5">
            <w:pPr>
              <w:adjustRightInd w:val="0"/>
              <w:snapToGrid w:val="0"/>
              <w:jc w:val="center"/>
              <w:rPr>
                <w:color w:val="000000"/>
                <w:sz w:val="21"/>
                <w:szCs w:val="21"/>
              </w:rPr>
            </w:pPr>
            <w:r>
              <w:rPr>
                <w:color w:val="000000"/>
                <w:sz w:val="21"/>
                <w:szCs w:val="21"/>
              </w:rPr>
              <w:t>无</w:t>
            </w:r>
          </w:p>
        </w:tc>
        <w:tc>
          <w:tcPr>
            <w:tcW w:w="2579" w:type="dxa"/>
            <w:tcBorders>
              <w:tl2br w:val="nil"/>
              <w:tr2bl w:val="nil"/>
            </w:tcBorders>
            <w:noWrap w:val="0"/>
            <w:vAlign w:val="center"/>
          </w:tcPr>
          <w:p w14:paraId="33129283">
            <w:pPr>
              <w:adjustRightInd w:val="0"/>
              <w:snapToGrid w:val="0"/>
              <w:jc w:val="center"/>
              <w:rPr>
                <w:color w:val="000000"/>
                <w:sz w:val="21"/>
                <w:szCs w:val="21"/>
              </w:rPr>
            </w:pPr>
            <w:r>
              <w:rPr>
                <w:color w:val="000000"/>
                <w:sz w:val="21"/>
                <w:szCs w:val="21"/>
              </w:rPr>
              <w:t>无</w:t>
            </w:r>
          </w:p>
        </w:tc>
      </w:tr>
      <w:tr w14:paraId="73F5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249" w:type="dxa"/>
            <w:tcBorders>
              <w:tl2br w:val="nil"/>
              <w:tr2bl w:val="nil"/>
            </w:tcBorders>
            <w:noWrap w:val="0"/>
            <w:vAlign w:val="center"/>
          </w:tcPr>
          <w:p w14:paraId="7DA4C83C">
            <w:pPr>
              <w:adjustRightInd w:val="0"/>
              <w:snapToGrid w:val="0"/>
              <w:jc w:val="center"/>
              <w:rPr>
                <w:b/>
                <w:color w:val="000000"/>
                <w:sz w:val="21"/>
                <w:szCs w:val="21"/>
              </w:rPr>
            </w:pPr>
            <w:r>
              <w:rPr>
                <w:b/>
                <w:color w:val="000000"/>
                <w:sz w:val="21"/>
                <w:szCs w:val="21"/>
              </w:rPr>
              <w:t>固体废物</w:t>
            </w:r>
          </w:p>
        </w:tc>
        <w:tc>
          <w:tcPr>
            <w:tcW w:w="1275" w:type="dxa"/>
            <w:tcBorders>
              <w:tl2br w:val="nil"/>
              <w:tr2bl w:val="nil"/>
            </w:tcBorders>
            <w:noWrap w:val="0"/>
            <w:vAlign w:val="center"/>
          </w:tcPr>
          <w:p w14:paraId="0465F887">
            <w:pPr>
              <w:adjustRightInd w:val="0"/>
              <w:snapToGrid w:val="0"/>
              <w:jc w:val="center"/>
              <w:rPr>
                <w:color w:val="000000"/>
                <w:sz w:val="21"/>
                <w:szCs w:val="21"/>
              </w:rPr>
            </w:pPr>
            <w:r>
              <w:rPr>
                <w:color w:val="000000"/>
                <w:sz w:val="21"/>
                <w:szCs w:val="21"/>
              </w:rPr>
              <w:t>厂区</w:t>
            </w:r>
          </w:p>
        </w:tc>
        <w:tc>
          <w:tcPr>
            <w:tcW w:w="1276" w:type="dxa"/>
            <w:tcBorders>
              <w:tl2br w:val="nil"/>
              <w:tr2bl w:val="nil"/>
            </w:tcBorders>
            <w:noWrap w:val="0"/>
            <w:vAlign w:val="center"/>
          </w:tcPr>
          <w:p w14:paraId="62E0A9F4">
            <w:pPr>
              <w:adjustRightInd w:val="0"/>
              <w:snapToGrid w:val="0"/>
              <w:jc w:val="center"/>
              <w:rPr>
                <w:rFonts w:hint="eastAsia" w:eastAsia="宋体"/>
                <w:bCs/>
                <w:kern w:val="2"/>
                <w:sz w:val="21"/>
                <w:szCs w:val="21"/>
                <w:lang w:val="en-US" w:eastAsia="zh-CN" w:bidi="ar-SA"/>
              </w:rPr>
            </w:pPr>
            <w:r>
              <w:rPr>
                <w:bCs/>
                <w:sz w:val="21"/>
                <w:szCs w:val="21"/>
              </w:rPr>
              <w:t>废</w:t>
            </w:r>
            <w:r>
              <w:rPr>
                <w:rFonts w:hint="eastAsia"/>
                <w:bCs/>
                <w:sz w:val="21"/>
                <w:szCs w:val="21"/>
                <w:lang w:val="en-US" w:eastAsia="zh-CN"/>
              </w:rPr>
              <w:t>机油</w:t>
            </w:r>
          </w:p>
        </w:tc>
        <w:tc>
          <w:tcPr>
            <w:tcW w:w="2977" w:type="dxa"/>
            <w:tcBorders>
              <w:tl2br w:val="nil"/>
              <w:tr2bl w:val="nil"/>
            </w:tcBorders>
            <w:noWrap w:val="0"/>
            <w:vAlign w:val="center"/>
          </w:tcPr>
          <w:p w14:paraId="3AE312B2">
            <w:pPr>
              <w:adjustRightInd w:val="0"/>
              <w:snapToGrid w:val="0"/>
              <w:jc w:val="center"/>
              <w:rPr>
                <w:rFonts w:hint="eastAsia"/>
                <w:bCs/>
                <w:kern w:val="2"/>
                <w:sz w:val="21"/>
                <w:szCs w:val="21"/>
                <w:lang w:val="en-US" w:eastAsia="zh-CN" w:bidi="ar-SA"/>
              </w:rPr>
            </w:pPr>
            <w:r>
              <w:rPr>
                <w:sz w:val="21"/>
                <w:szCs w:val="21"/>
              </w:rPr>
              <w:t>定期更换后暂存于厂内危废暂存间，最终交由有资质单位处置</w:t>
            </w:r>
            <w:r>
              <w:rPr>
                <w:rFonts w:hint="eastAsia"/>
                <w:sz w:val="21"/>
                <w:szCs w:val="21"/>
              </w:rPr>
              <w:t>。</w:t>
            </w:r>
          </w:p>
        </w:tc>
        <w:tc>
          <w:tcPr>
            <w:tcW w:w="2579" w:type="dxa"/>
            <w:tcBorders>
              <w:tl2br w:val="nil"/>
              <w:tr2bl w:val="nil"/>
            </w:tcBorders>
            <w:noWrap w:val="0"/>
            <w:vAlign w:val="center"/>
          </w:tcPr>
          <w:p w14:paraId="44758AA6">
            <w:pPr>
              <w:adjustRightInd w:val="0"/>
              <w:snapToGrid w:val="0"/>
              <w:rPr>
                <w:rFonts w:hint="eastAsia"/>
                <w:color w:val="000000"/>
                <w:sz w:val="21"/>
                <w:szCs w:val="21"/>
              </w:rPr>
            </w:pPr>
            <w:r>
              <w:rPr>
                <w:bCs/>
                <w:color w:val="000000"/>
                <w:sz w:val="21"/>
                <w:szCs w:val="21"/>
              </w:rPr>
              <w:t>《危险废物贮存污染控制标准》（GB18597-2023）</w:t>
            </w:r>
          </w:p>
        </w:tc>
      </w:tr>
      <w:tr w14:paraId="090D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249" w:type="dxa"/>
            <w:tcBorders>
              <w:tl2br w:val="nil"/>
              <w:tr2bl w:val="nil"/>
            </w:tcBorders>
            <w:noWrap w:val="0"/>
            <w:vAlign w:val="center"/>
          </w:tcPr>
          <w:p w14:paraId="50ECC15C">
            <w:pPr>
              <w:adjustRightInd w:val="0"/>
              <w:snapToGrid w:val="0"/>
              <w:jc w:val="center"/>
              <w:rPr>
                <w:b/>
                <w:color w:val="000000"/>
                <w:sz w:val="21"/>
                <w:szCs w:val="21"/>
              </w:rPr>
            </w:pPr>
            <w:r>
              <w:rPr>
                <w:b/>
                <w:color w:val="000000"/>
                <w:sz w:val="21"/>
                <w:szCs w:val="21"/>
              </w:rPr>
              <w:t>土壤及地下水污染防治措施</w:t>
            </w:r>
          </w:p>
        </w:tc>
        <w:tc>
          <w:tcPr>
            <w:tcW w:w="8107" w:type="dxa"/>
            <w:gridSpan w:val="4"/>
            <w:tcBorders>
              <w:tl2br w:val="nil"/>
              <w:tr2bl w:val="nil"/>
            </w:tcBorders>
            <w:noWrap w:val="0"/>
            <w:vAlign w:val="center"/>
          </w:tcPr>
          <w:p w14:paraId="5406DBFC">
            <w:pPr>
              <w:adjustRightInd w:val="0"/>
              <w:snapToGrid w:val="0"/>
              <w:ind w:firstLine="420" w:firstLineChars="200"/>
              <w:jc w:val="left"/>
              <w:rPr>
                <w:rFonts w:hint="eastAsia" w:eastAsia="宋体"/>
                <w:color w:val="000000"/>
                <w:sz w:val="21"/>
                <w:szCs w:val="21"/>
                <w:lang w:eastAsia="zh-CN"/>
              </w:rPr>
            </w:pPr>
            <w:r>
              <w:rPr>
                <w:color w:val="000000"/>
                <w:sz w:val="21"/>
                <w:szCs w:val="21"/>
              </w:rPr>
              <w:t>一般防渗区：</w:t>
            </w:r>
            <w:r>
              <w:rPr>
                <w:rFonts w:hint="eastAsia"/>
                <w:sz w:val="21"/>
                <w:szCs w:val="21"/>
                <w:lang w:val="en-US" w:eastAsia="zh-CN"/>
              </w:rPr>
              <w:t>装置区；</w:t>
            </w:r>
            <w:r>
              <w:rPr>
                <w:rFonts w:hint="eastAsia"/>
                <w:color w:val="000000"/>
                <w:sz w:val="21"/>
                <w:szCs w:val="21"/>
              </w:rPr>
              <w:t>等效黏土防渗层大于等于1.5m，渗透系数小于等于10</w:t>
            </w:r>
            <w:r>
              <w:rPr>
                <w:rFonts w:hint="eastAsia"/>
                <w:color w:val="000000"/>
                <w:sz w:val="21"/>
                <w:szCs w:val="21"/>
                <w:vertAlign w:val="superscript"/>
              </w:rPr>
              <w:t>-7</w:t>
            </w:r>
            <w:r>
              <w:rPr>
                <w:rFonts w:hint="eastAsia"/>
                <w:color w:val="000000"/>
                <w:sz w:val="21"/>
                <w:szCs w:val="21"/>
              </w:rPr>
              <w:t>cm/s</w:t>
            </w:r>
            <w:r>
              <w:rPr>
                <w:rFonts w:hint="eastAsia"/>
                <w:color w:val="000000"/>
                <w:sz w:val="21"/>
                <w:szCs w:val="21"/>
                <w:lang w:eastAsia="zh-CN"/>
              </w:rPr>
              <w:t>；</w:t>
            </w:r>
          </w:p>
          <w:p w14:paraId="7C4F506F">
            <w:pPr>
              <w:adjustRightInd w:val="0"/>
              <w:snapToGrid w:val="0"/>
              <w:ind w:firstLine="420" w:firstLineChars="200"/>
              <w:jc w:val="left"/>
              <w:rPr>
                <w:color w:val="000000"/>
                <w:sz w:val="21"/>
                <w:szCs w:val="21"/>
              </w:rPr>
            </w:pPr>
            <w:r>
              <w:rPr>
                <w:color w:val="000000"/>
                <w:sz w:val="21"/>
                <w:szCs w:val="21"/>
              </w:rPr>
              <w:t>重点防渗区：</w:t>
            </w:r>
            <w:r>
              <w:rPr>
                <w:rFonts w:hint="eastAsia"/>
                <w:sz w:val="21"/>
                <w:szCs w:val="21"/>
              </w:rPr>
              <w:t>原料缓冲罐罐区</w:t>
            </w:r>
            <w:r>
              <w:rPr>
                <w:rFonts w:hint="eastAsia"/>
                <w:sz w:val="21"/>
                <w:szCs w:val="21"/>
                <w:lang w:eastAsia="zh-CN"/>
              </w:rPr>
              <w:t>；</w:t>
            </w:r>
            <w:r>
              <w:rPr>
                <w:rFonts w:hint="eastAsia"/>
                <w:color w:val="000000"/>
                <w:sz w:val="21"/>
                <w:szCs w:val="21"/>
              </w:rPr>
              <w:t>等效黏土防渗层大于等于6.0m，渗透系数小于等于10</w:t>
            </w:r>
            <w:r>
              <w:rPr>
                <w:rFonts w:hint="eastAsia"/>
                <w:color w:val="000000"/>
                <w:sz w:val="21"/>
                <w:szCs w:val="21"/>
                <w:vertAlign w:val="superscript"/>
              </w:rPr>
              <w:t>-7</w:t>
            </w:r>
            <w:r>
              <w:rPr>
                <w:rFonts w:hint="eastAsia"/>
                <w:color w:val="000000"/>
                <w:sz w:val="21"/>
                <w:szCs w:val="21"/>
              </w:rPr>
              <w:t>cm/s</w:t>
            </w:r>
            <w:r>
              <w:rPr>
                <w:color w:val="000000"/>
                <w:sz w:val="21"/>
                <w:szCs w:val="21"/>
              </w:rPr>
              <w:t>。</w:t>
            </w:r>
          </w:p>
        </w:tc>
      </w:tr>
      <w:tr w14:paraId="1424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1249" w:type="dxa"/>
            <w:tcBorders>
              <w:tl2br w:val="nil"/>
              <w:tr2bl w:val="nil"/>
            </w:tcBorders>
            <w:noWrap w:val="0"/>
            <w:vAlign w:val="center"/>
          </w:tcPr>
          <w:p w14:paraId="16A3C3CE">
            <w:pPr>
              <w:adjustRightInd w:val="0"/>
              <w:snapToGrid w:val="0"/>
              <w:jc w:val="center"/>
              <w:rPr>
                <w:b/>
                <w:color w:val="000000"/>
                <w:sz w:val="21"/>
                <w:szCs w:val="21"/>
              </w:rPr>
            </w:pPr>
            <w:r>
              <w:rPr>
                <w:b/>
                <w:color w:val="000000"/>
                <w:sz w:val="21"/>
                <w:szCs w:val="21"/>
              </w:rPr>
              <w:t>生态保护措施</w:t>
            </w:r>
          </w:p>
        </w:tc>
        <w:tc>
          <w:tcPr>
            <w:tcW w:w="8107" w:type="dxa"/>
            <w:gridSpan w:val="4"/>
            <w:tcBorders>
              <w:tl2br w:val="nil"/>
              <w:tr2bl w:val="nil"/>
            </w:tcBorders>
            <w:noWrap w:val="0"/>
            <w:vAlign w:val="center"/>
          </w:tcPr>
          <w:p w14:paraId="5927B7BE">
            <w:pPr>
              <w:snapToGrid w:val="0"/>
              <w:ind w:firstLine="420" w:firstLineChars="200"/>
              <w:rPr>
                <w:rFonts w:hint="eastAsia" w:eastAsia="宋体"/>
                <w:color w:val="000000"/>
                <w:sz w:val="21"/>
                <w:szCs w:val="21"/>
                <w:lang w:eastAsia="zh-CN"/>
              </w:rPr>
            </w:pPr>
            <w:r>
              <w:rPr>
                <w:rFonts w:hint="eastAsia"/>
                <w:color w:val="000000"/>
                <w:sz w:val="21"/>
                <w:szCs w:val="21"/>
                <w:lang w:val="en-US" w:eastAsia="zh-CN"/>
              </w:rPr>
              <w:t>无</w:t>
            </w:r>
          </w:p>
        </w:tc>
      </w:tr>
      <w:tr w14:paraId="40EB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49" w:type="dxa"/>
            <w:tcBorders>
              <w:tl2br w:val="nil"/>
              <w:tr2bl w:val="nil"/>
            </w:tcBorders>
            <w:noWrap w:val="0"/>
            <w:vAlign w:val="center"/>
          </w:tcPr>
          <w:p w14:paraId="772FC250">
            <w:pPr>
              <w:adjustRightInd w:val="0"/>
              <w:snapToGrid w:val="0"/>
              <w:jc w:val="center"/>
              <w:rPr>
                <w:b/>
                <w:color w:val="000000"/>
                <w:spacing w:val="-8"/>
                <w:sz w:val="21"/>
                <w:szCs w:val="21"/>
              </w:rPr>
            </w:pPr>
            <w:r>
              <w:rPr>
                <w:b/>
                <w:color w:val="000000"/>
                <w:spacing w:val="-8"/>
                <w:sz w:val="21"/>
                <w:szCs w:val="21"/>
              </w:rPr>
              <w:t>环境风险防范措施</w:t>
            </w:r>
          </w:p>
        </w:tc>
        <w:tc>
          <w:tcPr>
            <w:tcW w:w="8107" w:type="dxa"/>
            <w:gridSpan w:val="4"/>
            <w:tcBorders>
              <w:tl2br w:val="nil"/>
              <w:tr2bl w:val="nil"/>
            </w:tcBorders>
            <w:noWrap w:val="0"/>
            <w:vAlign w:val="center"/>
          </w:tcPr>
          <w:p w14:paraId="3410653F">
            <w:pPr>
              <w:snapToGrid w:val="0"/>
              <w:ind w:firstLine="420" w:firstLineChars="200"/>
              <w:rPr>
                <w:rFonts w:hint="default" w:eastAsia="宋体"/>
                <w:bCs/>
                <w:color w:val="000000"/>
                <w:sz w:val="21"/>
                <w:szCs w:val="21"/>
                <w:lang w:val="en-US" w:eastAsia="zh-CN"/>
              </w:rPr>
            </w:pPr>
            <w:r>
              <w:rPr>
                <w:rFonts w:hint="eastAsia" w:ascii="宋体" w:hAnsi="宋体" w:cs="宋体"/>
                <w:bCs/>
                <w:color w:val="000000"/>
                <w:sz w:val="21"/>
                <w:szCs w:val="21"/>
                <w:lang w:val="en-US" w:eastAsia="zh-CN"/>
              </w:rPr>
              <w:t>修订现有版本应急预案，将本项目纳入应急预案。</w:t>
            </w:r>
          </w:p>
        </w:tc>
      </w:tr>
      <w:tr w14:paraId="58FD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249" w:type="dxa"/>
            <w:tcBorders>
              <w:tl2br w:val="nil"/>
              <w:tr2bl w:val="nil"/>
            </w:tcBorders>
            <w:noWrap w:val="0"/>
            <w:vAlign w:val="center"/>
          </w:tcPr>
          <w:p w14:paraId="3FABE48E">
            <w:pPr>
              <w:adjustRightInd w:val="0"/>
              <w:snapToGrid w:val="0"/>
              <w:jc w:val="center"/>
              <w:rPr>
                <w:b/>
                <w:color w:val="000000"/>
                <w:spacing w:val="-8"/>
                <w:sz w:val="21"/>
                <w:szCs w:val="21"/>
              </w:rPr>
            </w:pPr>
            <w:r>
              <w:rPr>
                <w:b/>
                <w:color w:val="000000"/>
                <w:spacing w:val="-8"/>
                <w:sz w:val="21"/>
                <w:szCs w:val="21"/>
              </w:rPr>
              <w:t>其他环境管理要求</w:t>
            </w:r>
          </w:p>
        </w:tc>
        <w:tc>
          <w:tcPr>
            <w:tcW w:w="8107" w:type="dxa"/>
            <w:gridSpan w:val="4"/>
            <w:tcBorders>
              <w:tl2br w:val="nil"/>
              <w:tr2bl w:val="nil"/>
            </w:tcBorders>
            <w:noWrap w:val="0"/>
            <w:vAlign w:val="center"/>
          </w:tcPr>
          <w:p w14:paraId="3CC565B6">
            <w:pPr>
              <w:snapToGrid w:val="0"/>
              <w:ind w:firstLine="420" w:firstLineChars="200"/>
              <w:rPr>
                <w:bCs/>
                <w:color w:val="000000"/>
                <w:sz w:val="21"/>
                <w:szCs w:val="21"/>
              </w:rPr>
            </w:pPr>
            <w:r>
              <w:rPr>
                <w:rFonts w:hint="eastAsia"/>
                <w:sz w:val="21"/>
                <w:szCs w:val="21"/>
                <w:highlight w:val="none"/>
                <w:lang w:eastAsia="zh-CN"/>
              </w:rPr>
              <w:t>“</w:t>
            </w:r>
            <w:r>
              <w:rPr>
                <w:sz w:val="21"/>
                <w:szCs w:val="21"/>
                <w:highlight w:val="none"/>
              </w:rPr>
              <w:t>三同时</w:t>
            </w:r>
            <w:r>
              <w:rPr>
                <w:rFonts w:hint="eastAsia"/>
                <w:sz w:val="21"/>
                <w:szCs w:val="21"/>
                <w:highlight w:val="none"/>
                <w:lang w:eastAsia="zh-CN"/>
              </w:rPr>
              <w:t>”</w:t>
            </w:r>
            <w:r>
              <w:rPr>
                <w:sz w:val="21"/>
                <w:szCs w:val="21"/>
                <w:highlight w:val="none"/>
              </w:rPr>
              <w:t>制度、环境监测计划</w:t>
            </w:r>
            <w:r>
              <w:rPr>
                <w:rFonts w:hint="eastAsia"/>
                <w:sz w:val="21"/>
                <w:szCs w:val="21"/>
                <w:highlight w:val="none"/>
                <w:lang w:eastAsia="zh-CN"/>
              </w:rPr>
              <w:t>、排污许可证的变更。</w:t>
            </w:r>
          </w:p>
        </w:tc>
      </w:tr>
    </w:tbl>
    <w:p w14:paraId="39E4015C">
      <w:pPr>
        <w:adjustRightInd w:val="0"/>
        <w:snapToGrid w:val="0"/>
        <w:spacing w:line="360" w:lineRule="auto"/>
        <w:rPr>
          <w:b/>
          <w:color w:val="000000"/>
          <w:kern w:val="0"/>
          <w:sz w:val="28"/>
          <w:szCs w:val="28"/>
        </w:rPr>
        <w:sectPr>
          <w:pgSz w:w="11907" w:h="16840"/>
          <w:pgMar w:top="1392" w:right="1531" w:bottom="1134" w:left="1531" w:header="851" w:footer="992" w:gutter="0"/>
          <w:pgBorders>
            <w:top w:val="none" w:sz="0" w:space="0"/>
            <w:left w:val="none" w:sz="0" w:space="0"/>
            <w:bottom w:val="none" w:sz="0" w:space="0"/>
            <w:right w:val="none" w:sz="0" w:space="0"/>
          </w:pgBorders>
          <w:cols w:space="720" w:num="1"/>
          <w:docGrid w:linePitch="312" w:charSpace="0"/>
        </w:sectPr>
      </w:pPr>
    </w:p>
    <w:p w14:paraId="00946AC7">
      <w:pPr>
        <w:pStyle w:val="37"/>
        <w:snapToGrid w:val="0"/>
        <w:spacing w:before="0" w:beforeAutospacing="0" w:after="0" w:afterAutospacing="0" w:line="288" w:lineRule="auto"/>
        <w:outlineLvl w:val="0"/>
        <w:rPr>
          <w:rFonts w:ascii="Times New Roman" w:hAnsi="Times New Roman"/>
          <w:b/>
          <w:snapToGrid w:val="0"/>
          <w:color w:val="000000"/>
          <w:sz w:val="32"/>
          <w:szCs w:val="32"/>
        </w:rPr>
      </w:pPr>
      <w:r>
        <w:rPr>
          <w:rFonts w:ascii="Times New Roman" w:hAnsi="Times New Roman"/>
          <w:b/>
          <w:snapToGrid w:val="0"/>
          <w:color w:val="000000"/>
          <w:sz w:val="32"/>
          <w:szCs w:val="32"/>
        </w:rPr>
        <w:t>六、结论</w:t>
      </w:r>
    </w:p>
    <w:tbl>
      <w:tblPr>
        <w:tblStyle w:val="41"/>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56"/>
      </w:tblGrid>
      <w:tr w14:paraId="511C03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91" w:hRule="atLeast"/>
          <w:jc w:val="center"/>
        </w:trPr>
        <w:tc>
          <w:tcPr>
            <w:tcW w:w="8865" w:type="dxa"/>
            <w:tcBorders>
              <w:tl2br w:val="nil"/>
              <w:tr2bl w:val="nil"/>
            </w:tcBorders>
            <w:noWrap w:val="0"/>
            <w:vAlign w:val="center"/>
          </w:tcPr>
          <w:p w14:paraId="27874DD0">
            <w:pPr>
              <w:snapToGrid w:val="0"/>
              <w:spacing w:line="360" w:lineRule="auto"/>
              <w:ind w:right="10" w:firstLine="480" w:firstLineChars="200"/>
              <w:rPr>
                <w:color w:val="000000"/>
                <w:sz w:val="24"/>
              </w:rPr>
            </w:pPr>
          </w:p>
          <w:p w14:paraId="0558FABA">
            <w:pPr>
              <w:snapToGrid w:val="0"/>
              <w:spacing w:line="360" w:lineRule="auto"/>
              <w:ind w:right="10" w:firstLine="480" w:firstLineChars="200"/>
              <w:rPr>
                <w:color w:val="000000"/>
                <w:sz w:val="24"/>
              </w:rPr>
            </w:pPr>
          </w:p>
          <w:p w14:paraId="72826EBB">
            <w:pPr>
              <w:snapToGrid w:val="0"/>
              <w:spacing w:line="360" w:lineRule="auto"/>
              <w:ind w:right="10" w:firstLine="480" w:firstLineChars="200"/>
              <w:rPr>
                <w:color w:val="000000"/>
                <w:sz w:val="24"/>
              </w:rPr>
            </w:pPr>
          </w:p>
          <w:p w14:paraId="0196653C">
            <w:pPr>
              <w:snapToGrid w:val="0"/>
              <w:spacing w:line="360" w:lineRule="auto"/>
              <w:ind w:right="10" w:firstLine="480" w:firstLineChars="200"/>
              <w:rPr>
                <w:rFonts w:hint="eastAsia"/>
                <w:color w:val="000000"/>
                <w:sz w:val="24"/>
              </w:rPr>
            </w:pPr>
            <w:r>
              <w:rPr>
                <w:rFonts w:hint="eastAsia"/>
                <w:bCs/>
                <w:color w:val="000000"/>
                <w:sz w:val="24"/>
                <w:lang w:val="en-US" w:eastAsia="zh-CN"/>
              </w:rPr>
              <w:t>本项目</w:t>
            </w:r>
            <w:r>
              <w:rPr>
                <w:color w:val="000000"/>
                <w:sz w:val="24"/>
              </w:rPr>
              <w:t>建设符合国家产业政策，用地符合当地土地要求，各项污染防治措施可行，污染物能够达标排放，项目的建设不会对周围环境产生明显影响。在认真落实各项环保措施的前提下，本评价从环境保护的角度认为，项目的建设是可行的。</w:t>
            </w:r>
          </w:p>
          <w:p w14:paraId="358B68DD">
            <w:pPr>
              <w:snapToGrid w:val="0"/>
              <w:spacing w:line="360" w:lineRule="auto"/>
              <w:ind w:right="10" w:firstLine="480" w:firstLineChars="200"/>
              <w:rPr>
                <w:color w:val="000000"/>
                <w:sz w:val="24"/>
              </w:rPr>
            </w:pPr>
          </w:p>
          <w:p w14:paraId="1A434703">
            <w:pPr>
              <w:snapToGrid w:val="0"/>
              <w:spacing w:line="360" w:lineRule="auto"/>
              <w:ind w:right="10" w:firstLine="480" w:firstLineChars="200"/>
              <w:rPr>
                <w:color w:val="000000"/>
                <w:sz w:val="24"/>
              </w:rPr>
            </w:pPr>
          </w:p>
          <w:p w14:paraId="324AAA5C">
            <w:pPr>
              <w:snapToGrid w:val="0"/>
              <w:spacing w:line="360" w:lineRule="auto"/>
              <w:ind w:right="10" w:firstLine="480" w:firstLineChars="200"/>
              <w:rPr>
                <w:color w:val="000000"/>
                <w:sz w:val="24"/>
              </w:rPr>
            </w:pPr>
          </w:p>
          <w:p w14:paraId="7C0B0007">
            <w:pPr>
              <w:snapToGrid w:val="0"/>
              <w:spacing w:line="360" w:lineRule="auto"/>
              <w:ind w:right="10" w:firstLine="480" w:firstLineChars="200"/>
              <w:rPr>
                <w:color w:val="000000"/>
                <w:sz w:val="24"/>
              </w:rPr>
            </w:pPr>
          </w:p>
          <w:p w14:paraId="35DB00AA">
            <w:pPr>
              <w:snapToGrid w:val="0"/>
              <w:spacing w:line="360" w:lineRule="auto"/>
              <w:ind w:right="10" w:firstLine="480" w:firstLineChars="200"/>
              <w:rPr>
                <w:color w:val="000000"/>
                <w:sz w:val="24"/>
              </w:rPr>
            </w:pPr>
          </w:p>
          <w:p w14:paraId="0986C0F8">
            <w:pPr>
              <w:snapToGrid w:val="0"/>
              <w:spacing w:line="360" w:lineRule="auto"/>
              <w:ind w:right="10" w:firstLine="480" w:firstLineChars="200"/>
              <w:rPr>
                <w:color w:val="000000"/>
                <w:sz w:val="24"/>
              </w:rPr>
            </w:pPr>
          </w:p>
          <w:p w14:paraId="664C7CA6">
            <w:pPr>
              <w:snapToGrid w:val="0"/>
              <w:spacing w:line="360" w:lineRule="auto"/>
              <w:ind w:right="10" w:firstLine="480" w:firstLineChars="200"/>
              <w:rPr>
                <w:color w:val="000000"/>
                <w:sz w:val="24"/>
              </w:rPr>
            </w:pPr>
          </w:p>
          <w:p w14:paraId="126C7E6F">
            <w:pPr>
              <w:snapToGrid w:val="0"/>
              <w:spacing w:line="360" w:lineRule="auto"/>
              <w:ind w:right="10" w:firstLine="480" w:firstLineChars="200"/>
              <w:rPr>
                <w:color w:val="000000"/>
                <w:sz w:val="24"/>
              </w:rPr>
            </w:pPr>
          </w:p>
          <w:p w14:paraId="6B0AE55B">
            <w:pPr>
              <w:snapToGrid w:val="0"/>
              <w:spacing w:line="360" w:lineRule="auto"/>
              <w:ind w:right="10" w:firstLine="480" w:firstLineChars="200"/>
              <w:rPr>
                <w:color w:val="000000"/>
                <w:sz w:val="24"/>
              </w:rPr>
            </w:pPr>
          </w:p>
          <w:p w14:paraId="2D86614D">
            <w:pPr>
              <w:snapToGrid w:val="0"/>
              <w:spacing w:line="360" w:lineRule="auto"/>
              <w:ind w:right="10" w:firstLine="480" w:firstLineChars="200"/>
              <w:rPr>
                <w:color w:val="000000"/>
                <w:sz w:val="24"/>
              </w:rPr>
            </w:pPr>
          </w:p>
          <w:p w14:paraId="6D7050DD">
            <w:pPr>
              <w:snapToGrid w:val="0"/>
              <w:spacing w:line="360" w:lineRule="auto"/>
              <w:ind w:right="10" w:firstLine="480" w:firstLineChars="200"/>
              <w:rPr>
                <w:color w:val="000000"/>
                <w:sz w:val="24"/>
              </w:rPr>
            </w:pPr>
          </w:p>
          <w:p w14:paraId="5A200EAA">
            <w:pPr>
              <w:snapToGrid w:val="0"/>
              <w:spacing w:line="360" w:lineRule="auto"/>
              <w:ind w:right="10" w:firstLine="480" w:firstLineChars="200"/>
              <w:rPr>
                <w:color w:val="000000"/>
                <w:sz w:val="24"/>
              </w:rPr>
            </w:pPr>
          </w:p>
          <w:p w14:paraId="0BBE3C4C">
            <w:pPr>
              <w:snapToGrid w:val="0"/>
              <w:spacing w:line="360" w:lineRule="auto"/>
              <w:ind w:right="10" w:firstLine="480" w:firstLineChars="200"/>
              <w:rPr>
                <w:color w:val="000000"/>
                <w:sz w:val="24"/>
              </w:rPr>
            </w:pPr>
          </w:p>
          <w:p w14:paraId="1F4440BE">
            <w:pPr>
              <w:snapToGrid w:val="0"/>
              <w:spacing w:line="360" w:lineRule="auto"/>
              <w:ind w:right="10" w:firstLine="480" w:firstLineChars="200"/>
              <w:rPr>
                <w:color w:val="000000"/>
                <w:sz w:val="24"/>
              </w:rPr>
            </w:pPr>
          </w:p>
          <w:p w14:paraId="4B6EF607">
            <w:pPr>
              <w:snapToGrid w:val="0"/>
              <w:spacing w:line="360" w:lineRule="auto"/>
              <w:ind w:right="10" w:firstLine="480" w:firstLineChars="200"/>
              <w:rPr>
                <w:color w:val="000000"/>
                <w:sz w:val="24"/>
              </w:rPr>
            </w:pPr>
          </w:p>
          <w:p w14:paraId="37074375">
            <w:pPr>
              <w:snapToGrid w:val="0"/>
              <w:spacing w:line="360" w:lineRule="auto"/>
              <w:ind w:right="10" w:firstLine="480" w:firstLineChars="200"/>
              <w:rPr>
                <w:color w:val="000000"/>
                <w:sz w:val="24"/>
              </w:rPr>
            </w:pPr>
          </w:p>
          <w:p w14:paraId="5F36B90B">
            <w:pPr>
              <w:snapToGrid w:val="0"/>
              <w:spacing w:line="360" w:lineRule="auto"/>
              <w:ind w:right="10" w:firstLine="480" w:firstLineChars="200"/>
              <w:rPr>
                <w:color w:val="000000"/>
                <w:sz w:val="24"/>
              </w:rPr>
            </w:pPr>
          </w:p>
          <w:p w14:paraId="6D10D20E">
            <w:pPr>
              <w:snapToGrid w:val="0"/>
              <w:spacing w:line="360" w:lineRule="auto"/>
              <w:ind w:right="10" w:firstLine="480" w:firstLineChars="200"/>
              <w:rPr>
                <w:color w:val="000000"/>
                <w:sz w:val="24"/>
              </w:rPr>
            </w:pPr>
          </w:p>
          <w:p w14:paraId="489277D3">
            <w:pPr>
              <w:snapToGrid w:val="0"/>
              <w:spacing w:line="360" w:lineRule="auto"/>
              <w:ind w:right="10" w:firstLine="480" w:firstLineChars="200"/>
              <w:rPr>
                <w:color w:val="000000"/>
                <w:sz w:val="24"/>
              </w:rPr>
            </w:pPr>
          </w:p>
          <w:p w14:paraId="2C3B6E27">
            <w:pPr>
              <w:snapToGrid w:val="0"/>
              <w:spacing w:line="360" w:lineRule="auto"/>
              <w:ind w:right="10" w:firstLine="480" w:firstLineChars="200"/>
              <w:rPr>
                <w:color w:val="000000"/>
                <w:sz w:val="24"/>
              </w:rPr>
            </w:pPr>
          </w:p>
          <w:p w14:paraId="675C0EEA">
            <w:pPr>
              <w:snapToGrid w:val="0"/>
              <w:spacing w:line="360" w:lineRule="auto"/>
              <w:ind w:right="10" w:firstLine="480" w:firstLineChars="200"/>
              <w:rPr>
                <w:color w:val="000000"/>
                <w:sz w:val="24"/>
              </w:rPr>
            </w:pPr>
          </w:p>
          <w:p w14:paraId="5969F6D4">
            <w:pPr>
              <w:snapToGrid w:val="0"/>
              <w:spacing w:line="360" w:lineRule="auto"/>
              <w:ind w:right="10" w:firstLine="480" w:firstLineChars="200"/>
              <w:rPr>
                <w:color w:val="000000"/>
                <w:sz w:val="24"/>
              </w:rPr>
            </w:pPr>
          </w:p>
          <w:p w14:paraId="06BB8B22">
            <w:pPr>
              <w:spacing w:line="360" w:lineRule="auto"/>
              <w:rPr>
                <w:color w:val="000000"/>
                <w:sz w:val="24"/>
              </w:rPr>
            </w:pPr>
          </w:p>
        </w:tc>
      </w:tr>
    </w:tbl>
    <w:p w14:paraId="51A32CB3">
      <w:pPr>
        <w:rPr>
          <w:color w:val="000000"/>
        </w:rPr>
      </w:pPr>
    </w:p>
    <w:p w14:paraId="38E3ACFF">
      <w:pPr>
        <w:pStyle w:val="13"/>
        <w:rPr>
          <w:color w:val="000000"/>
        </w:rPr>
        <w:sectPr>
          <w:pgSz w:w="11906" w:h="16838"/>
          <w:pgMar w:top="1534" w:right="1531" w:bottom="1134" w:left="1531" w:header="964" w:footer="964" w:gutter="0"/>
          <w:pgBorders>
            <w:top w:val="none" w:sz="0" w:space="0"/>
            <w:left w:val="none" w:sz="0" w:space="0"/>
            <w:bottom w:val="none" w:sz="0" w:space="0"/>
            <w:right w:val="none" w:sz="0" w:space="0"/>
          </w:pgBorders>
          <w:cols w:space="720" w:num="1"/>
          <w:docGrid w:linePitch="312" w:charSpace="0"/>
        </w:sectPr>
      </w:pPr>
    </w:p>
    <w:p w14:paraId="27753030">
      <w:pPr>
        <w:pStyle w:val="37"/>
        <w:adjustRightInd w:val="0"/>
        <w:snapToGrid w:val="0"/>
        <w:spacing w:before="0" w:beforeAutospacing="0" w:after="0" w:afterAutospacing="0" w:line="480" w:lineRule="auto"/>
        <w:outlineLvl w:val="0"/>
        <w:rPr>
          <w:rFonts w:ascii="Times New Roman" w:hAnsi="Times New Roman" w:eastAsia="黑体"/>
          <w:snapToGrid w:val="0"/>
          <w:color w:val="000000"/>
          <w:sz w:val="32"/>
          <w:szCs w:val="32"/>
        </w:rPr>
      </w:pPr>
      <w:r>
        <w:rPr>
          <w:rFonts w:ascii="Times New Roman" w:hAnsi="Times New Roman" w:eastAsia="黑体"/>
          <w:snapToGrid w:val="0"/>
          <w:color w:val="000000"/>
          <w:sz w:val="32"/>
          <w:szCs w:val="32"/>
        </w:rPr>
        <w:t>附表</w:t>
      </w:r>
    </w:p>
    <w:p w14:paraId="6325DE24">
      <w:pPr>
        <w:pStyle w:val="37"/>
        <w:adjustRightInd w:val="0"/>
        <w:snapToGrid w:val="0"/>
        <w:spacing w:before="0" w:beforeAutospacing="0" w:after="0" w:afterAutospacing="0"/>
        <w:jc w:val="center"/>
        <w:outlineLvl w:val="0"/>
        <w:rPr>
          <w:rFonts w:ascii="Times New Roman" w:hAnsi="Times New Roman" w:eastAsia="方正小标宋_GBK" w:cs="Times New Roman"/>
          <w:snapToGrid w:val="0"/>
          <w:color w:val="000000"/>
          <w:sz w:val="38"/>
          <w:szCs w:val="38"/>
        </w:rPr>
      </w:pPr>
      <w:r>
        <w:rPr>
          <w:rFonts w:ascii="Times New Roman" w:hAnsi="Times New Roman" w:eastAsia="方正小标宋_GBK" w:cs="Times New Roman"/>
          <w:snapToGrid w:val="0"/>
          <w:color w:val="000000"/>
          <w:sz w:val="38"/>
          <w:szCs w:val="38"/>
        </w:rPr>
        <w:t>建设项目污染物排放量汇总表</w:t>
      </w:r>
    </w:p>
    <w:tbl>
      <w:tblPr>
        <w:tblStyle w:val="41"/>
        <w:tblW w:w="4997"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245"/>
        <w:gridCol w:w="1634"/>
        <w:gridCol w:w="1634"/>
        <w:gridCol w:w="1357"/>
        <w:gridCol w:w="1707"/>
        <w:gridCol w:w="1702"/>
        <w:gridCol w:w="1775"/>
        <w:gridCol w:w="1912"/>
        <w:gridCol w:w="1018"/>
      </w:tblGrid>
      <w:tr w14:paraId="08D071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452" w:type="pct"/>
            <w:tcBorders>
              <w:tl2br w:val="nil"/>
              <w:tr2bl w:val="nil"/>
            </w:tcBorders>
            <w:noWrap w:val="0"/>
            <w:vAlign w:val="center"/>
          </w:tcPr>
          <w:p w14:paraId="7B5B443D">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项目分类</w:t>
            </w:r>
          </w:p>
        </w:tc>
        <w:tc>
          <w:tcPr>
            <w:tcW w:w="591" w:type="pct"/>
            <w:tcBorders>
              <w:tl2br w:val="nil"/>
              <w:tr2bl w:val="nil"/>
            </w:tcBorders>
            <w:noWrap w:val="0"/>
            <w:vAlign w:val="center"/>
          </w:tcPr>
          <w:p w14:paraId="03D1F330">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污染物名称</w:t>
            </w:r>
          </w:p>
        </w:tc>
        <w:tc>
          <w:tcPr>
            <w:tcW w:w="591" w:type="pct"/>
            <w:tcBorders>
              <w:tl2br w:val="nil"/>
              <w:tr2bl w:val="nil"/>
            </w:tcBorders>
            <w:noWrap w:val="0"/>
            <w:vAlign w:val="center"/>
          </w:tcPr>
          <w:p w14:paraId="28CD303E">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现有工程排放量（固体废物产生量）</w:t>
            </w: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1 \* GB3 \* MERGEFORMAT </w:instrText>
            </w:r>
            <w:r>
              <w:rPr>
                <w:rFonts w:ascii="Times New Roman" w:eastAsia="黑体"/>
                <w:snapToGrid w:val="0"/>
                <w:color w:val="000000"/>
                <w:spacing w:val="-6"/>
                <w:kern w:val="21"/>
                <w:sz w:val="21"/>
                <w:szCs w:val="21"/>
              </w:rPr>
              <w:fldChar w:fldCharType="separate"/>
            </w:r>
            <w:r>
              <w:rPr>
                <w:rFonts w:hint="eastAsia" w:hAnsi="宋体" w:cs="宋体"/>
                <w:color w:val="000000"/>
                <w:kern w:val="2"/>
                <w:sz w:val="21"/>
                <w:szCs w:val="21"/>
              </w:rPr>
              <w:t>①</w:t>
            </w:r>
            <w:r>
              <w:rPr>
                <w:rFonts w:ascii="Times New Roman" w:eastAsia="黑体"/>
                <w:snapToGrid w:val="0"/>
                <w:color w:val="000000"/>
                <w:spacing w:val="-6"/>
                <w:kern w:val="21"/>
                <w:sz w:val="21"/>
                <w:szCs w:val="21"/>
              </w:rPr>
              <w:fldChar w:fldCharType="end"/>
            </w:r>
          </w:p>
        </w:tc>
        <w:tc>
          <w:tcPr>
            <w:tcW w:w="492" w:type="pct"/>
            <w:tcBorders>
              <w:tl2br w:val="nil"/>
              <w:tr2bl w:val="nil"/>
            </w:tcBorders>
            <w:noWrap w:val="0"/>
            <w:vAlign w:val="center"/>
          </w:tcPr>
          <w:p w14:paraId="4F2655C1">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现有工程许可排放量</w:t>
            </w:r>
          </w:p>
          <w:p w14:paraId="3E7BE7D8">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2 \* GB3 \* MERGEFORMAT </w:instrText>
            </w:r>
            <w:r>
              <w:rPr>
                <w:rFonts w:ascii="Times New Roman" w:eastAsia="黑体"/>
                <w:snapToGrid w:val="0"/>
                <w:color w:val="000000"/>
                <w:spacing w:val="-6"/>
                <w:kern w:val="21"/>
                <w:sz w:val="21"/>
                <w:szCs w:val="21"/>
              </w:rPr>
              <w:fldChar w:fldCharType="separate"/>
            </w:r>
            <w:r>
              <w:rPr>
                <w:rFonts w:hint="eastAsia" w:hAnsi="宋体" w:cs="宋体"/>
                <w:snapToGrid w:val="0"/>
                <w:color w:val="000000"/>
                <w:spacing w:val="-6"/>
                <w:kern w:val="21"/>
                <w:sz w:val="21"/>
                <w:szCs w:val="21"/>
              </w:rPr>
              <w:t>②</w:t>
            </w:r>
            <w:r>
              <w:rPr>
                <w:rFonts w:ascii="Times New Roman" w:eastAsia="黑体"/>
                <w:snapToGrid w:val="0"/>
                <w:color w:val="000000"/>
                <w:spacing w:val="-6"/>
                <w:kern w:val="21"/>
                <w:sz w:val="21"/>
                <w:szCs w:val="21"/>
              </w:rPr>
              <w:fldChar w:fldCharType="end"/>
            </w:r>
          </w:p>
        </w:tc>
        <w:tc>
          <w:tcPr>
            <w:tcW w:w="617" w:type="pct"/>
            <w:tcBorders>
              <w:tl2br w:val="nil"/>
              <w:tr2bl w:val="nil"/>
            </w:tcBorders>
            <w:noWrap w:val="0"/>
            <w:vAlign w:val="center"/>
          </w:tcPr>
          <w:p w14:paraId="36093157">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在建工程排放量（固体废物产生量）</w:t>
            </w: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3 \* GB3 \* MERGEFORMAT </w:instrText>
            </w:r>
            <w:r>
              <w:rPr>
                <w:rFonts w:ascii="Times New Roman" w:eastAsia="黑体"/>
                <w:snapToGrid w:val="0"/>
                <w:color w:val="000000"/>
                <w:spacing w:val="-6"/>
                <w:kern w:val="21"/>
                <w:sz w:val="21"/>
                <w:szCs w:val="21"/>
              </w:rPr>
              <w:fldChar w:fldCharType="separate"/>
            </w:r>
            <w:r>
              <w:rPr>
                <w:rFonts w:hint="eastAsia" w:hAnsi="宋体" w:cs="宋体"/>
                <w:color w:val="000000"/>
                <w:kern w:val="2"/>
                <w:sz w:val="21"/>
                <w:szCs w:val="21"/>
              </w:rPr>
              <w:t>③</w:t>
            </w:r>
            <w:r>
              <w:rPr>
                <w:rFonts w:ascii="Times New Roman" w:eastAsia="黑体"/>
                <w:snapToGrid w:val="0"/>
                <w:color w:val="000000"/>
                <w:spacing w:val="-6"/>
                <w:kern w:val="21"/>
                <w:sz w:val="21"/>
                <w:szCs w:val="21"/>
              </w:rPr>
              <w:fldChar w:fldCharType="end"/>
            </w:r>
          </w:p>
        </w:tc>
        <w:tc>
          <w:tcPr>
            <w:tcW w:w="615" w:type="pct"/>
            <w:tcBorders>
              <w:tl2br w:val="nil"/>
              <w:tr2bl w:val="nil"/>
            </w:tcBorders>
            <w:noWrap w:val="0"/>
            <w:vAlign w:val="center"/>
          </w:tcPr>
          <w:p w14:paraId="66E93268">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本项目排放量（固体废物产生量）</w:t>
            </w: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4 \* GB3 \* MERGEFORMAT </w:instrText>
            </w:r>
            <w:r>
              <w:rPr>
                <w:rFonts w:ascii="Times New Roman" w:eastAsia="黑体"/>
                <w:snapToGrid w:val="0"/>
                <w:color w:val="000000"/>
                <w:spacing w:val="-6"/>
                <w:kern w:val="21"/>
                <w:sz w:val="21"/>
                <w:szCs w:val="21"/>
              </w:rPr>
              <w:fldChar w:fldCharType="separate"/>
            </w:r>
            <w:r>
              <w:rPr>
                <w:rFonts w:hint="eastAsia" w:hAnsi="宋体" w:cs="宋体"/>
                <w:color w:val="000000"/>
                <w:kern w:val="2"/>
                <w:sz w:val="21"/>
                <w:szCs w:val="21"/>
              </w:rPr>
              <w:t>④</w:t>
            </w:r>
            <w:r>
              <w:rPr>
                <w:rFonts w:ascii="Times New Roman" w:eastAsia="黑体"/>
                <w:snapToGrid w:val="0"/>
                <w:color w:val="000000"/>
                <w:spacing w:val="-6"/>
                <w:kern w:val="21"/>
                <w:sz w:val="21"/>
                <w:szCs w:val="21"/>
              </w:rPr>
              <w:fldChar w:fldCharType="end"/>
            </w:r>
          </w:p>
        </w:tc>
        <w:tc>
          <w:tcPr>
            <w:tcW w:w="641" w:type="pct"/>
            <w:tcBorders>
              <w:tl2br w:val="nil"/>
              <w:tr2bl w:val="nil"/>
            </w:tcBorders>
            <w:noWrap w:val="0"/>
            <w:vAlign w:val="center"/>
          </w:tcPr>
          <w:p w14:paraId="0B978F23">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16"/>
                <w:kern w:val="21"/>
                <w:sz w:val="21"/>
                <w:szCs w:val="21"/>
              </w:rPr>
            </w:pPr>
            <w:r>
              <w:rPr>
                <w:rFonts w:ascii="Times New Roman" w:eastAsia="黑体"/>
                <w:snapToGrid w:val="0"/>
                <w:color w:val="000000"/>
                <w:spacing w:val="-16"/>
                <w:kern w:val="21"/>
                <w:sz w:val="21"/>
                <w:szCs w:val="21"/>
              </w:rPr>
              <w:t>以新带老削减量（新建项目不填）</w:t>
            </w:r>
            <w:r>
              <w:rPr>
                <w:rFonts w:ascii="Times New Roman" w:eastAsia="黑体"/>
                <w:snapToGrid w:val="0"/>
                <w:color w:val="000000"/>
                <w:spacing w:val="-16"/>
                <w:kern w:val="21"/>
                <w:sz w:val="21"/>
                <w:szCs w:val="21"/>
              </w:rPr>
              <w:fldChar w:fldCharType="begin"/>
            </w:r>
            <w:r>
              <w:rPr>
                <w:rFonts w:ascii="Times New Roman" w:eastAsia="黑体"/>
                <w:snapToGrid w:val="0"/>
                <w:color w:val="000000"/>
                <w:spacing w:val="-16"/>
                <w:kern w:val="21"/>
                <w:sz w:val="21"/>
                <w:szCs w:val="21"/>
              </w:rPr>
              <w:instrText xml:space="preserve"> = 5 \* GB3 \* MERGEFORMAT </w:instrText>
            </w:r>
            <w:r>
              <w:rPr>
                <w:rFonts w:ascii="Times New Roman" w:eastAsia="黑体"/>
                <w:snapToGrid w:val="0"/>
                <w:color w:val="000000"/>
                <w:spacing w:val="-16"/>
                <w:kern w:val="21"/>
                <w:sz w:val="21"/>
                <w:szCs w:val="21"/>
              </w:rPr>
              <w:fldChar w:fldCharType="separate"/>
            </w:r>
            <w:r>
              <w:rPr>
                <w:rFonts w:hint="eastAsia" w:hAnsi="宋体" w:cs="宋体"/>
                <w:color w:val="000000"/>
                <w:kern w:val="2"/>
                <w:sz w:val="21"/>
                <w:szCs w:val="21"/>
              </w:rPr>
              <w:t>⑤</w:t>
            </w:r>
            <w:r>
              <w:rPr>
                <w:rFonts w:ascii="Times New Roman" w:eastAsia="黑体"/>
                <w:snapToGrid w:val="0"/>
                <w:color w:val="000000"/>
                <w:spacing w:val="-16"/>
                <w:kern w:val="21"/>
                <w:sz w:val="21"/>
                <w:szCs w:val="21"/>
              </w:rPr>
              <w:fldChar w:fldCharType="end"/>
            </w:r>
          </w:p>
        </w:tc>
        <w:tc>
          <w:tcPr>
            <w:tcW w:w="690" w:type="pct"/>
            <w:tcBorders>
              <w:tl2br w:val="nil"/>
              <w:tr2bl w:val="nil"/>
            </w:tcBorders>
            <w:noWrap w:val="0"/>
            <w:vAlign w:val="center"/>
          </w:tcPr>
          <w:p w14:paraId="47E9F0B5">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16"/>
                <w:kern w:val="21"/>
                <w:sz w:val="21"/>
                <w:szCs w:val="21"/>
              </w:rPr>
            </w:pPr>
            <w:r>
              <w:rPr>
                <w:rFonts w:ascii="Times New Roman" w:eastAsia="黑体"/>
                <w:snapToGrid w:val="0"/>
                <w:color w:val="000000"/>
                <w:spacing w:val="-16"/>
                <w:kern w:val="21"/>
                <w:sz w:val="21"/>
                <w:szCs w:val="21"/>
              </w:rPr>
              <w:t>本项目建成后全厂排放量（固体废物产生量）</w:t>
            </w:r>
            <w:r>
              <w:rPr>
                <w:rFonts w:ascii="Times New Roman" w:eastAsia="黑体"/>
                <w:snapToGrid w:val="0"/>
                <w:color w:val="000000"/>
                <w:spacing w:val="-16"/>
                <w:kern w:val="21"/>
                <w:sz w:val="21"/>
                <w:szCs w:val="21"/>
              </w:rPr>
              <w:fldChar w:fldCharType="begin"/>
            </w:r>
            <w:r>
              <w:rPr>
                <w:rFonts w:ascii="Times New Roman" w:eastAsia="黑体"/>
                <w:snapToGrid w:val="0"/>
                <w:color w:val="000000"/>
                <w:spacing w:val="-16"/>
                <w:kern w:val="21"/>
                <w:sz w:val="21"/>
                <w:szCs w:val="21"/>
              </w:rPr>
              <w:instrText xml:space="preserve"> = 6 \* GB3 \* MERGEFORMAT </w:instrText>
            </w:r>
            <w:r>
              <w:rPr>
                <w:rFonts w:ascii="Times New Roman" w:eastAsia="黑体"/>
                <w:snapToGrid w:val="0"/>
                <w:color w:val="000000"/>
                <w:spacing w:val="-16"/>
                <w:kern w:val="21"/>
                <w:sz w:val="21"/>
                <w:szCs w:val="21"/>
              </w:rPr>
              <w:fldChar w:fldCharType="separate"/>
            </w:r>
            <w:r>
              <w:rPr>
                <w:rFonts w:hint="eastAsia" w:hAnsi="宋体" w:cs="宋体"/>
                <w:color w:val="000000"/>
                <w:kern w:val="2"/>
                <w:sz w:val="21"/>
                <w:szCs w:val="21"/>
              </w:rPr>
              <w:t>⑥</w:t>
            </w:r>
            <w:r>
              <w:rPr>
                <w:rFonts w:ascii="Times New Roman" w:eastAsia="黑体"/>
                <w:snapToGrid w:val="0"/>
                <w:color w:val="000000"/>
                <w:spacing w:val="-16"/>
                <w:kern w:val="21"/>
                <w:sz w:val="21"/>
                <w:szCs w:val="21"/>
              </w:rPr>
              <w:fldChar w:fldCharType="end"/>
            </w:r>
          </w:p>
        </w:tc>
        <w:tc>
          <w:tcPr>
            <w:tcW w:w="307" w:type="pct"/>
            <w:tcBorders>
              <w:tl2br w:val="nil"/>
              <w:tr2bl w:val="nil"/>
            </w:tcBorders>
            <w:noWrap w:val="0"/>
            <w:vAlign w:val="center"/>
          </w:tcPr>
          <w:p w14:paraId="67F1D5CB">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t>变化量</w:t>
            </w:r>
          </w:p>
          <w:p w14:paraId="620F77BA">
            <w:pPr>
              <w:pStyle w:val="88"/>
              <w:keepNext w:val="0"/>
              <w:keepLines w:val="0"/>
              <w:pageBreakBefore w:val="0"/>
              <w:widowControl w:val="0"/>
              <w:kinsoku/>
              <w:wordWrap/>
              <w:overflowPunct/>
              <w:topLinePunct w:val="0"/>
              <w:autoSpaceDE/>
              <w:autoSpaceDN/>
              <w:bidi w:val="0"/>
              <w:spacing w:beforeLines="0" w:afterLines="0" w:line="240" w:lineRule="auto"/>
              <w:ind w:firstLine="0" w:firstLineChars="0"/>
              <w:textAlignment w:val="auto"/>
              <w:rPr>
                <w:rFonts w:ascii="Times New Roman" w:eastAsia="黑体"/>
                <w:snapToGrid w:val="0"/>
                <w:color w:val="000000"/>
                <w:spacing w:val="-6"/>
                <w:kern w:val="21"/>
                <w:sz w:val="21"/>
                <w:szCs w:val="21"/>
              </w:rPr>
            </w:pPr>
            <w:r>
              <w:rPr>
                <w:rFonts w:ascii="Times New Roman" w:eastAsia="黑体"/>
                <w:snapToGrid w:val="0"/>
                <w:color w:val="000000"/>
                <w:spacing w:val="-6"/>
                <w:kern w:val="21"/>
                <w:sz w:val="21"/>
                <w:szCs w:val="21"/>
              </w:rPr>
              <w:fldChar w:fldCharType="begin"/>
            </w:r>
            <w:r>
              <w:rPr>
                <w:rFonts w:ascii="Times New Roman" w:eastAsia="黑体"/>
                <w:snapToGrid w:val="0"/>
                <w:color w:val="000000"/>
                <w:spacing w:val="-6"/>
                <w:kern w:val="21"/>
                <w:sz w:val="21"/>
                <w:szCs w:val="21"/>
              </w:rPr>
              <w:instrText xml:space="preserve"> = 7 \* GB3 \* MERGEFORMAT </w:instrText>
            </w:r>
            <w:r>
              <w:rPr>
                <w:rFonts w:ascii="Times New Roman" w:eastAsia="黑体"/>
                <w:snapToGrid w:val="0"/>
                <w:color w:val="000000"/>
                <w:spacing w:val="-6"/>
                <w:kern w:val="21"/>
                <w:sz w:val="21"/>
                <w:szCs w:val="21"/>
              </w:rPr>
              <w:fldChar w:fldCharType="separate"/>
            </w:r>
            <w:r>
              <w:rPr>
                <w:rFonts w:hint="eastAsia" w:hAnsi="宋体" w:cs="宋体"/>
                <w:color w:val="000000"/>
                <w:kern w:val="2"/>
                <w:sz w:val="21"/>
                <w:szCs w:val="21"/>
              </w:rPr>
              <w:t>⑦</w:t>
            </w:r>
            <w:r>
              <w:rPr>
                <w:rFonts w:ascii="Times New Roman" w:eastAsia="黑体"/>
                <w:snapToGrid w:val="0"/>
                <w:color w:val="000000"/>
                <w:spacing w:val="-6"/>
                <w:kern w:val="21"/>
                <w:sz w:val="21"/>
                <w:szCs w:val="21"/>
              </w:rPr>
              <w:fldChar w:fldCharType="end"/>
            </w:r>
          </w:p>
        </w:tc>
      </w:tr>
      <w:tr w14:paraId="276438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452" w:type="pct"/>
            <w:tcBorders>
              <w:tl2br w:val="nil"/>
              <w:tr2bl w:val="nil"/>
            </w:tcBorders>
            <w:noWrap w:val="0"/>
            <w:vAlign w:val="center"/>
          </w:tcPr>
          <w:p w14:paraId="126238B8">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废气</w:t>
            </w:r>
          </w:p>
        </w:tc>
        <w:tc>
          <w:tcPr>
            <w:tcW w:w="591" w:type="pct"/>
            <w:tcBorders>
              <w:tl2br w:val="nil"/>
              <w:tr2bl w:val="nil"/>
            </w:tcBorders>
            <w:noWrap w:val="0"/>
            <w:vAlign w:val="center"/>
          </w:tcPr>
          <w:p w14:paraId="085D3F98">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color w:val="000000"/>
                <w:kern w:val="0"/>
                <w:sz w:val="21"/>
                <w:szCs w:val="21"/>
                <w:lang w:val="en-US" w:eastAsia="zh-CN"/>
              </w:rPr>
            </w:pPr>
            <w:r>
              <w:rPr>
                <w:rFonts w:hint="eastAsia"/>
                <w:bCs/>
                <w:color w:val="000000"/>
                <w:kern w:val="0"/>
                <w:sz w:val="21"/>
                <w:szCs w:val="21"/>
                <w:lang w:val="en-US" w:eastAsia="zh-CN"/>
              </w:rPr>
              <w:t>非甲烷总烃</w:t>
            </w:r>
          </w:p>
        </w:tc>
        <w:tc>
          <w:tcPr>
            <w:tcW w:w="591" w:type="pct"/>
            <w:tcBorders>
              <w:tl2br w:val="nil"/>
              <w:tr2bl w:val="nil"/>
            </w:tcBorders>
            <w:noWrap w:val="0"/>
            <w:vAlign w:val="center"/>
          </w:tcPr>
          <w:p w14:paraId="7E27B4E9">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color w:val="000000"/>
                <w:kern w:val="0"/>
                <w:sz w:val="21"/>
                <w:szCs w:val="21"/>
                <w:lang w:val="en-US" w:eastAsia="zh-CN"/>
              </w:rPr>
            </w:pPr>
            <w:r>
              <w:rPr>
                <w:rFonts w:hint="eastAsia"/>
                <w:bCs/>
                <w:color w:val="000000"/>
                <w:kern w:val="0"/>
                <w:sz w:val="21"/>
                <w:szCs w:val="21"/>
                <w:lang w:val="en-US" w:eastAsia="zh-CN"/>
              </w:rPr>
              <w:t>9.1616t/a</w:t>
            </w:r>
          </w:p>
        </w:tc>
        <w:tc>
          <w:tcPr>
            <w:tcW w:w="492" w:type="pct"/>
            <w:tcBorders>
              <w:tl2br w:val="nil"/>
              <w:tr2bl w:val="nil"/>
            </w:tcBorders>
            <w:noWrap w:val="0"/>
            <w:vAlign w:val="center"/>
          </w:tcPr>
          <w:p w14:paraId="69FDACA8">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color w:val="000000"/>
                <w:kern w:val="0"/>
                <w:sz w:val="21"/>
                <w:szCs w:val="21"/>
                <w:lang w:val="en-US" w:eastAsia="zh-CN" w:bidi="ar-SA"/>
              </w:rPr>
            </w:pPr>
            <w:r>
              <w:rPr>
                <w:rFonts w:hint="eastAsia"/>
                <w:bCs/>
                <w:color w:val="000000"/>
                <w:kern w:val="0"/>
                <w:sz w:val="21"/>
                <w:szCs w:val="21"/>
                <w:lang w:val="en-US" w:eastAsia="zh-CN"/>
              </w:rPr>
              <w:t>33.683t/a</w:t>
            </w:r>
          </w:p>
        </w:tc>
        <w:tc>
          <w:tcPr>
            <w:tcW w:w="617" w:type="pct"/>
            <w:tcBorders>
              <w:tl2br w:val="nil"/>
              <w:tr2bl w:val="nil"/>
            </w:tcBorders>
            <w:noWrap w:val="0"/>
            <w:vAlign w:val="center"/>
          </w:tcPr>
          <w:p w14:paraId="0F209C46">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615" w:type="pct"/>
            <w:tcBorders>
              <w:tl2br w:val="nil"/>
              <w:tr2bl w:val="nil"/>
            </w:tcBorders>
            <w:noWrap w:val="0"/>
            <w:vAlign w:val="center"/>
          </w:tcPr>
          <w:p w14:paraId="64C34930">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kern w:val="0"/>
                <w:sz w:val="21"/>
                <w:szCs w:val="21"/>
                <w:lang w:val="en-US" w:eastAsia="zh-CN"/>
              </w:rPr>
            </w:pPr>
            <w:r>
              <w:rPr>
                <w:rFonts w:hint="eastAsia"/>
                <w:bCs/>
                <w:color w:val="000000"/>
                <w:kern w:val="0"/>
                <w:sz w:val="21"/>
                <w:szCs w:val="21"/>
                <w:lang w:val="en-US" w:eastAsia="zh-CN"/>
              </w:rPr>
              <w:t>0.012t/a</w:t>
            </w:r>
          </w:p>
        </w:tc>
        <w:tc>
          <w:tcPr>
            <w:tcW w:w="641" w:type="pct"/>
            <w:tcBorders>
              <w:tl2br w:val="nil"/>
              <w:tr2bl w:val="nil"/>
            </w:tcBorders>
            <w:noWrap w:val="0"/>
            <w:vAlign w:val="center"/>
          </w:tcPr>
          <w:p w14:paraId="2D036251">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kern w:val="0"/>
                <w:sz w:val="21"/>
                <w:szCs w:val="21"/>
                <w:lang w:val="en-US" w:eastAsia="zh-CN"/>
              </w:rPr>
            </w:pPr>
            <w:r>
              <w:rPr>
                <w:rFonts w:hint="eastAsia"/>
                <w:bCs/>
                <w:color w:val="000000"/>
                <w:kern w:val="0"/>
                <w:sz w:val="21"/>
                <w:szCs w:val="21"/>
                <w:lang w:val="en-US" w:eastAsia="zh-CN"/>
              </w:rPr>
              <w:t>/</w:t>
            </w:r>
          </w:p>
        </w:tc>
        <w:tc>
          <w:tcPr>
            <w:tcW w:w="690" w:type="pct"/>
            <w:tcBorders>
              <w:tl2br w:val="nil"/>
              <w:tr2bl w:val="nil"/>
            </w:tcBorders>
            <w:noWrap w:val="0"/>
            <w:vAlign w:val="center"/>
          </w:tcPr>
          <w:p w14:paraId="5996604F">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kern w:val="0"/>
                <w:sz w:val="21"/>
                <w:szCs w:val="21"/>
                <w:lang w:val="en-US" w:eastAsia="zh-CN"/>
              </w:rPr>
            </w:pPr>
            <w:r>
              <w:rPr>
                <w:rFonts w:hint="eastAsia"/>
                <w:bCs/>
                <w:color w:val="000000"/>
                <w:kern w:val="0"/>
                <w:sz w:val="21"/>
                <w:szCs w:val="21"/>
                <w:lang w:val="en-US" w:eastAsia="zh-CN"/>
              </w:rPr>
              <w:t>9.1736t/a</w:t>
            </w:r>
          </w:p>
        </w:tc>
        <w:tc>
          <w:tcPr>
            <w:tcW w:w="307" w:type="pct"/>
            <w:tcBorders>
              <w:tl2br w:val="nil"/>
              <w:tr2bl w:val="nil"/>
            </w:tcBorders>
            <w:noWrap w:val="0"/>
            <w:vAlign w:val="center"/>
          </w:tcPr>
          <w:p w14:paraId="679A5BFB">
            <w:pPr>
              <w:keepNext w:val="0"/>
              <w:keepLines w:val="0"/>
              <w:pageBreakBefore w:val="0"/>
              <w:widowControl w:val="0"/>
              <w:kinsoku/>
              <w:wordWrap/>
              <w:overflowPunct/>
              <w:topLinePunct w:val="0"/>
              <w:autoSpaceDE/>
              <w:autoSpaceDN/>
              <w:bidi w:val="0"/>
              <w:ind w:firstLine="0" w:firstLineChars="0"/>
              <w:jc w:val="center"/>
              <w:textAlignment w:val="auto"/>
              <w:rPr>
                <w:rFonts w:hint="default" w:ascii="Times New Roman" w:eastAsia="宋体"/>
                <w:snapToGrid w:val="0"/>
                <w:color w:val="000000"/>
                <w:kern w:val="21"/>
                <w:sz w:val="21"/>
                <w:szCs w:val="21"/>
                <w:lang w:val="en-US" w:eastAsia="zh-CN"/>
              </w:rPr>
            </w:pPr>
            <w:r>
              <w:rPr>
                <w:rFonts w:hint="eastAsia"/>
                <w:bCs/>
                <w:color w:val="000000"/>
                <w:kern w:val="0"/>
                <w:sz w:val="21"/>
                <w:szCs w:val="21"/>
                <w:lang w:val="en-US" w:eastAsia="zh-CN"/>
              </w:rPr>
              <w:t>+0.012t/a</w:t>
            </w:r>
          </w:p>
        </w:tc>
      </w:tr>
      <w:tr w14:paraId="584CBA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83" w:hRule="atLeast"/>
        </w:trPr>
        <w:tc>
          <w:tcPr>
            <w:tcW w:w="452" w:type="pct"/>
            <w:vMerge w:val="restart"/>
            <w:tcBorders>
              <w:tl2br w:val="nil"/>
              <w:tr2bl w:val="nil"/>
            </w:tcBorders>
            <w:noWrap w:val="0"/>
            <w:vAlign w:val="center"/>
          </w:tcPr>
          <w:p w14:paraId="2E095FF4">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废水</w:t>
            </w:r>
          </w:p>
        </w:tc>
        <w:tc>
          <w:tcPr>
            <w:tcW w:w="591" w:type="pct"/>
            <w:tcBorders>
              <w:tl2br w:val="nil"/>
              <w:tr2bl w:val="nil"/>
            </w:tcBorders>
            <w:noWrap w:val="0"/>
            <w:vAlign w:val="center"/>
          </w:tcPr>
          <w:p w14:paraId="274BD90E">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COD</w:t>
            </w:r>
          </w:p>
        </w:tc>
        <w:tc>
          <w:tcPr>
            <w:tcW w:w="591" w:type="pct"/>
            <w:tcBorders>
              <w:tl2br w:val="nil"/>
              <w:tr2bl w:val="nil"/>
            </w:tcBorders>
            <w:noWrap w:val="0"/>
            <w:vAlign w:val="center"/>
          </w:tcPr>
          <w:p w14:paraId="023C62E1">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492" w:type="pct"/>
            <w:tcBorders>
              <w:tl2br w:val="nil"/>
              <w:tr2bl w:val="nil"/>
            </w:tcBorders>
            <w:noWrap w:val="0"/>
            <w:vAlign w:val="center"/>
          </w:tcPr>
          <w:p w14:paraId="18C3870E">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bidi="ar-SA"/>
              </w:rPr>
            </w:pPr>
            <w:r>
              <w:rPr>
                <w:rFonts w:hint="eastAsia"/>
                <w:bCs/>
                <w:color w:val="000000"/>
                <w:kern w:val="0"/>
                <w:sz w:val="21"/>
                <w:szCs w:val="21"/>
                <w:lang w:val="en-US" w:eastAsia="zh-CN"/>
              </w:rPr>
              <w:t>/</w:t>
            </w:r>
          </w:p>
        </w:tc>
        <w:tc>
          <w:tcPr>
            <w:tcW w:w="617" w:type="pct"/>
            <w:tcBorders>
              <w:tl2br w:val="nil"/>
              <w:tr2bl w:val="nil"/>
            </w:tcBorders>
            <w:noWrap w:val="0"/>
            <w:vAlign w:val="center"/>
          </w:tcPr>
          <w:p w14:paraId="719FE130">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15" w:type="pct"/>
            <w:tcBorders>
              <w:tl2br w:val="nil"/>
              <w:tr2bl w:val="nil"/>
            </w:tcBorders>
            <w:noWrap w:val="0"/>
            <w:vAlign w:val="center"/>
          </w:tcPr>
          <w:p w14:paraId="198414F2">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41" w:type="pct"/>
            <w:tcBorders>
              <w:tl2br w:val="nil"/>
              <w:tr2bl w:val="nil"/>
            </w:tcBorders>
            <w:noWrap w:val="0"/>
            <w:vAlign w:val="center"/>
          </w:tcPr>
          <w:p w14:paraId="2A95C2CA">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90" w:type="pct"/>
            <w:tcBorders>
              <w:tl2br w:val="nil"/>
              <w:tr2bl w:val="nil"/>
            </w:tcBorders>
            <w:noWrap w:val="0"/>
            <w:vAlign w:val="center"/>
          </w:tcPr>
          <w:p w14:paraId="20261E55">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307" w:type="pct"/>
            <w:tcBorders>
              <w:tl2br w:val="nil"/>
              <w:tr2bl w:val="nil"/>
            </w:tcBorders>
            <w:noWrap w:val="0"/>
            <w:vAlign w:val="center"/>
          </w:tcPr>
          <w:p w14:paraId="70BCBF73">
            <w:pPr>
              <w:keepNext w:val="0"/>
              <w:keepLines w:val="0"/>
              <w:pageBreakBefore w:val="0"/>
              <w:widowControl w:val="0"/>
              <w:kinsoku/>
              <w:wordWrap/>
              <w:overflowPunct/>
              <w:topLinePunct w:val="0"/>
              <w:autoSpaceDE/>
              <w:autoSpaceDN/>
              <w:bidi w:val="0"/>
              <w:ind w:firstLine="0" w:firstLineChars="0"/>
              <w:jc w:val="center"/>
              <w:textAlignment w:val="auto"/>
              <w:rPr>
                <w:rFonts w:ascii="Times New Roman"/>
                <w:snapToGrid w:val="0"/>
                <w:color w:val="000000"/>
                <w:kern w:val="21"/>
                <w:sz w:val="21"/>
                <w:szCs w:val="21"/>
              </w:rPr>
            </w:pPr>
            <w:r>
              <w:rPr>
                <w:rFonts w:hint="eastAsia"/>
                <w:bCs/>
                <w:color w:val="000000"/>
                <w:kern w:val="0"/>
                <w:sz w:val="21"/>
                <w:szCs w:val="21"/>
                <w:lang w:val="en-US" w:eastAsia="zh-CN"/>
              </w:rPr>
              <w:t>/</w:t>
            </w:r>
          </w:p>
        </w:tc>
      </w:tr>
      <w:tr w14:paraId="07FB14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8" w:hRule="atLeast"/>
        </w:trPr>
        <w:tc>
          <w:tcPr>
            <w:tcW w:w="452" w:type="pct"/>
            <w:vMerge w:val="continue"/>
            <w:tcBorders>
              <w:tl2br w:val="nil"/>
              <w:tr2bl w:val="nil"/>
            </w:tcBorders>
            <w:noWrap w:val="0"/>
            <w:vAlign w:val="center"/>
          </w:tcPr>
          <w:p w14:paraId="6BF4246F">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p>
        </w:tc>
        <w:tc>
          <w:tcPr>
            <w:tcW w:w="591" w:type="pct"/>
            <w:tcBorders>
              <w:tl2br w:val="nil"/>
              <w:tr2bl w:val="nil"/>
            </w:tcBorders>
            <w:noWrap w:val="0"/>
            <w:vAlign w:val="center"/>
          </w:tcPr>
          <w:p w14:paraId="36849A7F">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SS</w:t>
            </w:r>
          </w:p>
        </w:tc>
        <w:tc>
          <w:tcPr>
            <w:tcW w:w="591" w:type="pct"/>
            <w:tcBorders>
              <w:tl2br w:val="nil"/>
              <w:tr2bl w:val="nil"/>
            </w:tcBorders>
            <w:noWrap w:val="0"/>
            <w:vAlign w:val="center"/>
          </w:tcPr>
          <w:p w14:paraId="1FE38A03">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492" w:type="pct"/>
            <w:tcBorders>
              <w:tl2br w:val="nil"/>
              <w:tr2bl w:val="nil"/>
            </w:tcBorders>
            <w:noWrap w:val="0"/>
            <w:vAlign w:val="center"/>
          </w:tcPr>
          <w:p w14:paraId="42657F1E">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bidi="ar-SA"/>
              </w:rPr>
            </w:pPr>
            <w:r>
              <w:rPr>
                <w:rFonts w:hint="eastAsia"/>
                <w:bCs/>
                <w:color w:val="000000"/>
                <w:kern w:val="0"/>
                <w:sz w:val="21"/>
                <w:szCs w:val="21"/>
                <w:lang w:val="en-US" w:eastAsia="zh-CN"/>
              </w:rPr>
              <w:t>/</w:t>
            </w:r>
          </w:p>
        </w:tc>
        <w:tc>
          <w:tcPr>
            <w:tcW w:w="617" w:type="pct"/>
            <w:tcBorders>
              <w:tl2br w:val="nil"/>
              <w:tr2bl w:val="nil"/>
            </w:tcBorders>
            <w:noWrap w:val="0"/>
            <w:vAlign w:val="center"/>
          </w:tcPr>
          <w:p w14:paraId="0F3639C3">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15" w:type="pct"/>
            <w:tcBorders>
              <w:tl2br w:val="nil"/>
              <w:tr2bl w:val="nil"/>
            </w:tcBorders>
            <w:noWrap w:val="0"/>
            <w:vAlign w:val="center"/>
          </w:tcPr>
          <w:p w14:paraId="5BE1CD7C">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41" w:type="pct"/>
            <w:tcBorders>
              <w:tl2br w:val="nil"/>
              <w:tr2bl w:val="nil"/>
            </w:tcBorders>
            <w:noWrap w:val="0"/>
            <w:vAlign w:val="center"/>
          </w:tcPr>
          <w:p w14:paraId="162FCAAB">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90" w:type="pct"/>
            <w:tcBorders>
              <w:tl2br w:val="nil"/>
              <w:tr2bl w:val="nil"/>
            </w:tcBorders>
            <w:noWrap w:val="0"/>
            <w:vAlign w:val="center"/>
          </w:tcPr>
          <w:p w14:paraId="732F985E">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307" w:type="pct"/>
            <w:tcBorders>
              <w:tl2br w:val="nil"/>
              <w:tr2bl w:val="nil"/>
            </w:tcBorders>
            <w:noWrap w:val="0"/>
            <w:vAlign w:val="center"/>
          </w:tcPr>
          <w:p w14:paraId="450B8AA2">
            <w:pPr>
              <w:keepNext w:val="0"/>
              <w:keepLines w:val="0"/>
              <w:pageBreakBefore w:val="0"/>
              <w:widowControl w:val="0"/>
              <w:kinsoku/>
              <w:wordWrap/>
              <w:overflowPunct/>
              <w:topLinePunct w:val="0"/>
              <w:autoSpaceDE/>
              <w:autoSpaceDN/>
              <w:bidi w:val="0"/>
              <w:ind w:firstLine="0" w:firstLineChars="0"/>
              <w:jc w:val="center"/>
              <w:textAlignment w:val="auto"/>
              <w:rPr>
                <w:rFonts w:ascii="Times New Roman"/>
                <w:snapToGrid w:val="0"/>
                <w:color w:val="000000"/>
                <w:kern w:val="21"/>
                <w:sz w:val="21"/>
                <w:szCs w:val="21"/>
              </w:rPr>
            </w:pPr>
            <w:r>
              <w:rPr>
                <w:rFonts w:hint="eastAsia"/>
                <w:bCs/>
                <w:color w:val="000000"/>
                <w:kern w:val="0"/>
                <w:sz w:val="21"/>
                <w:szCs w:val="21"/>
                <w:lang w:val="en-US" w:eastAsia="zh-CN"/>
              </w:rPr>
              <w:t>/</w:t>
            </w:r>
          </w:p>
        </w:tc>
      </w:tr>
      <w:tr w14:paraId="01384A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trPr>
        <w:tc>
          <w:tcPr>
            <w:tcW w:w="452" w:type="pct"/>
            <w:vMerge w:val="continue"/>
            <w:tcBorders>
              <w:tl2br w:val="nil"/>
              <w:tr2bl w:val="nil"/>
            </w:tcBorders>
            <w:noWrap w:val="0"/>
            <w:vAlign w:val="center"/>
          </w:tcPr>
          <w:p w14:paraId="066655BE">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p>
        </w:tc>
        <w:tc>
          <w:tcPr>
            <w:tcW w:w="591" w:type="pct"/>
            <w:tcBorders>
              <w:tl2br w:val="nil"/>
              <w:tr2bl w:val="nil"/>
            </w:tcBorders>
            <w:noWrap w:val="0"/>
            <w:vAlign w:val="center"/>
          </w:tcPr>
          <w:p w14:paraId="5F8ABD79">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氨氮</w:t>
            </w:r>
          </w:p>
        </w:tc>
        <w:tc>
          <w:tcPr>
            <w:tcW w:w="591" w:type="pct"/>
            <w:tcBorders>
              <w:tl2br w:val="nil"/>
              <w:tr2bl w:val="nil"/>
            </w:tcBorders>
            <w:noWrap w:val="0"/>
            <w:vAlign w:val="center"/>
          </w:tcPr>
          <w:p w14:paraId="16541F88">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492" w:type="pct"/>
            <w:tcBorders>
              <w:tl2br w:val="nil"/>
              <w:tr2bl w:val="nil"/>
            </w:tcBorders>
            <w:noWrap w:val="0"/>
            <w:vAlign w:val="center"/>
          </w:tcPr>
          <w:p w14:paraId="75C79691">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17" w:type="pct"/>
            <w:tcBorders>
              <w:tl2br w:val="nil"/>
              <w:tr2bl w:val="nil"/>
            </w:tcBorders>
            <w:noWrap w:val="0"/>
            <w:vAlign w:val="center"/>
          </w:tcPr>
          <w:p w14:paraId="0D9EA7EB">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15" w:type="pct"/>
            <w:tcBorders>
              <w:tl2br w:val="nil"/>
              <w:tr2bl w:val="nil"/>
            </w:tcBorders>
            <w:noWrap w:val="0"/>
            <w:vAlign w:val="center"/>
          </w:tcPr>
          <w:p w14:paraId="421AB02D">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41" w:type="pct"/>
            <w:tcBorders>
              <w:tl2br w:val="nil"/>
              <w:tr2bl w:val="nil"/>
            </w:tcBorders>
            <w:noWrap w:val="0"/>
            <w:vAlign w:val="center"/>
          </w:tcPr>
          <w:p w14:paraId="4F15DF80">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90" w:type="pct"/>
            <w:tcBorders>
              <w:tl2br w:val="nil"/>
              <w:tr2bl w:val="nil"/>
            </w:tcBorders>
            <w:noWrap w:val="0"/>
            <w:vAlign w:val="center"/>
          </w:tcPr>
          <w:p w14:paraId="5F1A93D4">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307" w:type="pct"/>
            <w:tcBorders>
              <w:tl2br w:val="nil"/>
              <w:tr2bl w:val="nil"/>
            </w:tcBorders>
            <w:noWrap w:val="0"/>
            <w:vAlign w:val="center"/>
          </w:tcPr>
          <w:p w14:paraId="177FB43D">
            <w:pPr>
              <w:keepNext w:val="0"/>
              <w:keepLines w:val="0"/>
              <w:pageBreakBefore w:val="0"/>
              <w:widowControl w:val="0"/>
              <w:kinsoku/>
              <w:wordWrap/>
              <w:overflowPunct/>
              <w:topLinePunct w:val="0"/>
              <w:autoSpaceDE/>
              <w:autoSpaceDN/>
              <w:bidi w:val="0"/>
              <w:ind w:firstLine="0" w:firstLineChars="0"/>
              <w:jc w:val="center"/>
              <w:textAlignment w:val="auto"/>
              <w:rPr>
                <w:rFonts w:ascii="Times New Roman"/>
                <w:snapToGrid w:val="0"/>
                <w:color w:val="000000"/>
                <w:kern w:val="21"/>
                <w:sz w:val="21"/>
                <w:szCs w:val="21"/>
              </w:rPr>
            </w:pPr>
            <w:r>
              <w:rPr>
                <w:rFonts w:hint="eastAsia"/>
                <w:bCs/>
                <w:color w:val="000000"/>
                <w:kern w:val="0"/>
                <w:sz w:val="21"/>
                <w:szCs w:val="21"/>
                <w:lang w:val="en-US" w:eastAsia="zh-CN"/>
              </w:rPr>
              <w:t>/</w:t>
            </w:r>
          </w:p>
        </w:tc>
      </w:tr>
      <w:tr w14:paraId="358E18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trPr>
        <w:tc>
          <w:tcPr>
            <w:tcW w:w="452" w:type="pct"/>
            <w:tcBorders>
              <w:tl2br w:val="nil"/>
              <w:tr2bl w:val="nil"/>
            </w:tcBorders>
            <w:noWrap w:val="0"/>
            <w:vAlign w:val="center"/>
          </w:tcPr>
          <w:p w14:paraId="6FD751B8">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一般固废</w:t>
            </w:r>
          </w:p>
        </w:tc>
        <w:tc>
          <w:tcPr>
            <w:tcW w:w="591" w:type="pct"/>
            <w:tcBorders>
              <w:tl2br w:val="nil"/>
              <w:tr2bl w:val="nil"/>
            </w:tcBorders>
            <w:noWrap w:val="0"/>
            <w:vAlign w:val="center"/>
          </w:tcPr>
          <w:p w14:paraId="129951C8">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eastAsia="zh-CN"/>
              </w:rPr>
            </w:pPr>
            <w:r>
              <w:rPr>
                <w:rFonts w:hint="eastAsia"/>
                <w:bCs/>
                <w:color w:val="000000"/>
                <w:kern w:val="0"/>
                <w:sz w:val="21"/>
                <w:szCs w:val="21"/>
                <w:lang w:val="en-US" w:eastAsia="zh-CN"/>
              </w:rPr>
              <w:t>/</w:t>
            </w:r>
          </w:p>
        </w:tc>
        <w:tc>
          <w:tcPr>
            <w:tcW w:w="591" w:type="pct"/>
            <w:tcBorders>
              <w:tl2br w:val="nil"/>
              <w:tr2bl w:val="nil"/>
            </w:tcBorders>
            <w:noWrap w:val="0"/>
            <w:vAlign w:val="center"/>
          </w:tcPr>
          <w:p w14:paraId="0733F6A0">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492" w:type="pct"/>
            <w:tcBorders>
              <w:tl2br w:val="nil"/>
              <w:tr2bl w:val="nil"/>
            </w:tcBorders>
            <w:noWrap w:val="0"/>
            <w:vAlign w:val="center"/>
          </w:tcPr>
          <w:p w14:paraId="62EF0C97">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17" w:type="pct"/>
            <w:tcBorders>
              <w:tl2br w:val="nil"/>
              <w:tr2bl w:val="nil"/>
            </w:tcBorders>
            <w:noWrap w:val="0"/>
            <w:vAlign w:val="center"/>
          </w:tcPr>
          <w:p w14:paraId="21BAA5F3">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15" w:type="pct"/>
            <w:tcBorders>
              <w:tl2br w:val="nil"/>
              <w:tr2bl w:val="nil"/>
            </w:tcBorders>
            <w:noWrap w:val="0"/>
            <w:vAlign w:val="center"/>
          </w:tcPr>
          <w:p w14:paraId="502409A1">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41" w:type="pct"/>
            <w:tcBorders>
              <w:tl2br w:val="nil"/>
              <w:tr2bl w:val="nil"/>
            </w:tcBorders>
            <w:noWrap w:val="0"/>
            <w:vAlign w:val="center"/>
          </w:tcPr>
          <w:p w14:paraId="0E9EBF06">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690" w:type="pct"/>
            <w:tcBorders>
              <w:tl2br w:val="nil"/>
              <w:tr2bl w:val="nil"/>
            </w:tcBorders>
            <w:noWrap w:val="0"/>
            <w:vAlign w:val="center"/>
          </w:tcPr>
          <w:p w14:paraId="60083965">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307" w:type="pct"/>
            <w:tcBorders>
              <w:tl2br w:val="nil"/>
              <w:tr2bl w:val="nil"/>
            </w:tcBorders>
            <w:noWrap w:val="0"/>
            <w:vAlign w:val="center"/>
          </w:tcPr>
          <w:p w14:paraId="0633BB72">
            <w:pPr>
              <w:keepNext w:val="0"/>
              <w:keepLines w:val="0"/>
              <w:pageBreakBefore w:val="0"/>
              <w:widowControl w:val="0"/>
              <w:kinsoku/>
              <w:wordWrap/>
              <w:overflowPunct/>
              <w:topLinePunct w:val="0"/>
              <w:autoSpaceDE/>
              <w:autoSpaceDN/>
              <w:bidi w:val="0"/>
              <w:ind w:firstLine="0" w:firstLineChars="0"/>
              <w:jc w:val="center"/>
              <w:textAlignment w:val="auto"/>
              <w:rPr>
                <w:rFonts w:ascii="Times New Roman"/>
                <w:snapToGrid w:val="0"/>
                <w:color w:val="000000"/>
                <w:kern w:val="21"/>
                <w:sz w:val="21"/>
                <w:szCs w:val="21"/>
              </w:rPr>
            </w:pPr>
            <w:r>
              <w:rPr>
                <w:rFonts w:hint="eastAsia"/>
                <w:bCs/>
                <w:color w:val="000000"/>
                <w:kern w:val="0"/>
                <w:sz w:val="21"/>
                <w:szCs w:val="21"/>
                <w:lang w:val="en-US" w:eastAsia="zh-CN"/>
              </w:rPr>
              <w:t>/</w:t>
            </w:r>
          </w:p>
        </w:tc>
      </w:tr>
      <w:tr w14:paraId="5B255A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34" w:hRule="atLeast"/>
        </w:trPr>
        <w:tc>
          <w:tcPr>
            <w:tcW w:w="452" w:type="pct"/>
            <w:tcBorders>
              <w:tl2br w:val="nil"/>
              <w:tr2bl w:val="nil"/>
            </w:tcBorders>
            <w:noWrap w:val="0"/>
            <w:vAlign w:val="center"/>
          </w:tcPr>
          <w:p w14:paraId="3EB480BC">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危险废物</w:t>
            </w:r>
          </w:p>
        </w:tc>
        <w:tc>
          <w:tcPr>
            <w:tcW w:w="591" w:type="pct"/>
            <w:tcBorders>
              <w:tl2br w:val="nil"/>
              <w:tr2bl w:val="nil"/>
            </w:tcBorders>
            <w:noWrap w:val="0"/>
            <w:vAlign w:val="center"/>
          </w:tcPr>
          <w:p w14:paraId="5D816D94">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eastAsia="zh-CN"/>
              </w:rPr>
            </w:pPr>
            <w:r>
              <w:rPr>
                <w:bCs/>
                <w:color w:val="000000"/>
                <w:kern w:val="0"/>
                <w:sz w:val="21"/>
                <w:szCs w:val="21"/>
              </w:rPr>
              <w:t>废</w:t>
            </w:r>
            <w:r>
              <w:rPr>
                <w:rFonts w:hint="eastAsia"/>
                <w:bCs/>
                <w:color w:val="000000"/>
                <w:kern w:val="0"/>
                <w:sz w:val="21"/>
                <w:szCs w:val="21"/>
                <w:lang w:val="en-US" w:eastAsia="zh-CN"/>
              </w:rPr>
              <w:t>机油</w:t>
            </w:r>
          </w:p>
        </w:tc>
        <w:tc>
          <w:tcPr>
            <w:tcW w:w="591" w:type="pct"/>
            <w:tcBorders>
              <w:tl2br w:val="nil"/>
              <w:tr2bl w:val="nil"/>
            </w:tcBorders>
            <w:noWrap w:val="0"/>
            <w:vAlign w:val="center"/>
          </w:tcPr>
          <w:p w14:paraId="5E8CBC82">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492" w:type="pct"/>
            <w:tcBorders>
              <w:tl2br w:val="nil"/>
              <w:tr2bl w:val="nil"/>
            </w:tcBorders>
            <w:noWrap w:val="0"/>
            <w:vAlign w:val="center"/>
          </w:tcPr>
          <w:p w14:paraId="4D0CAB76">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bidi="ar-SA"/>
              </w:rPr>
            </w:pPr>
            <w:r>
              <w:rPr>
                <w:rFonts w:hint="eastAsia"/>
                <w:bCs/>
                <w:color w:val="000000"/>
                <w:kern w:val="0"/>
                <w:sz w:val="21"/>
                <w:szCs w:val="21"/>
                <w:lang w:val="en-US" w:eastAsia="zh-CN"/>
              </w:rPr>
              <w:t>/</w:t>
            </w:r>
          </w:p>
        </w:tc>
        <w:tc>
          <w:tcPr>
            <w:tcW w:w="617" w:type="pct"/>
            <w:tcBorders>
              <w:tl2br w:val="nil"/>
              <w:tr2bl w:val="nil"/>
            </w:tcBorders>
            <w:noWrap w:val="0"/>
            <w:vAlign w:val="center"/>
          </w:tcPr>
          <w:p w14:paraId="327BE903">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/0</w:t>
            </w:r>
          </w:p>
        </w:tc>
        <w:tc>
          <w:tcPr>
            <w:tcW w:w="615" w:type="pct"/>
            <w:tcBorders>
              <w:tl2br w:val="nil"/>
              <w:tr2bl w:val="nil"/>
            </w:tcBorders>
            <w:noWrap w:val="0"/>
            <w:vAlign w:val="center"/>
          </w:tcPr>
          <w:p w14:paraId="660810A8">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1</w:t>
            </w:r>
            <w:r>
              <w:rPr>
                <w:bCs/>
                <w:color w:val="000000"/>
                <w:kern w:val="0"/>
                <w:sz w:val="21"/>
                <w:szCs w:val="21"/>
              </w:rPr>
              <w:t>t/a</w:t>
            </w:r>
          </w:p>
        </w:tc>
        <w:tc>
          <w:tcPr>
            <w:tcW w:w="641" w:type="pct"/>
            <w:tcBorders>
              <w:tl2br w:val="nil"/>
              <w:tr2bl w:val="nil"/>
            </w:tcBorders>
            <w:noWrap w:val="0"/>
            <w:vAlign w:val="center"/>
          </w:tcPr>
          <w:p w14:paraId="261E1319">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690" w:type="pct"/>
            <w:tcBorders>
              <w:tl2br w:val="nil"/>
              <w:tr2bl w:val="nil"/>
            </w:tcBorders>
            <w:noWrap w:val="0"/>
            <w:vAlign w:val="center"/>
          </w:tcPr>
          <w:p w14:paraId="5632A8E6">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1</w:t>
            </w:r>
            <w:r>
              <w:rPr>
                <w:bCs/>
                <w:color w:val="000000"/>
                <w:kern w:val="0"/>
                <w:sz w:val="21"/>
                <w:szCs w:val="21"/>
              </w:rPr>
              <w:t>t/a</w:t>
            </w:r>
          </w:p>
        </w:tc>
        <w:tc>
          <w:tcPr>
            <w:tcW w:w="307" w:type="pct"/>
            <w:tcBorders>
              <w:tl2br w:val="nil"/>
              <w:tr2bl w:val="nil"/>
            </w:tcBorders>
            <w:noWrap w:val="0"/>
            <w:vAlign w:val="center"/>
          </w:tcPr>
          <w:p w14:paraId="2AA467AF">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hAnsi="Times New Roman" w:eastAsia="宋体" w:cs="Times New Roman"/>
                <w:bCs/>
                <w:color w:val="000000"/>
                <w:kern w:val="0"/>
                <w:sz w:val="21"/>
                <w:szCs w:val="21"/>
                <w:lang w:val="en-US" w:eastAsia="zh-CN"/>
              </w:rPr>
            </w:pPr>
            <w:r>
              <w:rPr>
                <w:rFonts w:hint="eastAsia" w:ascii="Times New Roman" w:hAnsi="Times New Roman" w:eastAsia="宋体" w:cs="Times New Roman"/>
                <w:bCs/>
                <w:color w:val="000000"/>
                <w:kern w:val="0"/>
                <w:sz w:val="21"/>
                <w:szCs w:val="21"/>
                <w:lang w:val="en-US" w:eastAsia="zh-CN"/>
              </w:rPr>
              <w:t>1</w:t>
            </w:r>
            <w:r>
              <w:rPr>
                <w:rFonts w:ascii="Times New Roman" w:hAnsi="Times New Roman" w:eastAsia="宋体" w:cs="Times New Roman"/>
                <w:bCs/>
                <w:color w:val="000000"/>
                <w:kern w:val="0"/>
                <w:sz w:val="21"/>
                <w:szCs w:val="21"/>
              </w:rPr>
              <w:t>t/a</w:t>
            </w:r>
          </w:p>
        </w:tc>
      </w:tr>
      <w:tr w14:paraId="044BE3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trPr>
        <w:tc>
          <w:tcPr>
            <w:tcW w:w="452" w:type="pct"/>
            <w:tcBorders>
              <w:tl2br w:val="nil"/>
              <w:tr2bl w:val="nil"/>
            </w:tcBorders>
            <w:noWrap w:val="0"/>
            <w:vAlign w:val="center"/>
          </w:tcPr>
          <w:p w14:paraId="60D5A1DB">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bCs/>
                <w:color w:val="000000"/>
                <w:kern w:val="0"/>
                <w:sz w:val="21"/>
                <w:szCs w:val="21"/>
              </w:rPr>
              <w:t>生活垃圾</w:t>
            </w:r>
          </w:p>
        </w:tc>
        <w:tc>
          <w:tcPr>
            <w:tcW w:w="1654" w:type="dxa"/>
            <w:tcBorders>
              <w:tl2br w:val="nil"/>
              <w:tr2bl w:val="nil"/>
            </w:tcBorders>
            <w:noWrap w:val="0"/>
            <w:vAlign w:val="center"/>
          </w:tcPr>
          <w:p w14:paraId="43B2D5D2">
            <w:pPr>
              <w:keepNext w:val="0"/>
              <w:keepLines w:val="0"/>
              <w:pageBreakBefore w:val="0"/>
              <w:widowControl w:val="0"/>
              <w:kinsoku/>
              <w:wordWrap/>
              <w:overflowPunct/>
              <w:topLinePunct w:val="0"/>
              <w:autoSpaceDE/>
              <w:autoSpaceDN/>
              <w:bidi w:val="0"/>
              <w:ind w:firstLine="0" w:firstLineChars="0"/>
              <w:jc w:val="center"/>
              <w:textAlignment w:val="auto"/>
              <w:rPr>
                <w:bCs/>
                <w:color w:val="000000"/>
                <w:kern w:val="0"/>
                <w:sz w:val="21"/>
                <w:szCs w:val="21"/>
              </w:rPr>
            </w:pPr>
            <w:r>
              <w:rPr>
                <w:rFonts w:hint="eastAsia"/>
                <w:bCs/>
                <w:color w:val="000000"/>
                <w:kern w:val="0"/>
                <w:sz w:val="21"/>
                <w:szCs w:val="21"/>
                <w:lang w:val="en-US" w:eastAsia="zh-CN"/>
              </w:rPr>
              <w:t>/</w:t>
            </w:r>
          </w:p>
        </w:tc>
        <w:tc>
          <w:tcPr>
            <w:tcW w:w="1654" w:type="dxa"/>
            <w:tcBorders>
              <w:tl2br w:val="nil"/>
              <w:tr2bl w:val="nil"/>
            </w:tcBorders>
            <w:noWrap w:val="0"/>
            <w:vAlign w:val="center"/>
          </w:tcPr>
          <w:p w14:paraId="1EE11A06">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color w:val="000000"/>
                <w:kern w:val="0"/>
                <w:sz w:val="21"/>
                <w:szCs w:val="21"/>
                <w:lang w:val="en-US" w:eastAsia="zh-CN"/>
              </w:rPr>
            </w:pPr>
            <w:r>
              <w:rPr>
                <w:rFonts w:hint="eastAsia"/>
                <w:bCs/>
                <w:color w:val="000000"/>
                <w:kern w:val="0"/>
                <w:sz w:val="21"/>
                <w:szCs w:val="21"/>
                <w:lang w:val="en-US" w:eastAsia="zh-CN"/>
              </w:rPr>
              <w:t>/</w:t>
            </w:r>
          </w:p>
        </w:tc>
        <w:tc>
          <w:tcPr>
            <w:tcW w:w="1377" w:type="dxa"/>
            <w:tcBorders>
              <w:tl2br w:val="nil"/>
              <w:tr2bl w:val="nil"/>
            </w:tcBorders>
            <w:noWrap w:val="0"/>
            <w:vAlign w:val="center"/>
          </w:tcPr>
          <w:p w14:paraId="330E8F5D">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bidi="ar-SA"/>
              </w:rPr>
            </w:pPr>
            <w:r>
              <w:rPr>
                <w:rFonts w:hint="eastAsia"/>
                <w:bCs/>
                <w:color w:val="000000"/>
                <w:kern w:val="0"/>
                <w:sz w:val="21"/>
                <w:szCs w:val="21"/>
                <w:lang w:val="en-US" w:eastAsia="zh-CN"/>
              </w:rPr>
              <w:t>/</w:t>
            </w:r>
          </w:p>
        </w:tc>
        <w:tc>
          <w:tcPr>
            <w:tcW w:w="1727" w:type="dxa"/>
            <w:tcBorders>
              <w:tl2br w:val="nil"/>
              <w:tr2bl w:val="nil"/>
            </w:tcBorders>
            <w:noWrap w:val="0"/>
            <w:vAlign w:val="center"/>
          </w:tcPr>
          <w:p w14:paraId="1A7DF7C0">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1721" w:type="dxa"/>
            <w:tcBorders>
              <w:tl2br w:val="nil"/>
              <w:tr2bl w:val="nil"/>
            </w:tcBorders>
            <w:noWrap w:val="0"/>
            <w:vAlign w:val="center"/>
          </w:tcPr>
          <w:p w14:paraId="616AA650">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1794" w:type="dxa"/>
            <w:tcBorders>
              <w:tl2br w:val="nil"/>
              <w:tr2bl w:val="nil"/>
            </w:tcBorders>
            <w:noWrap w:val="0"/>
            <w:vAlign w:val="center"/>
          </w:tcPr>
          <w:p w14:paraId="1C6C96ED">
            <w:pPr>
              <w:keepNext w:val="0"/>
              <w:keepLines w:val="0"/>
              <w:pageBreakBefore w:val="0"/>
              <w:widowControl w:val="0"/>
              <w:kinsoku/>
              <w:wordWrap/>
              <w:overflowPunct/>
              <w:topLinePunct w:val="0"/>
              <w:autoSpaceDE/>
              <w:autoSpaceDN/>
              <w:bidi w:val="0"/>
              <w:ind w:firstLine="0" w:firstLineChars="0"/>
              <w:jc w:val="center"/>
              <w:textAlignment w:val="auto"/>
              <w:rPr>
                <w:rFonts w:hint="eastAsia" w:eastAsia="宋体"/>
                <w:bCs/>
                <w:color w:val="000000"/>
                <w:kern w:val="0"/>
                <w:sz w:val="21"/>
                <w:szCs w:val="21"/>
                <w:lang w:val="en-US" w:eastAsia="zh-CN"/>
              </w:rPr>
            </w:pPr>
            <w:r>
              <w:rPr>
                <w:rFonts w:hint="eastAsia"/>
                <w:bCs/>
                <w:color w:val="000000"/>
                <w:kern w:val="0"/>
                <w:sz w:val="21"/>
                <w:szCs w:val="21"/>
                <w:lang w:val="en-US" w:eastAsia="zh-CN"/>
              </w:rPr>
              <w:t>/</w:t>
            </w:r>
          </w:p>
        </w:tc>
        <w:tc>
          <w:tcPr>
            <w:tcW w:w="1932" w:type="dxa"/>
            <w:tcBorders>
              <w:tl2br w:val="nil"/>
              <w:tr2bl w:val="nil"/>
            </w:tcBorders>
            <w:noWrap w:val="0"/>
            <w:vAlign w:val="center"/>
          </w:tcPr>
          <w:p w14:paraId="2C04F035">
            <w:pPr>
              <w:keepNext w:val="0"/>
              <w:keepLines w:val="0"/>
              <w:pageBreakBefore w:val="0"/>
              <w:widowControl w:val="0"/>
              <w:kinsoku/>
              <w:wordWrap/>
              <w:overflowPunct/>
              <w:topLinePunct w:val="0"/>
              <w:autoSpaceDE/>
              <w:autoSpaceDN/>
              <w:bidi w:val="0"/>
              <w:ind w:firstLine="0" w:firstLineChars="0"/>
              <w:jc w:val="center"/>
              <w:textAlignment w:val="auto"/>
              <w:rPr>
                <w:rFonts w:hint="default" w:eastAsia="宋体"/>
                <w:bCs/>
                <w:color w:val="000000"/>
                <w:kern w:val="0"/>
                <w:sz w:val="21"/>
                <w:szCs w:val="21"/>
                <w:lang w:val="en-US" w:eastAsia="zh-CN"/>
              </w:rPr>
            </w:pPr>
            <w:r>
              <w:rPr>
                <w:rFonts w:hint="eastAsia"/>
                <w:bCs/>
                <w:color w:val="000000"/>
                <w:kern w:val="0"/>
                <w:sz w:val="21"/>
                <w:szCs w:val="21"/>
                <w:lang w:val="en-US" w:eastAsia="zh-CN"/>
              </w:rPr>
              <w:t>/</w:t>
            </w:r>
          </w:p>
        </w:tc>
        <w:tc>
          <w:tcPr>
            <w:tcW w:w="860" w:type="dxa"/>
            <w:tcBorders>
              <w:tl2br w:val="nil"/>
              <w:tr2bl w:val="nil"/>
            </w:tcBorders>
            <w:noWrap w:val="0"/>
            <w:vAlign w:val="center"/>
          </w:tcPr>
          <w:p w14:paraId="7A5E4F2A">
            <w:pPr>
              <w:keepNext w:val="0"/>
              <w:keepLines w:val="0"/>
              <w:pageBreakBefore w:val="0"/>
              <w:widowControl w:val="0"/>
              <w:kinsoku/>
              <w:wordWrap/>
              <w:overflowPunct/>
              <w:topLinePunct w:val="0"/>
              <w:autoSpaceDE/>
              <w:autoSpaceDN/>
              <w:bidi w:val="0"/>
              <w:ind w:firstLine="0" w:firstLineChars="0"/>
              <w:jc w:val="center"/>
              <w:textAlignment w:val="auto"/>
              <w:rPr>
                <w:rFonts w:hint="eastAsia" w:ascii="Times New Roman" w:eastAsia="宋体"/>
                <w:snapToGrid w:val="0"/>
                <w:color w:val="000000"/>
                <w:kern w:val="21"/>
                <w:sz w:val="21"/>
                <w:szCs w:val="21"/>
                <w:lang w:val="en-US" w:eastAsia="zh-CN"/>
              </w:rPr>
            </w:pPr>
            <w:r>
              <w:rPr>
                <w:rFonts w:hint="eastAsia"/>
                <w:bCs/>
                <w:color w:val="000000"/>
                <w:kern w:val="0"/>
                <w:sz w:val="21"/>
                <w:szCs w:val="21"/>
                <w:lang w:val="en-US" w:eastAsia="zh-CN"/>
              </w:rPr>
              <w:t>/</w:t>
            </w:r>
          </w:p>
        </w:tc>
      </w:tr>
    </w:tbl>
    <w:p w14:paraId="0F0474D6">
      <w:pPr>
        <w:pStyle w:val="88"/>
        <w:spacing w:before="192" w:beforeLines="80" w:after="24"/>
        <w:jc w:val="left"/>
        <w:rPr>
          <w:rFonts w:hint="eastAsia" w:ascii="Times New Roman"/>
          <w:color w:val="000000"/>
        </w:rPr>
        <w:sectPr>
          <w:footerReference r:id="rId7" w:type="default"/>
          <w:pgSz w:w="16838" w:h="11906" w:orient="landscape"/>
          <w:pgMar w:top="1134" w:right="1531" w:bottom="1134" w:left="1531" w:header="851" w:footer="851" w:gutter="0"/>
          <w:pgBorders>
            <w:top w:val="none" w:sz="0" w:space="0"/>
            <w:left w:val="none" w:sz="0" w:space="0"/>
            <w:bottom w:val="none" w:sz="0" w:space="0"/>
            <w:right w:val="none" w:sz="0" w:space="0"/>
          </w:pgBorders>
          <w:cols w:space="720" w:num="1"/>
          <w:docGrid w:linePitch="312" w:charSpace="0"/>
        </w:sectPr>
      </w:pPr>
      <w:r>
        <w:rPr>
          <w:rFonts w:ascii="Times New Roman"/>
          <w:snapToGrid w:val="0"/>
          <w:color w:val="000000"/>
          <w:kern w:val="21"/>
          <w:szCs w:val="21"/>
        </w:rPr>
        <w:t>注：</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hint="eastAsia" w:hAnsi="宋体" w:cs="宋体"/>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hint="eastAsia" w:hAnsi="宋体" w:cs="宋体"/>
          <w:color w:val="000000"/>
          <w:szCs w:val="21"/>
        </w:rPr>
        <w:t>①</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3 \* GB3 \* MERGEFORMAT </w:instrText>
      </w:r>
      <w:r>
        <w:rPr>
          <w:rFonts w:ascii="Times New Roman"/>
          <w:snapToGrid w:val="0"/>
          <w:color w:val="000000"/>
          <w:spacing w:val="-6"/>
          <w:kern w:val="21"/>
          <w:szCs w:val="21"/>
        </w:rPr>
        <w:fldChar w:fldCharType="separate"/>
      </w:r>
      <w:r>
        <w:rPr>
          <w:rFonts w:hint="eastAsia" w:hAnsi="宋体" w:cs="宋体"/>
          <w:color w:val="000000"/>
          <w:szCs w:val="21"/>
        </w:rPr>
        <w:t>③</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4 \* GB3 \* MERGEFORMAT </w:instrText>
      </w:r>
      <w:r>
        <w:rPr>
          <w:rFonts w:ascii="Times New Roman"/>
          <w:snapToGrid w:val="0"/>
          <w:color w:val="000000"/>
          <w:spacing w:val="-6"/>
          <w:kern w:val="21"/>
          <w:szCs w:val="21"/>
        </w:rPr>
        <w:fldChar w:fldCharType="separate"/>
      </w:r>
      <w:r>
        <w:rPr>
          <w:rFonts w:hint="eastAsia" w:hAnsi="宋体" w:cs="宋体"/>
          <w:color w:val="000000"/>
          <w:szCs w:val="21"/>
        </w:rPr>
        <w:t>④</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5 \* GB3 \* MERGEFORMAT </w:instrText>
      </w:r>
      <w:r>
        <w:rPr>
          <w:rFonts w:ascii="Times New Roman"/>
          <w:snapToGrid w:val="0"/>
          <w:color w:val="000000"/>
          <w:spacing w:val="-16"/>
          <w:kern w:val="21"/>
          <w:szCs w:val="21"/>
        </w:rPr>
        <w:fldChar w:fldCharType="separate"/>
      </w:r>
      <w:r>
        <w:rPr>
          <w:rFonts w:hint="eastAsia" w:hAnsi="宋体" w:cs="宋体"/>
          <w:color w:val="000000"/>
          <w:szCs w:val="21"/>
        </w:rPr>
        <w:t>⑤</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7 \* GB3 \* MERGEFORMAT </w:instrText>
      </w:r>
      <w:r>
        <w:rPr>
          <w:rFonts w:ascii="Times New Roman"/>
          <w:snapToGrid w:val="0"/>
          <w:color w:val="000000"/>
          <w:spacing w:val="-6"/>
          <w:kern w:val="21"/>
          <w:szCs w:val="21"/>
        </w:rPr>
        <w:fldChar w:fldCharType="separate"/>
      </w:r>
      <w:r>
        <w:rPr>
          <w:rFonts w:hint="eastAsia" w:hAnsi="宋体" w:cs="宋体"/>
          <w:color w:val="000000"/>
          <w:szCs w:val="21"/>
        </w:rPr>
        <w:t>⑦</w:t>
      </w:r>
      <w:r>
        <w:rPr>
          <w:rFonts w:ascii="Times New Roman"/>
          <w:snapToGrid w:val="0"/>
          <w:color w:val="000000"/>
          <w:spacing w:val="-6"/>
          <w:kern w:val="21"/>
          <w:szCs w:val="21"/>
        </w:rPr>
        <w:fldChar w:fldCharType="end"/>
      </w:r>
      <w:r>
        <w:rPr>
          <w:rFonts w:ascii="Times New Roman"/>
          <w:snapToGrid w:val="0"/>
          <w:color w:val="000000"/>
          <w:spacing w:val="-6"/>
          <w:kern w:val="21"/>
          <w:szCs w:val="21"/>
        </w:rPr>
        <w:t>=</w:t>
      </w:r>
      <w:r>
        <w:rPr>
          <w:rFonts w:ascii="Times New Roman"/>
          <w:snapToGrid w:val="0"/>
          <w:color w:val="000000"/>
          <w:spacing w:val="-16"/>
          <w:kern w:val="21"/>
          <w:szCs w:val="21"/>
        </w:rPr>
        <w:fldChar w:fldCharType="begin"/>
      </w:r>
      <w:r>
        <w:rPr>
          <w:rFonts w:ascii="Times New Roman"/>
          <w:snapToGrid w:val="0"/>
          <w:color w:val="000000"/>
          <w:spacing w:val="-16"/>
          <w:kern w:val="21"/>
          <w:szCs w:val="21"/>
        </w:rPr>
        <w:instrText xml:space="preserve"> = 6 \* GB3 \* MERGEFORMAT </w:instrText>
      </w:r>
      <w:r>
        <w:rPr>
          <w:rFonts w:ascii="Times New Roman"/>
          <w:snapToGrid w:val="0"/>
          <w:color w:val="000000"/>
          <w:spacing w:val="-16"/>
          <w:kern w:val="21"/>
          <w:szCs w:val="21"/>
        </w:rPr>
        <w:fldChar w:fldCharType="separate"/>
      </w:r>
      <w:r>
        <w:rPr>
          <w:rFonts w:hint="eastAsia" w:hAnsi="宋体" w:cs="宋体"/>
          <w:color w:val="000000"/>
          <w:szCs w:val="21"/>
        </w:rPr>
        <w:t>⑥</w:t>
      </w:r>
      <w:r>
        <w:rPr>
          <w:rFonts w:ascii="Times New Roman"/>
          <w:snapToGrid w:val="0"/>
          <w:color w:val="000000"/>
          <w:spacing w:val="-16"/>
          <w:kern w:val="21"/>
          <w:szCs w:val="21"/>
        </w:rPr>
        <w:fldChar w:fldCharType="end"/>
      </w:r>
      <w:r>
        <w:rPr>
          <w:rFonts w:ascii="Times New Roman"/>
          <w:snapToGrid w:val="0"/>
          <w:color w:val="000000"/>
          <w:spacing w:val="-16"/>
          <w:kern w:val="21"/>
          <w:szCs w:val="21"/>
        </w:rPr>
        <w:t>-</w:t>
      </w:r>
      <w:r>
        <w:rPr>
          <w:rFonts w:ascii="Times New Roman"/>
          <w:snapToGrid w:val="0"/>
          <w:color w:val="000000"/>
          <w:spacing w:val="-6"/>
          <w:kern w:val="21"/>
          <w:szCs w:val="21"/>
        </w:rPr>
        <w:fldChar w:fldCharType="begin"/>
      </w:r>
      <w:r>
        <w:rPr>
          <w:rFonts w:ascii="Times New Roman"/>
          <w:snapToGrid w:val="0"/>
          <w:color w:val="000000"/>
          <w:spacing w:val="-6"/>
          <w:kern w:val="21"/>
          <w:szCs w:val="21"/>
        </w:rPr>
        <w:instrText xml:space="preserve"> = 1 \* GB3 \* MERGEFORMAT </w:instrText>
      </w:r>
      <w:r>
        <w:rPr>
          <w:rFonts w:ascii="Times New Roman"/>
          <w:snapToGrid w:val="0"/>
          <w:color w:val="000000"/>
          <w:spacing w:val="-6"/>
          <w:kern w:val="21"/>
          <w:szCs w:val="21"/>
        </w:rPr>
        <w:fldChar w:fldCharType="separate"/>
      </w:r>
      <w:r>
        <w:rPr>
          <w:rFonts w:hint="eastAsia" w:hAnsi="宋体" w:cs="宋体"/>
          <w:color w:val="000000"/>
          <w:szCs w:val="21"/>
        </w:rPr>
        <w:t>①</w:t>
      </w:r>
      <w:r>
        <w:rPr>
          <w:rFonts w:ascii="Times New Roman"/>
          <w:snapToGrid w:val="0"/>
          <w:color w:val="000000"/>
          <w:spacing w:val="-6"/>
          <w:kern w:val="21"/>
          <w:szCs w:val="21"/>
        </w:rPr>
        <w:fldChar w:fldCharType="end"/>
      </w:r>
      <w:bookmarkStart w:id="40" w:name="_GoBack"/>
      <w:bookmarkEnd w:id="40"/>
    </w:p>
    <w:p w14:paraId="521913F2">
      <w:pPr>
        <w:snapToGrid w:val="0"/>
        <w:spacing w:line="360" w:lineRule="auto"/>
        <w:ind w:right="10"/>
        <w:rPr>
          <w:rFonts w:hint="default"/>
          <w:color w:val="000000"/>
          <w:sz w:val="24"/>
          <w:lang w:val="en-US" w:eastAsia="zh-CN"/>
        </w:rPr>
      </w:pPr>
    </w:p>
    <w:sectPr>
      <w:footerReference r:id="rId8" w:type="default"/>
      <w:pgSz w:w="12758" w:h="16840"/>
      <w:pgMar w:top="1440" w:right="1134" w:bottom="1440" w:left="1134" w:header="624" w:footer="624"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03FF31-547B-4F02-BE82-96E148CC90C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3CBFD12-D9E9-4474-BA8A-653EC22FDF66}"/>
  </w:font>
  <w:font w:name="仿宋_GB2312">
    <w:altName w:val="仿宋"/>
    <w:panose1 w:val="02010609030101010101"/>
    <w:charset w:val="86"/>
    <w:family w:val="modern"/>
    <w:pitch w:val="default"/>
    <w:sig w:usb0="00000000" w:usb1="00000000" w:usb2="00000000" w:usb3="00000000" w:csb0="00040000" w:csb1="00000000"/>
    <w:embedRegular r:id="rId3" w:fontKey="{8A0B4ED4-2A9C-4F7D-AA21-5429EBF2D7FA}"/>
  </w:font>
  <w:font w:name="仿宋">
    <w:panose1 w:val="02010609060101010101"/>
    <w:charset w:val="86"/>
    <w:family w:val="auto"/>
    <w:pitch w:val="default"/>
    <w:sig w:usb0="800002BF" w:usb1="38CF7CFA" w:usb2="00000016" w:usb3="00000000" w:csb0="00040001" w:csb1="00000000"/>
    <w:embedRegular r:id="rId4" w:fontKey="{77B60AB8-0DA2-45C3-9C90-8FD601695BEC}"/>
  </w:font>
  <w:font w:name="Arial Black">
    <w:panose1 w:val="020B0A04020102020204"/>
    <w:charset w:val="00"/>
    <w:family w:val="swiss"/>
    <w:pitch w:val="default"/>
    <w:sig w:usb0="00000287" w:usb1="00000000" w:usb2="00000000" w:usb3="00000000" w:csb0="2000009F" w:csb1="DFD70000"/>
  </w:font>
  <w:font w:name="Verdana">
    <w:panose1 w:val="020B0604030504040204"/>
    <w:charset w:val="00"/>
    <w:family w:val="swiss"/>
    <w:pitch w:val="default"/>
    <w:sig w:usb0="A10006FF" w:usb1="4000205B" w:usb2="00000010" w:usb3="00000000" w:csb0="2000019F" w:csb1="00000000"/>
  </w:font>
  <w:font w:name="Sim Sun">
    <w:altName w:val="宋体"/>
    <w:panose1 w:val="00000000000000000000"/>
    <w:charset w:val="86"/>
    <w:family w:val="swiss"/>
    <w:pitch w:val="default"/>
    <w:sig w:usb0="00000000" w:usb1="00000000" w:usb2="00000010" w:usb3="00000000" w:csb0="00040000" w:csb1="00000000"/>
  </w:font>
  <w:font w:name="Calibri Light">
    <w:panose1 w:val="020F0302020204030204"/>
    <w:charset w:val="00"/>
    <w:family w:val="swiss"/>
    <w:pitch w:val="default"/>
    <w:sig w:usb0="A00002EF" w:usb1="4000207B" w:usb2="00000000" w:usb3="00000000" w:csb0="2000019F" w:csb1="00000000"/>
  </w:font>
  <w:font w:name="Noto Sans CJK JP Regular">
    <w:altName w:val="Arial"/>
    <w:panose1 w:val="00000000000000000000"/>
    <w:charset w:val="00"/>
    <w:family w:val="swiss"/>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auto"/>
    <w:pitch w:val="default"/>
    <w:sig w:usb0="00000000" w:usb1="00000000" w:usb2="00000000" w:usb3="00000000" w:csb0="00040000" w:csb1="00000000"/>
    <w:embedRegular r:id="rId5" w:fontKey="{607F3C29-047F-4E92-BE71-FD9B2F76CEC6}"/>
  </w:font>
  <w:font w:name="楷体">
    <w:panose1 w:val="02010609060101010101"/>
    <w:charset w:val="86"/>
    <w:family w:val="auto"/>
    <w:pitch w:val="default"/>
    <w:sig w:usb0="800002BF" w:usb1="38CF7CFA" w:usb2="00000016" w:usb3="00000000" w:csb0="00040001" w:csb1="00000000"/>
  </w:font>
  <w:font w:name="仿宋体">
    <w:altName w:val="宋体"/>
    <w:panose1 w:val="00000000000000000000"/>
    <w:charset w:val="86"/>
    <w:family w:val="roman"/>
    <w:pitch w:val="default"/>
    <w:sig w:usb0="00000000" w:usb1="00000000" w:usb2="00000010" w:usb3="00000000" w:csb0="00040000" w:csb1="00000000"/>
  </w:font>
  <w:font w:name="汉鼎简书宋">
    <w:altName w:val="宋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embedRegular r:id="rId6" w:fontKey="{69374D97-8410-4BFC-8892-D46E0EF5DCBF}"/>
  </w:font>
  <w:font w:name="Cambria Math">
    <w:panose1 w:val="02040503050406030204"/>
    <w:charset w:val="00"/>
    <w:family w:val="auto"/>
    <w:pitch w:val="default"/>
    <w:sig w:usb0="E00002FF" w:usb1="420024FF" w:usb2="00000000" w:usb3="00000000" w:csb0="2000019F" w:csb1="00000000"/>
    <w:embedRegular r:id="rId7" w:fontKey="{FA2C7C2F-C926-4B49-85BA-02F3C9BDB2D0}"/>
  </w:font>
  <w:font w:name="Segoe UI">
    <w:panose1 w:val="020B0502040204020203"/>
    <w:charset w:val="00"/>
    <w:family w:val="auto"/>
    <w:pitch w:val="default"/>
    <w:sig w:usb0="E10022FF" w:usb1="C000E47F" w:usb2="00000029" w:usb3="00000000" w:csb0="200001DF" w:csb1="20000000"/>
    <w:embedRegular r:id="rId8" w:fontKey="{081C0FF1-15AC-4E2F-B0A6-859E18CA42DB}"/>
  </w:font>
  <w:font w:name="方正小标宋_GBK">
    <w:panose1 w:val="02000000000000000000"/>
    <w:charset w:val="86"/>
    <w:family w:val="auto"/>
    <w:pitch w:val="default"/>
    <w:sig w:usb0="A00002BF" w:usb1="38CF7CFA" w:usb2="00082016" w:usb3="00000000" w:csb0="00040001" w:csb1="00000000"/>
    <w:embedRegular r:id="rId9" w:fontKey="{38AF3F58-4E41-4C5B-87D9-169B3BF3AA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1F103">
    <w:pPr>
      <w:pStyle w:val="27"/>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412C89">
                          <w:pPr>
                            <w:pStyle w:val="27"/>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P9wSPHdAQAAvwMAAA4AAAAAAAAA&#10;AQAgAAAAHgEAAGRycy9lMm9Eb2MueG1sUEsFBgAAAAAGAAYAWQEAAG0FAAAAAA==&#10;">
              <v:fill on="f" focussize="0,0"/>
              <v:stroke on="f"/>
              <v:imagedata o:title=""/>
              <o:lock v:ext="edit" aspectratio="f"/>
              <v:textbox inset="0mm,0mm,0mm,0mm" style="mso-fit-shape-to-text:t;">
                <w:txbxContent>
                  <w:p w14:paraId="60412C89">
                    <w:pPr>
                      <w:pStyle w:val="2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DE225">
    <w:pPr>
      <w:pStyle w:val="27"/>
      <w:framePr w:wrap="around" w:vAnchor="text" w:hAnchor="margin" w:xAlign="center" w:y="1"/>
      <w:rPr>
        <w:rStyle w:val="45"/>
      </w:rPr>
    </w:pPr>
    <w:r>
      <w:fldChar w:fldCharType="begin"/>
    </w:r>
    <w:r>
      <w:rPr>
        <w:rStyle w:val="45"/>
      </w:rPr>
      <w:instrText xml:space="preserve">PAGE  </w:instrText>
    </w:r>
    <w:r>
      <w:fldChar w:fldCharType="end"/>
    </w:r>
  </w:p>
  <w:p w14:paraId="5E4C4CB2">
    <w:pPr>
      <w:pStyle w:val="2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DF805">
    <w:pPr>
      <w:pStyle w:val="2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23E5F1">
                          <w:pPr>
                            <w:pStyle w:val="27"/>
                            <w:jc w:val="center"/>
                          </w:pPr>
                          <w:r>
                            <w:fldChar w:fldCharType="begin"/>
                          </w:r>
                          <w:r>
                            <w:instrText xml:space="preserve">PAGE   \* MERGEFORMAT</w:instrText>
                          </w:r>
                          <w:r>
                            <w:fldChar w:fldCharType="separate"/>
                          </w:r>
                          <w:r>
                            <w:rPr>
                              <w:lang w:val="zh-CN"/>
                            </w:rPr>
                            <w:t>19</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4fQ2N4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9fcuaEpYlfvn+7/Ph1+fmV&#10;rZI+fYCK0u4CJeLwyg+0NbMfyJloD2206U+EGMVJ3fNVXTUgk+nSerVelxSSFJsPhF/cXw8R8I3y&#10;liWj5pHGl1UVp3eAY+qckqo5f6uNySM07i8HYSZPkXofe0wWDvthIrT3zZn40DugOp2PXzjraQtq&#10;7mjpOTNvHYmcFmY24mzsZ0M4SRdrjpyN5mscF+sYoj50edVSUxBeHpE6zQRSG2PtqTuaa5Zg2sG0&#10;OH+ec9b9u9v+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7h9DY3gEAAL8DAAAOAAAAAAAA&#10;AAEAIAAAAB4BAABkcnMvZTJvRG9jLnhtbFBLBQYAAAAABgAGAFkBAABuBQAAAAA=&#10;">
              <v:fill on="f" focussize="0,0"/>
              <v:stroke on="f"/>
              <v:imagedata o:title=""/>
              <o:lock v:ext="edit" aspectratio="f"/>
              <v:textbox inset="0mm,0mm,0mm,0mm" style="mso-fit-shape-to-text:t;">
                <w:txbxContent>
                  <w:p w14:paraId="6B23E5F1">
                    <w:pPr>
                      <w:pStyle w:val="27"/>
                      <w:jc w:val="center"/>
                    </w:pPr>
                    <w:r>
                      <w:fldChar w:fldCharType="begin"/>
                    </w:r>
                    <w:r>
                      <w:instrText xml:space="preserve">PAGE   \* MERGEFORMAT</w:instrText>
                    </w:r>
                    <w:r>
                      <w:fldChar w:fldCharType="separate"/>
                    </w:r>
                    <w:r>
                      <w:rPr>
                        <w:lang w:val="zh-CN"/>
                      </w:rP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C0451">
    <w:pPr>
      <w:pStyle w:val="27"/>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DBD6CB">
                          <w:pPr>
                            <w:pStyle w:val="27"/>
                          </w:pPr>
                          <w:r>
                            <w:fldChar w:fldCharType="begin"/>
                          </w:r>
                          <w:r>
                            <w:instrText xml:space="preserve"> PAGE  \* MERGEFORMAT </w:instrText>
                          </w:r>
                          <w:r>
                            <w:fldChar w:fldCharType="separate"/>
                          </w:r>
                          <w:r>
                            <w:t>54</w:t>
                          </w:r>
                          <w:r>
                            <w:fldChar w:fldCharType="end"/>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VM6+6N8BAAC/AwAADgAAAAAA&#10;AAABACAAAAAeAQAAZHJzL2Uyb0RvYy54bWxQSwUGAAAAAAYABgBZAQAAbwUAAAAA&#10;">
              <v:fill on="f" focussize="0,0"/>
              <v:stroke on="f"/>
              <v:imagedata o:title=""/>
              <o:lock v:ext="edit" aspectratio="f"/>
              <v:textbox inset="0mm,0mm,0mm,0mm" style="mso-fit-shape-to-text:t;">
                <w:txbxContent>
                  <w:p w14:paraId="63DBD6CB">
                    <w:pPr>
                      <w:pStyle w:val="27"/>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1500">
    <w:pPr>
      <w:pStyle w:val="27"/>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28A73">
                          <w:pPr>
                            <w:pStyle w:val="27"/>
                          </w:pPr>
                          <w:r>
                            <w:fldChar w:fldCharType="begin"/>
                          </w:r>
                          <w:r>
                            <w:instrText xml:space="preserve"> PAGE  \* MERGEFORMAT </w:instrText>
                          </w:r>
                          <w:r>
                            <w:fldChar w:fldCharType="separate"/>
                          </w:r>
                          <w:r>
                            <w:t>66</w:t>
                          </w:r>
                          <w:r>
                            <w:fldChar w:fldCharType="end"/>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c2jhi98BAAC/AwAADgAAAAAA&#10;AAABACAAAAAeAQAAZHJzL2Uyb0RvYy54bWxQSwUGAAAAAAYABgBZAQAAbwUAAAAA&#10;">
              <v:fill on="f" focussize="0,0"/>
              <v:stroke on="f"/>
              <v:imagedata o:title=""/>
              <o:lock v:ext="edit" aspectratio="f"/>
              <v:textbox inset="0mm,0mm,0mm,0mm" style="mso-fit-shape-to-text:t;">
                <w:txbxContent>
                  <w:p w14:paraId="03328A73">
                    <w:pPr>
                      <w:pStyle w:val="2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C34B0">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74D39"/>
    <w:multiLevelType w:val="singleLevel"/>
    <w:tmpl w:val="F5A74D39"/>
    <w:lvl w:ilvl="0" w:tentative="0">
      <w:start w:val="4"/>
      <w:numFmt w:val="decimal"/>
      <w:lvlText w:val="%1."/>
      <w:lvlJc w:val="left"/>
      <w:pPr>
        <w:tabs>
          <w:tab w:val="left" w:pos="312"/>
        </w:tabs>
      </w:pPr>
    </w:lvl>
  </w:abstractNum>
  <w:abstractNum w:abstractNumId="1">
    <w:nsid w:val="2ACC144B"/>
    <w:multiLevelType w:val="multilevel"/>
    <w:tmpl w:val="2ACC144B"/>
    <w:lvl w:ilvl="0" w:tentative="0">
      <w:start w:val="1"/>
      <w:numFmt w:val="decimalEnclosedCircle"/>
      <w:lvlText w:val="%1"/>
      <w:lvlJc w:val="left"/>
      <w:pPr>
        <w:ind w:left="840" w:hanging="360"/>
      </w:pPr>
      <w:rPr>
        <w:rFonts w:hint="default" w:ascii="宋体" w:hAnsi="宋体" w:cs="宋体"/>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EC36703"/>
    <w:multiLevelType w:val="multilevel"/>
    <w:tmpl w:val="4EC36703"/>
    <w:lvl w:ilvl="0" w:tentative="0">
      <w:start w:val="1"/>
      <w:numFmt w:val="decimal"/>
      <w:suff w:val="space"/>
      <w:lvlText w:val="%1"/>
      <w:lvlJc w:val="left"/>
      <w:pPr>
        <w:ind w:left="0" w:firstLine="0"/>
      </w:pPr>
      <w:rPr>
        <w:rFonts w:hint="eastAsia" w:ascii="黑体" w:eastAsia="黑体"/>
        <w:b w:val="0"/>
        <w:i w:val="0"/>
        <w:sz w:val="32"/>
        <w:szCs w:val="32"/>
      </w:rPr>
    </w:lvl>
    <w:lvl w:ilvl="1" w:tentative="0">
      <w:start w:val="1"/>
      <w:numFmt w:val="decimal"/>
      <w:suff w:val="space"/>
      <w:lvlText w:val="%1.%2"/>
      <w:lvlJc w:val="left"/>
      <w:pPr>
        <w:ind w:left="0" w:firstLine="0"/>
      </w:pPr>
      <w:rPr>
        <w:rFonts w:hint="eastAsia" w:ascii="仿宋_GB2312" w:eastAsia="仿宋_GB2312"/>
        <w:b w:val="0"/>
        <w:i w:val="0"/>
        <w:sz w:val="28"/>
        <w:szCs w:val="28"/>
      </w:rPr>
    </w:lvl>
    <w:lvl w:ilvl="2" w:tentative="0">
      <w:start w:val="1"/>
      <w:numFmt w:val="decimal"/>
      <w:pStyle w:val="4"/>
      <w:suff w:val="space"/>
      <w:lvlText w:val="%1.%2.%3"/>
      <w:lvlJc w:val="left"/>
      <w:pPr>
        <w:ind w:left="140" w:firstLine="0"/>
      </w:pPr>
      <w:rPr>
        <w:rFonts w:hint="eastAsia" w:ascii="宋体" w:eastAsia="宋体"/>
        <w:b w:val="0"/>
        <w:i w:val="0"/>
        <w:sz w:val="24"/>
        <w:szCs w:val="24"/>
      </w:rPr>
    </w:lvl>
    <w:lvl w:ilvl="3" w:tentative="0">
      <w:start w:val="1"/>
      <w:numFmt w:val="decimal"/>
      <w:suff w:val="space"/>
      <w:lvlText w:val="%1.%2.%3.%4"/>
      <w:lvlJc w:val="left"/>
      <w:pPr>
        <w:ind w:left="0" w:firstLine="0"/>
      </w:pPr>
      <w:rPr>
        <w:rFonts w:hint="eastAsia" w:ascii="宋体" w:eastAsia="宋体"/>
        <w:b w:val="0"/>
        <w:i w:val="0"/>
        <w:sz w:val="24"/>
        <w:szCs w:val="24"/>
      </w:rPr>
    </w:lvl>
    <w:lvl w:ilvl="4" w:tentative="0">
      <w:start w:val="1"/>
      <w:numFmt w:val="decimal"/>
      <w:lvlText w:val="%1.%2.%3.%4.%5."/>
      <w:lvlJc w:val="left"/>
      <w:pPr>
        <w:tabs>
          <w:tab w:val="left" w:pos="1440"/>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kYmMyYjFjMjJkZjljNjA4Y2I1ZDg5YmM3YWZkMmEifQ=="/>
  </w:docVars>
  <w:rsids>
    <w:rsidRoot w:val="00172A27"/>
    <w:rsid w:val="0000028D"/>
    <w:rsid w:val="000033EB"/>
    <w:rsid w:val="00004313"/>
    <w:rsid w:val="000060B3"/>
    <w:rsid w:val="00012EF3"/>
    <w:rsid w:val="00015DC7"/>
    <w:rsid w:val="000161CB"/>
    <w:rsid w:val="00017DE9"/>
    <w:rsid w:val="00021587"/>
    <w:rsid w:val="00025F61"/>
    <w:rsid w:val="000318A9"/>
    <w:rsid w:val="0004043F"/>
    <w:rsid w:val="0004364B"/>
    <w:rsid w:val="00044878"/>
    <w:rsid w:val="00047CF3"/>
    <w:rsid w:val="00052D52"/>
    <w:rsid w:val="00054827"/>
    <w:rsid w:val="000551E7"/>
    <w:rsid w:val="0006024F"/>
    <w:rsid w:val="0006087C"/>
    <w:rsid w:val="00061B1F"/>
    <w:rsid w:val="00061C62"/>
    <w:rsid w:val="000637BE"/>
    <w:rsid w:val="0006382A"/>
    <w:rsid w:val="000661B0"/>
    <w:rsid w:val="00067149"/>
    <w:rsid w:val="00070CBA"/>
    <w:rsid w:val="000714D2"/>
    <w:rsid w:val="000733C4"/>
    <w:rsid w:val="00073994"/>
    <w:rsid w:val="00074783"/>
    <w:rsid w:val="0007525C"/>
    <w:rsid w:val="0008070B"/>
    <w:rsid w:val="000810AC"/>
    <w:rsid w:val="00081A02"/>
    <w:rsid w:val="00081D8E"/>
    <w:rsid w:val="00082231"/>
    <w:rsid w:val="000859A2"/>
    <w:rsid w:val="00086DCE"/>
    <w:rsid w:val="00092D38"/>
    <w:rsid w:val="0009377B"/>
    <w:rsid w:val="00096F2B"/>
    <w:rsid w:val="000979A5"/>
    <w:rsid w:val="000A035B"/>
    <w:rsid w:val="000A1695"/>
    <w:rsid w:val="000A1B5B"/>
    <w:rsid w:val="000A20C9"/>
    <w:rsid w:val="000A6CEF"/>
    <w:rsid w:val="000B058F"/>
    <w:rsid w:val="000B4467"/>
    <w:rsid w:val="000B4DB9"/>
    <w:rsid w:val="000B6E33"/>
    <w:rsid w:val="000C09AC"/>
    <w:rsid w:val="000C1631"/>
    <w:rsid w:val="000C592E"/>
    <w:rsid w:val="000C767F"/>
    <w:rsid w:val="000D5A44"/>
    <w:rsid w:val="000E2B32"/>
    <w:rsid w:val="000E3A35"/>
    <w:rsid w:val="000E3ED2"/>
    <w:rsid w:val="000F680E"/>
    <w:rsid w:val="000F7524"/>
    <w:rsid w:val="00106A72"/>
    <w:rsid w:val="00113F43"/>
    <w:rsid w:val="00114806"/>
    <w:rsid w:val="00116485"/>
    <w:rsid w:val="00127DDC"/>
    <w:rsid w:val="001309F4"/>
    <w:rsid w:val="00131F42"/>
    <w:rsid w:val="0013402F"/>
    <w:rsid w:val="001357F1"/>
    <w:rsid w:val="00135C3C"/>
    <w:rsid w:val="00140FA8"/>
    <w:rsid w:val="00142711"/>
    <w:rsid w:val="00142FEB"/>
    <w:rsid w:val="00143A2D"/>
    <w:rsid w:val="00145A41"/>
    <w:rsid w:val="0015145D"/>
    <w:rsid w:val="00151675"/>
    <w:rsid w:val="00157435"/>
    <w:rsid w:val="00161EF9"/>
    <w:rsid w:val="00163A5E"/>
    <w:rsid w:val="00163D5D"/>
    <w:rsid w:val="0017504D"/>
    <w:rsid w:val="0017671A"/>
    <w:rsid w:val="00177422"/>
    <w:rsid w:val="00183296"/>
    <w:rsid w:val="00184590"/>
    <w:rsid w:val="0018542B"/>
    <w:rsid w:val="00185A2F"/>
    <w:rsid w:val="001870D1"/>
    <w:rsid w:val="0018781E"/>
    <w:rsid w:val="001919B9"/>
    <w:rsid w:val="0019262D"/>
    <w:rsid w:val="001A1132"/>
    <w:rsid w:val="001A1B35"/>
    <w:rsid w:val="001A48A2"/>
    <w:rsid w:val="001A6F61"/>
    <w:rsid w:val="001B25F3"/>
    <w:rsid w:val="001B2FF9"/>
    <w:rsid w:val="001B3569"/>
    <w:rsid w:val="001B72B8"/>
    <w:rsid w:val="001C2543"/>
    <w:rsid w:val="001C69B3"/>
    <w:rsid w:val="001D5595"/>
    <w:rsid w:val="001D7874"/>
    <w:rsid w:val="001D7F22"/>
    <w:rsid w:val="001E037A"/>
    <w:rsid w:val="001E55F9"/>
    <w:rsid w:val="001E5632"/>
    <w:rsid w:val="001F0F17"/>
    <w:rsid w:val="001F3347"/>
    <w:rsid w:val="001F69E4"/>
    <w:rsid w:val="0020485B"/>
    <w:rsid w:val="002101B8"/>
    <w:rsid w:val="00210496"/>
    <w:rsid w:val="002125B4"/>
    <w:rsid w:val="00212BFB"/>
    <w:rsid w:val="002155B8"/>
    <w:rsid w:val="00215A49"/>
    <w:rsid w:val="00217C1A"/>
    <w:rsid w:val="002228DE"/>
    <w:rsid w:val="00224839"/>
    <w:rsid w:val="002249B2"/>
    <w:rsid w:val="00226574"/>
    <w:rsid w:val="002278EC"/>
    <w:rsid w:val="0023280E"/>
    <w:rsid w:val="002335DE"/>
    <w:rsid w:val="002377D1"/>
    <w:rsid w:val="00242A4E"/>
    <w:rsid w:val="00246985"/>
    <w:rsid w:val="0024705A"/>
    <w:rsid w:val="002506BC"/>
    <w:rsid w:val="00254345"/>
    <w:rsid w:val="0025498C"/>
    <w:rsid w:val="00257800"/>
    <w:rsid w:val="00260BAE"/>
    <w:rsid w:val="00264557"/>
    <w:rsid w:val="002666D0"/>
    <w:rsid w:val="00266B85"/>
    <w:rsid w:val="00267C68"/>
    <w:rsid w:val="002805AB"/>
    <w:rsid w:val="002810A3"/>
    <w:rsid w:val="002819C6"/>
    <w:rsid w:val="002830DC"/>
    <w:rsid w:val="00284204"/>
    <w:rsid w:val="0028460D"/>
    <w:rsid w:val="002876AE"/>
    <w:rsid w:val="0028789F"/>
    <w:rsid w:val="00291773"/>
    <w:rsid w:val="002917D9"/>
    <w:rsid w:val="00292036"/>
    <w:rsid w:val="002A168C"/>
    <w:rsid w:val="002A20AF"/>
    <w:rsid w:val="002A3DC7"/>
    <w:rsid w:val="002A4EFD"/>
    <w:rsid w:val="002B2D96"/>
    <w:rsid w:val="002B49E2"/>
    <w:rsid w:val="002B53B7"/>
    <w:rsid w:val="002B7B00"/>
    <w:rsid w:val="002B7C44"/>
    <w:rsid w:val="002C2B17"/>
    <w:rsid w:val="002C33CD"/>
    <w:rsid w:val="002C4449"/>
    <w:rsid w:val="002D3DD0"/>
    <w:rsid w:val="002E1568"/>
    <w:rsid w:val="002E1F3A"/>
    <w:rsid w:val="002E1F65"/>
    <w:rsid w:val="002E2220"/>
    <w:rsid w:val="002E298A"/>
    <w:rsid w:val="002E58EC"/>
    <w:rsid w:val="002E5D31"/>
    <w:rsid w:val="002E5E62"/>
    <w:rsid w:val="002F2319"/>
    <w:rsid w:val="002F2A0B"/>
    <w:rsid w:val="002F3043"/>
    <w:rsid w:val="002F7D6A"/>
    <w:rsid w:val="00301978"/>
    <w:rsid w:val="0030332C"/>
    <w:rsid w:val="00304295"/>
    <w:rsid w:val="003051C2"/>
    <w:rsid w:val="003110C6"/>
    <w:rsid w:val="00312296"/>
    <w:rsid w:val="003142BE"/>
    <w:rsid w:val="00314F0E"/>
    <w:rsid w:val="00321D8E"/>
    <w:rsid w:val="00325928"/>
    <w:rsid w:val="00326223"/>
    <w:rsid w:val="00332498"/>
    <w:rsid w:val="00332863"/>
    <w:rsid w:val="00336529"/>
    <w:rsid w:val="0033684D"/>
    <w:rsid w:val="00337B42"/>
    <w:rsid w:val="003402D7"/>
    <w:rsid w:val="00340A59"/>
    <w:rsid w:val="00340D4C"/>
    <w:rsid w:val="00341B42"/>
    <w:rsid w:val="0034348F"/>
    <w:rsid w:val="00345194"/>
    <w:rsid w:val="00351D17"/>
    <w:rsid w:val="0035490A"/>
    <w:rsid w:val="00356653"/>
    <w:rsid w:val="0035743F"/>
    <w:rsid w:val="00357BE2"/>
    <w:rsid w:val="0036057F"/>
    <w:rsid w:val="00360FF5"/>
    <w:rsid w:val="0036170C"/>
    <w:rsid w:val="00364573"/>
    <w:rsid w:val="003660DE"/>
    <w:rsid w:val="00366E0F"/>
    <w:rsid w:val="00371F37"/>
    <w:rsid w:val="0037280C"/>
    <w:rsid w:val="0037380A"/>
    <w:rsid w:val="00376855"/>
    <w:rsid w:val="00381A72"/>
    <w:rsid w:val="00382D5A"/>
    <w:rsid w:val="003842E4"/>
    <w:rsid w:val="00384676"/>
    <w:rsid w:val="00390857"/>
    <w:rsid w:val="00392E5E"/>
    <w:rsid w:val="003943F8"/>
    <w:rsid w:val="0039616D"/>
    <w:rsid w:val="003A26D7"/>
    <w:rsid w:val="003A49C2"/>
    <w:rsid w:val="003A4BF3"/>
    <w:rsid w:val="003A543F"/>
    <w:rsid w:val="003A5AC1"/>
    <w:rsid w:val="003A7541"/>
    <w:rsid w:val="003B420D"/>
    <w:rsid w:val="003C6C16"/>
    <w:rsid w:val="003D690E"/>
    <w:rsid w:val="003D794D"/>
    <w:rsid w:val="003E0076"/>
    <w:rsid w:val="003E07F8"/>
    <w:rsid w:val="003E3058"/>
    <w:rsid w:val="003E76A9"/>
    <w:rsid w:val="003F0809"/>
    <w:rsid w:val="003F25DA"/>
    <w:rsid w:val="003F6A8C"/>
    <w:rsid w:val="003F7508"/>
    <w:rsid w:val="003F755C"/>
    <w:rsid w:val="0040405D"/>
    <w:rsid w:val="00406F01"/>
    <w:rsid w:val="00410BBA"/>
    <w:rsid w:val="00413263"/>
    <w:rsid w:val="00415E8D"/>
    <w:rsid w:val="00416D50"/>
    <w:rsid w:val="00416FD5"/>
    <w:rsid w:val="00417772"/>
    <w:rsid w:val="00420E6A"/>
    <w:rsid w:val="00425A9E"/>
    <w:rsid w:val="00426D6B"/>
    <w:rsid w:val="00430D54"/>
    <w:rsid w:val="00431E6C"/>
    <w:rsid w:val="00433CE7"/>
    <w:rsid w:val="00444470"/>
    <w:rsid w:val="00446BF5"/>
    <w:rsid w:val="00450BCF"/>
    <w:rsid w:val="00452738"/>
    <w:rsid w:val="00456091"/>
    <w:rsid w:val="00456865"/>
    <w:rsid w:val="00457969"/>
    <w:rsid w:val="004579E4"/>
    <w:rsid w:val="00457FE5"/>
    <w:rsid w:val="00461C76"/>
    <w:rsid w:val="00466321"/>
    <w:rsid w:val="00471184"/>
    <w:rsid w:val="004712EC"/>
    <w:rsid w:val="004810C9"/>
    <w:rsid w:val="0048281E"/>
    <w:rsid w:val="00482E9A"/>
    <w:rsid w:val="00484B9B"/>
    <w:rsid w:val="004855F6"/>
    <w:rsid w:val="00485EB3"/>
    <w:rsid w:val="0048661E"/>
    <w:rsid w:val="00487F73"/>
    <w:rsid w:val="00494670"/>
    <w:rsid w:val="00494B2C"/>
    <w:rsid w:val="004A0AD5"/>
    <w:rsid w:val="004A1143"/>
    <w:rsid w:val="004A1ACF"/>
    <w:rsid w:val="004A3823"/>
    <w:rsid w:val="004A5887"/>
    <w:rsid w:val="004B1DDA"/>
    <w:rsid w:val="004C1465"/>
    <w:rsid w:val="004C3D8E"/>
    <w:rsid w:val="004C3FA0"/>
    <w:rsid w:val="004C7EC3"/>
    <w:rsid w:val="004D302A"/>
    <w:rsid w:val="004D42F5"/>
    <w:rsid w:val="004D71F8"/>
    <w:rsid w:val="004E6946"/>
    <w:rsid w:val="004F1AD8"/>
    <w:rsid w:val="004F70F7"/>
    <w:rsid w:val="005039CB"/>
    <w:rsid w:val="0050558F"/>
    <w:rsid w:val="00505A14"/>
    <w:rsid w:val="00506286"/>
    <w:rsid w:val="00510813"/>
    <w:rsid w:val="00510922"/>
    <w:rsid w:val="00511990"/>
    <w:rsid w:val="00511DE0"/>
    <w:rsid w:val="00514870"/>
    <w:rsid w:val="00514B9B"/>
    <w:rsid w:val="00517F02"/>
    <w:rsid w:val="00520948"/>
    <w:rsid w:val="00522680"/>
    <w:rsid w:val="00524303"/>
    <w:rsid w:val="00524C0B"/>
    <w:rsid w:val="005258A2"/>
    <w:rsid w:val="00526EE9"/>
    <w:rsid w:val="00530B25"/>
    <w:rsid w:val="005401AE"/>
    <w:rsid w:val="00541123"/>
    <w:rsid w:val="005415DD"/>
    <w:rsid w:val="0054206A"/>
    <w:rsid w:val="00542E07"/>
    <w:rsid w:val="00545424"/>
    <w:rsid w:val="00554A7B"/>
    <w:rsid w:val="00555250"/>
    <w:rsid w:val="0055572C"/>
    <w:rsid w:val="0056106A"/>
    <w:rsid w:val="00562ECD"/>
    <w:rsid w:val="005654C2"/>
    <w:rsid w:val="005665E5"/>
    <w:rsid w:val="005673F4"/>
    <w:rsid w:val="005674EA"/>
    <w:rsid w:val="005720AE"/>
    <w:rsid w:val="005768D8"/>
    <w:rsid w:val="005914A2"/>
    <w:rsid w:val="0059187D"/>
    <w:rsid w:val="00592B45"/>
    <w:rsid w:val="00594D77"/>
    <w:rsid w:val="005969E4"/>
    <w:rsid w:val="005A06B7"/>
    <w:rsid w:val="005A1759"/>
    <w:rsid w:val="005A1B49"/>
    <w:rsid w:val="005A5CAC"/>
    <w:rsid w:val="005A6793"/>
    <w:rsid w:val="005A68A7"/>
    <w:rsid w:val="005B1E8A"/>
    <w:rsid w:val="005C0D3B"/>
    <w:rsid w:val="005C0E29"/>
    <w:rsid w:val="005D28F5"/>
    <w:rsid w:val="005D2FBE"/>
    <w:rsid w:val="005D36AB"/>
    <w:rsid w:val="005F0D40"/>
    <w:rsid w:val="005F1EBE"/>
    <w:rsid w:val="005F5900"/>
    <w:rsid w:val="005F678F"/>
    <w:rsid w:val="005F6B18"/>
    <w:rsid w:val="00600837"/>
    <w:rsid w:val="00601EDC"/>
    <w:rsid w:val="00602DE7"/>
    <w:rsid w:val="006034CC"/>
    <w:rsid w:val="0060723D"/>
    <w:rsid w:val="00614065"/>
    <w:rsid w:val="006154A2"/>
    <w:rsid w:val="00617CC3"/>
    <w:rsid w:val="00620C0C"/>
    <w:rsid w:val="006305C8"/>
    <w:rsid w:val="00636CE5"/>
    <w:rsid w:val="006377A6"/>
    <w:rsid w:val="00637A3D"/>
    <w:rsid w:val="00637FF3"/>
    <w:rsid w:val="006411EF"/>
    <w:rsid w:val="00642116"/>
    <w:rsid w:val="00642128"/>
    <w:rsid w:val="006532B6"/>
    <w:rsid w:val="00654101"/>
    <w:rsid w:val="00656719"/>
    <w:rsid w:val="0066437C"/>
    <w:rsid w:val="00666A87"/>
    <w:rsid w:val="00666C14"/>
    <w:rsid w:val="006748B8"/>
    <w:rsid w:val="006775C3"/>
    <w:rsid w:val="0067785E"/>
    <w:rsid w:val="00677897"/>
    <w:rsid w:val="00680DC9"/>
    <w:rsid w:val="006860F8"/>
    <w:rsid w:val="0069290A"/>
    <w:rsid w:val="00695652"/>
    <w:rsid w:val="00697388"/>
    <w:rsid w:val="0069775A"/>
    <w:rsid w:val="00697813"/>
    <w:rsid w:val="006A3EE8"/>
    <w:rsid w:val="006A53E1"/>
    <w:rsid w:val="006A72BF"/>
    <w:rsid w:val="006B03F2"/>
    <w:rsid w:val="006B37DC"/>
    <w:rsid w:val="006B4BF6"/>
    <w:rsid w:val="006B4F68"/>
    <w:rsid w:val="006B6CA6"/>
    <w:rsid w:val="006B7B52"/>
    <w:rsid w:val="006C0571"/>
    <w:rsid w:val="006C0592"/>
    <w:rsid w:val="006C272E"/>
    <w:rsid w:val="006C33C3"/>
    <w:rsid w:val="006C44FA"/>
    <w:rsid w:val="006C5479"/>
    <w:rsid w:val="006C7FBC"/>
    <w:rsid w:val="006D13B5"/>
    <w:rsid w:val="006E12FF"/>
    <w:rsid w:val="006E607E"/>
    <w:rsid w:val="006F569D"/>
    <w:rsid w:val="006F5A16"/>
    <w:rsid w:val="006F7E1E"/>
    <w:rsid w:val="00701046"/>
    <w:rsid w:val="00706C5D"/>
    <w:rsid w:val="007112C9"/>
    <w:rsid w:val="00711B13"/>
    <w:rsid w:val="007152C7"/>
    <w:rsid w:val="007201BF"/>
    <w:rsid w:val="00720712"/>
    <w:rsid w:val="00720B42"/>
    <w:rsid w:val="00732922"/>
    <w:rsid w:val="0073293F"/>
    <w:rsid w:val="00736D23"/>
    <w:rsid w:val="00741C33"/>
    <w:rsid w:val="0074261F"/>
    <w:rsid w:val="00745594"/>
    <w:rsid w:val="00746FCA"/>
    <w:rsid w:val="00750E1F"/>
    <w:rsid w:val="0075162E"/>
    <w:rsid w:val="007539B9"/>
    <w:rsid w:val="00754034"/>
    <w:rsid w:val="00755F80"/>
    <w:rsid w:val="00756556"/>
    <w:rsid w:val="007614EE"/>
    <w:rsid w:val="007618C4"/>
    <w:rsid w:val="00763C03"/>
    <w:rsid w:val="00765A36"/>
    <w:rsid w:val="00766F70"/>
    <w:rsid w:val="00767980"/>
    <w:rsid w:val="00770B19"/>
    <w:rsid w:val="00773008"/>
    <w:rsid w:val="007732EA"/>
    <w:rsid w:val="0077463F"/>
    <w:rsid w:val="007767FB"/>
    <w:rsid w:val="00777CF8"/>
    <w:rsid w:val="00780FC7"/>
    <w:rsid w:val="0078143C"/>
    <w:rsid w:val="0078232D"/>
    <w:rsid w:val="007836EA"/>
    <w:rsid w:val="00784CDA"/>
    <w:rsid w:val="0078631F"/>
    <w:rsid w:val="007906C4"/>
    <w:rsid w:val="00790BA1"/>
    <w:rsid w:val="00791FA2"/>
    <w:rsid w:val="007923FF"/>
    <w:rsid w:val="00792C8F"/>
    <w:rsid w:val="007940EA"/>
    <w:rsid w:val="007967E8"/>
    <w:rsid w:val="007A026B"/>
    <w:rsid w:val="007A2170"/>
    <w:rsid w:val="007A22BF"/>
    <w:rsid w:val="007A3323"/>
    <w:rsid w:val="007A4316"/>
    <w:rsid w:val="007A683A"/>
    <w:rsid w:val="007B056A"/>
    <w:rsid w:val="007B72B8"/>
    <w:rsid w:val="007B7A58"/>
    <w:rsid w:val="007C21B5"/>
    <w:rsid w:val="007C6466"/>
    <w:rsid w:val="007D5BC1"/>
    <w:rsid w:val="007D5FCA"/>
    <w:rsid w:val="007E0E14"/>
    <w:rsid w:val="007E4BD2"/>
    <w:rsid w:val="007E55DD"/>
    <w:rsid w:val="007F4BB3"/>
    <w:rsid w:val="00801393"/>
    <w:rsid w:val="008026AC"/>
    <w:rsid w:val="00802F88"/>
    <w:rsid w:val="008044C6"/>
    <w:rsid w:val="00804650"/>
    <w:rsid w:val="008058D0"/>
    <w:rsid w:val="00805B1F"/>
    <w:rsid w:val="008107DE"/>
    <w:rsid w:val="00812623"/>
    <w:rsid w:val="0081293E"/>
    <w:rsid w:val="00813E56"/>
    <w:rsid w:val="00815465"/>
    <w:rsid w:val="00816125"/>
    <w:rsid w:val="00816CB4"/>
    <w:rsid w:val="00817E9A"/>
    <w:rsid w:val="008201A7"/>
    <w:rsid w:val="008306BD"/>
    <w:rsid w:val="00830FFD"/>
    <w:rsid w:val="00831A80"/>
    <w:rsid w:val="0083216C"/>
    <w:rsid w:val="00833743"/>
    <w:rsid w:val="008340A4"/>
    <w:rsid w:val="0083559F"/>
    <w:rsid w:val="00835D68"/>
    <w:rsid w:val="00841A29"/>
    <w:rsid w:val="00843C03"/>
    <w:rsid w:val="008513A1"/>
    <w:rsid w:val="00856EFF"/>
    <w:rsid w:val="00857E15"/>
    <w:rsid w:val="008642E0"/>
    <w:rsid w:val="0087135F"/>
    <w:rsid w:val="00872D94"/>
    <w:rsid w:val="008764CD"/>
    <w:rsid w:val="00880364"/>
    <w:rsid w:val="00890A0C"/>
    <w:rsid w:val="00891592"/>
    <w:rsid w:val="00891E9E"/>
    <w:rsid w:val="00892CAE"/>
    <w:rsid w:val="00893BB2"/>
    <w:rsid w:val="008975EA"/>
    <w:rsid w:val="008A1BAC"/>
    <w:rsid w:val="008A1CFA"/>
    <w:rsid w:val="008A2CF9"/>
    <w:rsid w:val="008A2F68"/>
    <w:rsid w:val="008A3968"/>
    <w:rsid w:val="008A7874"/>
    <w:rsid w:val="008A78AA"/>
    <w:rsid w:val="008B334E"/>
    <w:rsid w:val="008B4FA6"/>
    <w:rsid w:val="008B5282"/>
    <w:rsid w:val="008B6C88"/>
    <w:rsid w:val="008B7C17"/>
    <w:rsid w:val="008C2D01"/>
    <w:rsid w:val="008C40E6"/>
    <w:rsid w:val="008C52CA"/>
    <w:rsid w:val="008C5605"/>
    <w:rsid w:val="008D0F7A"/>
    <w:rsid w:val="008D2CC3"/>
    <w:rsid w:val="008D68E4"/>
    <w:rsid w:val="008E0506"/>
    <w:rsid w:val="008E0CFF"/>
    <w:rsid w:val="008E143F"/>
    <w:rsid w:val="008E2EE0"/>
    <w:rsid w:val="008E3C3C"/>
    <w:rsid w:val="008E5D6B"/>
    <w:rsid w:val="008E5FD9"/>
    <w:rsid w:val="008E6F82"/>
    <w:rsid w:val="008E76F0"/>
    <w:rsid w:val="008F15FE"/>
    <w:rsid w:val="008F2D29"/>
    <w:rsid w:val="008F3C02"/>
    <w:rsid w:val="008F4626"/>
    <w:rsid w:val="008F5187"/>
    <w:rsid w:val="008F5C90"/>
    <w:rsid w:val="008F60D8"/>
    <w:rsid w:val="008F6FB1"/>
    <w:rsid w:val="00902727"/>
    <w:rsid w:val="0090312B"/>
    <w:rsid w:val="009132D5"/>
    <w:rsid w:val="00915110"/>
    <w:rsid w:val="009162BD"/>
    <w:rsid w:val="0091736D"/>
    <w:rsid w:val="00920D0A"/>
    <w:rsid w:val="00922473"/>
    <w:rsid w:val="009227FB"/>
    <w:rsid w:val="0093037A"/>
    <w:rsid w:val="00933D11"/>
    <w:rsid w:val="009355C5"/>
    <w:rsid w:val="00936982"/>
    <w:rsid w:val="00937120"/>
    <w:rsid w:val="0094154D"/>
    <w:rsid w:val="00941E41"/>
    <w:rsid w:val="00947296"/>
    <w:rsid w:val="0095155F"/>
    <w:rsid w:val="00954429"/>
    <w:rsid w:val="009563CE"/>
    <w:rsid w:val="00973042"/>
    <w:rsid w:val="009737DF"/>
    <w:rsid w:val="00974942"/>
    <w:rsid w:val="0097602E"/>
    <w:rsid w:val="00976328"/>
    <w:rsid w:val="0097680D"/>
    <w:rsid w:val="00982349"/>
    <w:rsid w:val="00982438"/>
    <w:rsid w:val="00983002"/>
    <w:rsid w:val="0098404C"/>
    <w:rsid w:val="00985283"/>
    <w:rsid w:val="009873F8"/>
    <w:rsid w:val="00992618"/>
    <w:rsid w:val="009949ED"/>
    <w:rsid w:val="00995376"/>
    <w:rsid w:val="00995992"/>
    <w:rsid w:val="00997150"/>
    <w:rsid w:val="009A03E5"/>
    <w:rsid w:val="009A0F3B"/>
    <w:rsid w:val="009A1BB4"/>
    <w:rsid w:val="009A2628"/>
    <w:rsid w:val="009A3200"/>
    <w:rsid w:val="009A3955"/>
    <w:rsid w:val="009A6865"/>
    <w:rsid w:val="009B0706"/>
    <w:rsid w:val="009B0897"/>
    <w:rsid w:val="009B2E76"/>
    <w:rsid w:val="009B7BD9"/>
    <w:rsid w:val="009B7EB3"/>
    <w:rsid w:val="009C2797"/>
    <w:rsid w:val="009C41A0"/>
    <w:rsid w:val="009C7DD5"/>
    <w:rsid w:val="009D1CF4"/>
    <w:rsid w:val="009D4FDA"/>
    <w:rsid w:val="009D5488"/>
    <w:rsid w:val="009E1FDE"/>
    <w:rsid w:val="009E227D"/>
    <w:rsid w:val="009E3C81"/>
    <w:rsid w:val="009E5019"/>
    <w:rsid w:val="009E52D5"/>
    <w:rsid w:val="009F154B"/>
    <w:rsid w:val="009F2489"/>
    <w:rsid w:val="009F4BCB"/>
    <w:rsid w:val="009F5877"/>
    <w:rsid w:val="009F657B"/>
    <w:rsid w:val="009F7493"/>
    <w:rsid w:val="00A009CF"/>
    <w:rsid w:val="00A035E2"/>
    <w:rsid w:val="00A04F1B"/>
    <w:rsid w:val="00A0501B"/>
    <w:rsid w:val="00A053CD"/>
    <w:rsid w:val="00A07E8E"/>
    <w:rsid w:val="00A14947"/>
    <w:rsid w:val="00A21950"/>
    <w:rsid w:val="00A32A83"/>
    <w:rsid w:val="00A33CCD"/>
    <w:rsid w:val="00A368DB"/>
    <w:rsid w:val="00A41BAF"/>
    <w:rsid w:val="00A423AA"/>
    <w:rsid w:val="00A43677"/>
    <w:rsid w:val="00A4497F"/>
    <w:rsid w:val="00A44F21"/>
    <w:rsid w:val="00A53EC6"/>
    <w:rsid w:val="00A55C0F"/>
    <w:rsid w:val="00A55FC7"/>
    <w:rsid w:val="00A63B2A"/>
    <w:rsid w:val="00A64B71"/>
    <w:rsid w:val="00A711E3"/>
    <w:rsid w:val="00A739AD"/>
    <w:rsid w:val="00A811E2"/>
    <w:rsid w:val="00A84332"/>
    <w:rsid w:val="00A84BD1"/>
    <w:rsid w:val="00A8713F"/>
    <w:rsid w:val="00A90BA1"/>
    <w:rsid w:val="00A93F0D"/>
    <w:rsid w:val="00A94640"/>
    <w:rsid w:val="00A97A9A"/>
    <w:rsid w:val="00AA0286"/>
    <w:rsid w:val="00AA0671"/>
    <w:rsid w:val="00AA2531"/>
    <w:rsid w:val="00AA4E35"/>
    <w:rsid w:val="00AB1E09"/>
    <w:rsid w:val="00AB3C09"/>
    <w:rsid w:val="00AB481A"/>
    <w:rsid w:val="00AB5330"/>
    <w:rsid w:val="00AB7747"/>
    <w:rsid w:val="00AC0827"/>
    <w:rsid w:val="00AC14CE"/>
    <w:rsid w:val="00AC2A56"/>
    <w:rsid w:val="00AD055E"/>
    <w:rsid w:val="00AD47A7"/>
    <w:rsid w:val="00AD4F3C"/>
    <w:rsid w:val="00AD540F"/>
    <w:rsid w:val="00AD629D"/>
    <w:rsid w:val="00AE1484"/>
    <w:rsid w:val="00AE34FF"/>
    <w:rsid w:val="00AE5B1C"/>
    <w:rsid w:val="00AF0369"/>
    <w:rsid w:val="00AF0CBF"/>
    <w:rsid w:val="00AF257F"/>
    <w:rsid w:val="00AF2C38"/>
    <w:rsid w:val="00AF33CF"/>
    <w:rsid w:val="00AF3648"/>
    <w:rsid w:val="00AF3E40"/>
    <w:rsid w:val="00AF41E9"/>
    <w:rsid w:val="00AF4D50"/>
    <w:rsid w:val="00AF6179"/>
    <w:rsid w:val="00B04EB2"/>
    <w:rsid w:val="00B07838"/>
    <w:rsid w:val="00B112AD"/>
    <w:rsid w:val="00B11B77"/>
    <w:rsid w:val="00B11FEF"/>
    <w:rsid w:val="00B1295A"/>
    <w:rsid w:val="00B13BA8"/>
    <w:rsid w:val="00B15E3C"/>
    <w:rsid w:val="00B1706C"/>
    <w:rsid w:val="00B20A45"/>
    <w:rsid w:val="00B22C5C"/>
    <w:rsid w:val="00B24F30"/>
    <w:rsid w:val="00B26BB7"/>
    <w:rsid w:val="00B30444"/>
    <w:rsid w:val="00B31ABF"/>
    <w:rsid w:val="00B324F6"/>
    <w:rsid w:val="00B33BE3"/>
    <w:rsid w:val="00B340DD"/>
    <w:rsid w:val="00B34DDA"/>
    <w:rsid w:val="00B34E44"/>
    <w:rsid w:val="00B362BA"/>
    <w:rsid w:val="00B4159C"/>
    <w:rsid w:val="00B45F93"/>
    <w:rsid w:val="00B461FA"/>
    <w:rsid w:val="00B478AA"/>
    <w:rsid w:val="00B5231A"/>
    <w:rsid w:val="00B53B5D"/>
    <w:rsid w:val="00B55123"/>
    <w:rsid w:val="00B6055E"/>
    <w:rsid w:val="00B6317D"/>
    <w:rsid w:val="00B634A2"/>
    <w:rsid w:val="00B70EDC"/>
    <w:rsid w:val="00B72FF0"/>
    <w:rsid w:val="00B74053"/>
    <w:rsid w:val="00B7723F"/>
    <w:rsid w:val="00B80534"/>
    <w:rsid w:val="00B8207F"/>
    <w:rsid w:val="00B8433C"/>
    <w:rsid w:val="00B853D8"/>
    <w:rsid w:val="00B87491"/>
    <w:rsid w:val="00B91392"/>
    <w:rsid w:val="00B96C0C"/>
    <w:rsid w:val="00B9715B"/>
    <w:rsid w:val="00BA29E9"/>
    <w:rsid w:val="00BA7142"/>
    <w:rsid w:val="00BB0D9A"/>
    <w:rsid w:val="00BB237C"/>
    <w:rsid w:val="00BB41A3"/>
    <w:rsid w:val="00BC02E2"/>
    <w:rsid w:val="00BC2559"/>
    <w:rsid w:val="00BC32DC"/>
    <w:rsid w:val="00BC35B6"/>
    <w:rsid w:val="00BC4D63"/>
    <w:rsid w:val="00BD1B51"/>
    <w:rsid w:val="00BD4596"/>
    <w:rsid w:val="00BD7819"/>
    <w:rsid w:val="00BE1405"/>
    <w:rsid w:val="00BE312D"/>
    <w:rsid w:val="00BF1C20"/>
    <w:rsid w:val="00BF4FF5"/>
    <w:rsid w:val="00BF7C94"/>
    <w:rsid w:val="00C010E8"/>
    <w:rsid w:val="00C104E9"/>
    <w:rsid w:val="00C10578"/>
    <w:rsid w:val="00C11804"/>
    <w:rsid w:val="00C135BC"/>
    <w:rsid w:val="00C15C95"/>
    <w:rsid w:val="00C16F0A"/>
    <w:rsid w:val="00C177AC"/>
    <w:rsid w:val="00C17C62"/>
    <w:rsid w:val="00C225B4"/>
    <w:rsid w:val="00C24474"/>
    <w:rsid w:val="00C2596A"/>
    <w:rsid w:val="00C26437"/>
    <w:rsid w:val="00C27537"/>
    <w:rsid w:val="00C27A50"/>
    <w:rsid w:val="00C328FE"/>
    <w:rsid w:val="00C33507"/>
    <w:rsid w:val="00C35D93"/>
    <w:rsid w:val="00C369E3"/>
    <w:rsid w:val="00C4409D"/>
    <w:rsid w:val="00C44AFD"/>
    <w:rsid w:val="00C44E72"/>
    <w:rsid w:val="00C45A06"/>
    <w:rsid w:val="00C47E5B"/>
    <w:rsid w:val="00C5289B"/>
    <w:rsid w:val="00C5374D"/>
    <w:rsid w:val="00C564CD"/>
    <w:rsid w:val="00C61E4B"/>
    <w:rsid w:val="00C64BFF"/>
    <w:rsid w:val="00C67378"/>
    <w:rsid w:val="00C704E9"/>
    <w:rsid w:val="00C70914"/>
    <w:rsid w:val="00C71414"/>
    <w:rsid w:val="00C730CE"/>
    <w:rsid w:val="00C763C9"/>
    <w:rsid w:val="00C80057"/>
    <w:rsid w:val="00C82232"/>
    <w:rsid w:val="00C82429"/>
    <w:rsid w:val="00C824F7"/>
    <w:rsid w:val="00C82913"/>
    <w:rsid w:val="00C8361B"/>
    <w:rsid w:val="00C972B1"/>
    <w:rsid w:val="00CA2C4E"/>
    <w:rsid w:val="00CA2CCE"/>
    <w:rsid w:val="00CA43FD"/>
    <w:rsid w:val="00CA54B2"/>
    <w:rsid w:val="00CA6E90"/>
    <w:rsid w:val="00CA7EF8"/>
    <w:rsid w:val="00CC118D"/>
    <w:rsid w:val="00CC489B"/>
    <w:rsid w:val="00CD0285"/>
    <w:rsid w:val="00CD2A08"/>
    <w:rsid w:val="00CD2BCD"/>
    <w:rsid w:val="00CD3A4C"/>
    <w:rsid w:val="00CE10E9"/>
    <w:rsid w:val="00CE20C2"/>
    <w:rsid w:val="00CE26F1"/>
    <w:rsid w:val="00CE2910"/>
    <w:rsid w:val="00CE5393"/>
    <w:rsid w:val="00CE6692"/>
    <w:rsid w:val="00CF36BE"/>
    <w:rsid w:val="00CF3C01"/>
    <w:rsid w:val="00CF5287"/>
    <w:rsid w:val="00CF6000"/>
    <w:rsid w:val="00D003F3"/>
    <w:rsid w:val="00D0364F"/>
    <w:rsid w:val="00D05439"/>
    <w:rsid w:val="00D06834"/>
    <w:rsid w:val="00D22EEF"/>
    <w:rsid w:val="00D301F5"/>
    <w:rsid w:val="00D308ED"/>
    <w:rsid w:val="00D327A5"/>
    <w:rsid w:val="00D334F0"/>
    <w:rsid w:val="00D36D86"/>
    <w:rsid w:val="00D408BD"/>
    <w:rsid w:val="00D428AA"/>
    <w:rsid w:val="00D4494C"/>
    <w:rsid w:val="00D449C6"/>
    <w:rsid w:val="00D50A34"/>
    <w:rsid w:val="00D518CB"/>
    <w:rsid w:val="00D51F39"/>
    <w:rsid w:val="00D538D5"/>
    <w:rsid w:val="00D53EFA"/>
    <w:rsid w:val="00D546EA"/>
    <w:rsid w:val="00D57242"/>
    <w:rsid w:val="00D57477"/>
    <w:rsid w:val="00D66DFF"/>
    <w:rsid w:val="00D71188"/>
    <w:rsid w:val="00D715A9"/>
    <w:rsid w:val="00D71940"/>
    <w:rsid w:val="00D9033C"/>
    <w:rsid w:val="00D90521"/>
    <w:rsid w:val="00D94A7C"/>
    <w:rsid w:val="00D95896"/>
    <w:rsid w:val="00DA2748"/>
    <w:rsid w:val="00DA4994"/>
    <w:rsid w:val="00DB14A2"/>
    <w:rsid w:val="00DB2983"/>
    <w:rsid w:val="00DB4913"/>
    <w:rsid w:val="00DC0865"/>
    <w:rsid w:val="00DC1257"/>
    <w:rsid w:val="00DC3DC0"/>
    <w:rsid w:val="00DC5B2B"/>
    <w:rsid w:val="00DD318D"/>
    <w:rsid w:val="00DD51EF"/>
    <w:rsid w:val="00DE45F6"/>
    <w:rsid w:val="00DE535A"/>
    <w:rsid w:val="00DF0472"/>
    <w:rsid w:val="00DF2CA8"/>
    <w:rsid w:val="00DF2E12"/>
    <w:rsid w:val="00DF4E1E"/>
    <w:rsid w:val="00DF514A"/>
    <w:rsid w:val="00DF6690"/>
    <w:rsid w:val="00DF6804"/>
    <w:rsid w:val="00E016EA"/>
    <w:rsid w:val="00E0358D"/>
    <w:rsid w:val="00E03BA0"/>
    <w:rsid w:val="00E04323"/>
    <w:rsid w:val="00E0458E"/>
    <w:rsid w:val="00E061AE"/>
    <w:rsid w:val="00E070A2"/>
    <w:rsid w:val="00E07AD6"/>
    <w:rsid w:val="00E22FEE"/>
    <w:rsid w:val="00E23C26"/>
    <w:rsid w:val="00E25950"/>
    <w:rsid w:val="00E2656A"/>
    <w:rsid w:val="00E27C73"/>
    <w:rsid w:val="00E37316"/>
    <w:rsid w:val="00E412D0"/>
    <w:rsid w:val="00E52CEA"/>
    <w:rsid w:val="00E56322"/>
    <w:rsid w:val="00E569F6"/>
    <w:rsid w:val="00E57205"/>
    <w:rsid w:val="00E60982"/>
    <w:rsid w:val="00E61D8B"/>
    <w:rsid w:val="00E62C62"/>
    <w:rsid w:val="00E654C1"/>
    <w:rsid w:val="00E65D97"/>
    <w:rsid w:val="00E66D61"/>
    <w:rsid w:val="00E72858"/>
    <w:rsid w:val="00E72A5A"/>
    <w:rsid w:val="00E73354"/>
    <w:rsid w:val="00E73489"/>
    <w:rsid w:val="00E73F07"/>
    <w:rsid w:val="00E76840"/>
    <w:rsid w:val="00E80491"/>
    <w:rsid w:val="00E84F92"/>
    <w:rsid w:val="00E850D6"/>
    <w:rsid w:val="00E909AA"/>
    <w:rsid w:val="00E9242D"/>
    <w:rsid w:val="00E940A3"/>
    <w:rsid w:val="00E94818"/>
    <w:rsid w:val="00EA0D49"/>
    <w:rsid w:val="00EB5255"/>
    <w:rsid w:val="00EB5C47"/>
    <w:rsid w:val="00EB68FA"/>
    <w:rsid w:val="00EC7969"/>
    <w:rsid w:val="00ED0639"/>
    <w:rsid w:val="00EE4E6F"/>
    <w:rsid w:val="00EE6CAB"/>
    <w:rsid w:val="00EF02BA"/>
    <w:rsid w:val="00EF4755"/>
    <w:rsid w:val="00EF7135"/>
    <w:rsid w:val="00F00ABF"/>
    <w:rsid w:val="00F00DC3"/>
    <w:rsid w:val="00F022A9"/>
    <w:rsid w:val="00F027DB"/>
    <w:rsid w:val="00F039C0"/>
    <w:rsid w:val="00F059ED"/>
    <w:rsid w:val="00F1087B"/>
    <w:rsid w:val="00F1377B"/>
    <w:rsid w:val="00F14A7A"/>
    <w:rsid w:val="00F14D2F"/>
    <w:rsid w:val="00F21158"/>
    <w:rsid w:val="00F22985"/>
    <w:rsid w:val="00F24FE2"/>
    <w:rsid w:val="00F27A80"/>
    <w:rsid w:val="00F27BA2"/>
    <w:rsid w:val="00F27E6A"/>
    <w:rsid w:val="00F30AD9"/>
    <w:rsid w:val="00F31B43"/>
    <w:rsid w:val="00F3383E"/>
    <w:rsid w:val="00F35B4A"/>
    <w:rsid w:val="00F45A53"/>
    <w:rsid w:val="00F465A7"/>
    <w:rsid w:val="00F47BD7"/>
    <w:rsid w:val="00F50B7C"/>
    <w:rsid w:val="00F512D4"/>
    <w:rsid w:val="00F550E6"/>
    <w:rsid w:val="00F5546E"/>
    <w:rsid w:val="00F60A87"/>
    <w:rsid w:val="00F63EFC"/>
    <w:rsid w:val="00F64BC7"/>
    <w:rsid w:val="00F740A7"/>
    <w:rsid w:val="00F74345"/>
    <w:rsid w:val="00F76A46"/>
    <w:rsid w:val="00F80A0A"/>
    <w:rsid w:val="00F82B19"/>
    <w:rsid w:val="00F842F8"/>
    <w:rsid w:val="00F84511"/>
    <w:rsid w:val="00F9212D"/>
    <w:rsid w:val="00F95F49"/>
    <w:rsid w:val="00F965DA"/>
    <w:rsid w:val="00FA406A"/>
    <w:rsid w:val="00FB127F"/>
    <w:rsid w:val="00FB19A5"/>
    <w:rsid w:val="00FB2F26"/>
    <w:rsid w:val="00FB369B"/>
    <w:rsid w:val="00FB503A"/>
    <w:rsid w:val="00FB516C"/>
    <w:rsid w:val="00FB6963"/>
    <w:rsid w:val="00FC2871"/>
    <w:rsid w:val="00FD0236"/>
    <w:rsid w:val="00FD18F4"/>
    <w:rsid w:val="00FD2969"/>
    <w:rsid w:val="00FD29CB"/>
    <w:rsid w:val="00FD3509"/>
    <w:rsid w:val="00FD3D99"/>
    <w:rsid w:val="00FD54DB"/>
    <w:rsid w:val="00FD619F"/>
    <w:rsid w:val="0108714A"/>
    <w:rsid w:val="01290F7E"/>
    <w:rsid w:val="015D1E09"/>
    <w:rsid w:val="017B429C"/>
    <w:rsid w:val="01A335CE"/>
    <w:rsid w:val="02193F46"/>
    <w:rsid w:val="02697903"/>
    <w:rsid w:val="02830E67"/>
    <w:rsid w:val="02BA5D3C"/>
    <w:rsid w:val="02D50BFF"/>
    <w:rsid w:val="02F96569"/>
    <w:rsid w:val="03345AEF"/>
    <w:rsid w:val="03CE43F0"/>
    <w:rsid w:val="03EA7B21"/>
    <w:rsid w:val="047E467A"/>
    <w:rsid w:val="04FB1C51"/>
    <w:rsid w:val="04FF3EDA"/>
    <w:rsid w:val="05304B47"/>
    <w:rsid w:val="054F4E62"/>
    <w:rsid w:val="055A55B4"/>
    <w:rsid w:val="057F6DC9"/>
    <w:rsid w:val="05850883"/>
    <w:rsid w:val="05A30D9B"/>
    <w:rsid w:val="05C94A2B"/>
    <w:rsid w:val="05CA44E8"/>
    <w:rsid w:val="05D47115"/>
    <w:rsid w:val="05ED58B4"/>
    <w:rsid w:val="05F83EAE"/>
    <w:rsid w:val="060A2AE1"/>
    <w:rsid w:val="063E7D85"/>
    <w:rsid w:val="06606BFB"/>
    <w:rsid w:val="066761DB"/>
    <w:rsid w:val="06913258"/>
    <w:rsid w:val="06B31AB5"/>
    <w:rsid w:val="06B4268A"/>
    <w:rsid w:val="06CE1DB6"/>
    <w:rsid w:val="07251BF4"/>
    <w:rsid w:val="07293586"/>
    <w:rsid w:val="07295285"/>
    <w:rsid w:val="07636392"/>
    <w:rsid w:val="07770C56"/>
    <w:rsid w:val="07AD3028"/>
    <w:rsid w:val="07BC5DA1"/>
    <w:rsid w:val="07C24F25"/>
    <w:rsid w:val="07E03B4E"/>
    <w:rsid w:val="08501FAF"/>
    <w:rsid w:val="085E5A86"/>
    <w:rsid w:val="086F5FC2"/>
    <w:rsid w:val="08860F10"/>
    <w:rsid w:val="08954FD4"/>
    <w:rsid w:val="08DD4532"/>
    <w:rsid w:val="091C32AD"/>
    <w:rsid w:val="092217DD"/>
    <w:rsid w:val="0932487E"/>
    <w:rsid w:val="093A7294"/>
    <w:rsid w:val="09803690"/>
    <w:rsid w:val="09884592"/>
    <w:rsid w:val="0A263993"/>
    <w:rsid w:val="0A2D3AC2"/>
    <w:rsid w:val="0A3B1287"/>
    <w:rsid w:val="0A5922DF"/>
    <w:rsid w:val="0AA755DF"/>
    <w:rsid w:val="0AA95014"/>
    <w:rsid w:val="0AB319EF"/>
    <w:rsid w:val="0AF02C43"/>
    <w:rsid w:val="0B120D44"/>
    <w:rsid w:val="0B494101"/>
    <w:rsid w:val="0B6D4294"/>
    <w:rsid w:val="0BB30841"/>
    <w:rsid w:val="0BB35A1E"/>
    <w:rsid w:val="0BD27BF6"/>
    <w:rsid w:val="0C3B3C7D"/>
    <w:rsid w:val="0C3C2156"/>
    <w:rsid w:val="0C7701E6"/>
    <w:rsid w:val="0C9A7529"/>
    <w:rsid w:val="0CA35A93"/>
    <w:rsid w:val="0CAB2EAE"/>
    <w:rsid w:val="0CDC6657"/>
    <w:rsid w:val="0CF307C8"/>
    <w:rsid w:val="0CF9308B"/>
    <w:rsid w:val="0D38442D"/>
    <w:rsid w:val="0D621C7D"/>
    <w:rsid w:val="0D7F658A"/>
    <w:rsid w:val="0D9C051F"/>
    <w:rsid w:val="0DAA6B28"/>
    <w:rsid w:val="0E1B7FD7"/>
    <w:rsid w:val="0E6D0107"/>
    <w:rsid w:val="0E73034D"/>
    <w:rsid w:val="0E984360"/>
    <w:rsid w:val="0EA0228A"/>
    <w:rsid w:val="0EA658A1"/>
    <w:rsid w:val="0F035097"/>
    <w:rsid w:val="0F112F78"/>
    <w:rsid w:val="0F13775A"/>
    <w:rsid w:val="0F263D0E"/>
    <w:rsid w:val="0F3330FE"/>
    <w:rsid w:val="0F582B65"/>
    <w:rsid w:val="0F5F45FE"/>
    <w:rsid w:val="0F9A112B"/>
    <w:rsid w:val="0F9A47EE"/>
    <w:rsid w:val="0FBE0F43"/>
    <w:rsid w:val="0FFF7484"/>
    <w:rsid w:val="10060813"/>
    <w:rsid w:val="102872EA"/>
    <w:rsid w:val="102E4B93"/>
    <w:rsid w:val="1056508F"/>
    <w:rsid w:val="106B4B1A"/>
    <w:rsid w:val="106D2F64"/>
    <w:rsid w:val="10930DC1"/>
    <w:rsid w:val="10B262A5"/>
    <w:rsid w:val="10B63710"/>
    <w:rsid w:val="10C25C4E"/>
    <w:rsid w:val="10CA7A92"/>
    <w:rsid w:val="10F10820"/>
    <w:rsid w:val="10F1501F"/>
    <w:rsid w:val="111C2F7A"/>
    <w:rsid w:val="11430EC2"/>
    <w:rsid w:val="11665CA1"/>
    <w:rsid w:val="11B642AD"/>
    <w:rsid w:val="11E66F11"/>
    <w:rsid w:val="123553DF"/>
    <w:rsid w:val="12641821"/>
    <w:rsid w:val="12851EC3"/>
    <w:rsid w:val="12887F46"/>
    <w:rsid w:val="12CA4DA3"/>
    <w:rsid w:val="12D85FB5"/>
    <w:rsid w:val="12D9220E"/>
    <w:rsid w:val="133B2B2D"/>
    <w:rsid w:val="13741F37"/>
    <w:rsid w:val="13951726"/>
    <w:rsid w:val="13FE38DE"/>
    <w:rsid w:val="14396509"/>
    <w:rsid w:val="14575254"/>
    <w:rsid w:val="14847799"/>
    <w:rsid w:val="148C3A56"/>
    <w:rsid w:val="14C01613"/>
    <w:rsid w:val="14DD2C3C"/>
    <w:rsid w:val="14FA6062"/>
    <w:rsid w:val="153217E6"/>
    <w:rsid w:val="15347BD0"/>
    <w:rsid w:val="1560771A"/>
    <w:rsid w:val="157955E3"/>
    <w:rsid w:val="15836462"/>
    <w:rsid w:val="15875F52"/>
    <w:rsid w:val="15891CCA"/>
    <w:rsid w:val="15AC446C"/>
    <w:rsid w:val="15F83665"/>
    <w:rsid w:val="16087E1D"/>
    <w:rsid w:val="16327237"/>
    <w:rsid w:val="165E668A"/>
    <w:rsid w:val="16DA5F29"/>
    <w:rsid w:val="16F21AF1"/>
    <w:rsid w:val="16F31A11"/>
    <w:rsid w:val="17701D14"/>
    <w:rsid w:val="17735226"/>
    <w:rsid w:val="179B7A92"/>
    <w:rsid w:val="17AA5F28"/>
    <w:rsid w:val="17CD381B"/>
    <w:rsid w:val="17D87498"/>
    <w:rsid w:val="17EE22B8"/>
    <w:rsid w:val="18094EC6"/>
    <w:rsid w:val="18621E33"/>
    <w:rsid w:val="189F624C"/>
    <w:rsid w:val="19120228"/>
    <w:rsid w:val="192B4E46"/>
    <w:rsid w:val="196547FC"/>
    <w:rsid w:val="197E58BE"/>
    <w:rsid w:val="198359C9"/>
    <w:rsid w:val="198A6011"/>
    <w:rsid w:val="198E44E0"/>
    <w:rsid w:val="19902894"/>
    <w:rsid w:val="19B603CE"/>
    <w:rsid w:val="1A046027"/>
    <w:rsid w:val="1A1C66C0"/>
    <w:rsid w:val="1A304E0A"/>
    <w:rsid w:val="1A42393B"/>
    <w:rsid w:val="1A622AE9"/>
    <w:rsid w:val="1A672B43"/>
    <w:rsid w:val="1A7B1EDC"/>
    <w:rsid w:val="1A904CF7"/>
    <w:rsid w:val="1A974E89"/>
    <w:rsid w:val="1A9D7FC6"/>
    <w:rsid w:val="1AAD45DE"/>
    <w:rsid w:val="1ABB2559"/>
    <w:rsid w:val="1ADC0AEE"/>
    <w:rsid w:val="1AE32D89"/>
    <w:rsid w:val="1AE479A2"/>
    <w:rsid w:val="1B046F80"/>
    <w:rsid w:val="1B3267B5"/>
    <w:rsid w:val="1B352660"/>
    <w:rsid w:val="1B40161D"/>
    <w:rsid w:val="1B441859"/>
    <w:rsid w:val="1B6606B1"/>
    <w:rsid w:val="1B8D1DE8"/>
    <w:rsid w:val="1B9C64CF"/>
    <w:rsid w:val="1BA3785E"/>
    <w:rsid w:val="1BBE4697"/>
    <w:rsid w:val="1BE9259D"/>
    <w:rsid w:val="1BFC163B"/>
    <w:rsid w:val="1C4241E2"/>
    <w:rsid w:val="1C523CD7"/>
    <w:rsid w:val="1C59140F"/>
    <w:rsid w:val="1C5E7925"/>
    <w:rsid w:val="1C7E1E3C"/>
    <w:rsid w:val="1CCC52F2"/>
    <w:rsid w:val="1CD90394"/>
    <w:rsid w:val="1CFD070F"/>
    <w:rsid w:val="1D5F6196"/>
    <w:rsid w:val="1D6132A5"/>
    <w:rsid w:val="1D8E56D5"/>
    <w:rsid w:val="1D9A259A"/>
    <w:rsid w:val="1DAC1F2B"/>
    <w:rsid w:val="1DDD21BF"/>
    <w:rsid w:val="1E537319"/>
    <w:rsid w:val="1E6A01BF"/>
    <w:rsid w:val="1E7A43DA"/>
    <w:rsid w:val="1EDB10BC"/>
    <w:rsid w:val="1EFD1033"/>
    <w:rsid w:val="1F3F164B"/>
    <w:rsid w:val="1F877BDE"/>
    <w:rsid w:val="1FE16BA6"/>
    <w:rsid w:val="1FE7539E"/>
    <w:rsid w:val="20087C8F"/>
    <w:rsid w:val="202A40A9"/>
    <w:rsid w:val="204131A1"/>
    <w:rsid w:val="20474C5B"/>
    <w:rsid w:val="20586A23"/>
    <w:rsid w:val="20671BE0"/>
    <w:rsid w:val="207F634B"/>
    <w:rsid w:val="20963CB8"/>
    <w:rsid w:val="20A81A1B"/>
    <w:rsid w:val="20B07FB6"/>
    <w:rsid w:val="20B646FB"/>
    <w:rsid w:val="20F11A95"/>
    <w:rsid w:val="2108695F"/>
    <w:rsid w:val="210E39CB"/>
    <w:rsid w:val="21162880"/>
    <w:rsid w:val="2125160B"/>
    <w:rsid w:val="213B74B1"/>
    <w:rsid w:val="21567792"/>
    <w:rsid w:val="215A2310"/>
    <w:rsid w:val="21DE318A"/>
    <w:rsid w:val="21DE514B"/>
    <w:rsid w:val="21EF4908"/>
    <w:rsid w:val="21EF5B80"/>
    <w:rsid w:val="22405E06"/>
    <w:rsid w:val="22576990"/>
    <w:rsid w:val="22B7675D"/>
    <w:rsid w:val="22F47480"/>
    <w:rsid w:val="235B768A"/>
    <w:rsid w:val="23BE3486"/>
    <w:rsid w:val="23DE1C48"/>
    <w:rsid w:val="240210CD"/>
    <w:rsid w:val="241C26F8"/>
    <w:rsid w:val="2440069D"/>
    <w:rsid w:val="244D22A6"/>
    <w:rsid w:val="247575E5"/>
    <w:rsid w:val="248A5117"/>
    <w:rsid w:val="24BF09F7"/>
    <w:rsid w:val="24E9594A"/>
    <w:rsid w:val="252D53FE"/>
    <w:rsid w:val="257B16DA"/>
    <w:rsid w:val="25951FC5"/>
    <w:rsid w:val="25A0096A"/>
    <w:rsid w:val="25A8619C"/>
    <w:rsid w:val="25D21167"/>
    <w:rsid w:val="25DA0320"/>
    <w:rsid w:val="25EC2D81"/>
    <w:rsid w:val="25F2550C"/>
    <w:rsid w:val="2613738E"/>
    <w:rsid w:val="262B7D80"/>
    <w:rsid w:val="2665408D"/>
    <w:rsid w:val="26681488"/>
    <w:rsid w:val="269D3DA0"/>
    <w:rsid w:val="26AA47C8"/>
    <w:rsid w:val="26D018DD"/>
    <w:rsid w:val="274912B9"/>
    <w:rsid w:val="277057A2"/>
    <w:rsid w:val="277A5916"/>
    <w:rsid w:val="27A24E6D"/>
    <w:rsid w:val="27AB1F74"/>
    <w:rsid w:val="27C72E24"/>
    <w:rsid w:val="285B446E"/>
    <w:rsid w:val="285F4B0C"/>
    <w:rsid w:val="28AF15F0"/>
    <w:rsid w:val="28D56F0D"/>
    <w:rsid w:val="28F156C9"/>
    <w:rsid w:val="29206EB8"/>
    <w:rsid w:val="29437F8A"/>
    <w:rsid w:val="29595666"/>
    <w:rsid w:val="29874881"/>
    <w:rsid w:val="29E325E0"/>
    <w:rsid w:val="29FF2103"/>
    <w:rsid w:val="2A2F5567"/>
    <w:rsid w:val="2A397935"/>
    <w:rsid w:val="2A3B5D4D"/>
    <w:rsid w:val="2A452503"/>
    <w:rsid w:val="2AB6333F"/>
    <w:rsid w:val="2AE4510B"/>
    <w:rsid w:val="2B3033D3"/>
    <w:rsid w:val="2B6C0390"/>
    <w:rsid w:val="2B7C46C3"/>
    <w:rsid w:val="2B870602"/>
    <w:rsid w:val="2BA936A8"/>
    <w:rsid w:val="2BC058C2"/>
    <w:rsid w:val="2BEF61A7"/>
    <w:rsid w:val="2C315A5A"/>
    <w:rsid w:val="2C4B1C25"/>
    <w:rsid w:val="2C520AB7"/>
    <w:rsid w:val="2C9A09FE"/>
    <w:rsid w:val="2CA42588"/>
    <w:rsid w:val="2D987A37"/>
    <w:rsid w:val="2D9E56F5"/>
    <w:rsid w:val="2DB33930"/>
    <w:rsid w:val="2E114575"/>
    <w:rsid w:val="2E5A7219"/>
    <w:rsid w:val="2E667F96"/>
    <w:rsid w:val="2E8226AB"/>
    <w:rsid w:val="2E8452CD"/>
    <w:rsid w:val="2E9C43C4"/>
    <w:rsid w:val="2EE24644"/>
    <w:rsid w:val="2EF51D26"/>
    <w:rsid w:val="2F1C3C5D"/>
    <w:rsid w:val="2F863070"/>
    <w:rsid w:val="2F950E14"/>
    <w:rsid w:val="2F9C38D4"/>
    <w:rsid w:val="2F9C6646"/>
    <w:rsid w:val="2F9E416C"/>
    <w:rsid w:val="2FB76FDC"/>
    <w:rsid w:val="2FD065E6"/>
    <w:rsid w:val="2FD96870"/>
    <w:rsid w:val="30006BD5"/>
    <w:rsid w:val="30580BC9"/>
    <w:rsid w:val="306A01ED"/>
    <w:rsid w:val="30711881"/>
    <w:rsid w:val="31101099"/>
    <w:rsid w:val="311E2ED7"/>
    <w:rsid w:val="312D39F9"/>
    <w:rsid w:val="315619EE"/>
    <w:rsid w:val="315C449C"/>
    <w:rsid w:val="315F16D9"/>
    <w:rsid w:val="31B82709"/>
    <w:rsid w:val="31D05482"/>
    <w:rsid w:val="31D73E6F"/>
    <w:rsid w:val="31F14A11"/>
    <w:rsid w:val="321A26C3"/>
    <w:rsid w:val="32400B34"/>
    <w:rsid w:val="325D20BC"/>
    <w:rsid w:val="329E6876"/>
    <w:rsid w:val="32B12408"/>
    <w:rsid w:val="32BC3287"/>
    <w:rsid w:val="33264BA4"/>
    <w:rsid w:val="333015F2"/>
    <w:rsid w:val="33437504"/>
    <w:rsid w:val="334B6320"/>
    <w:rsid w:val="335D0B51"/>
    <w:rsid w:val="337A1509"/>
    <w:rsid w:val="339715FE"/>
    <w:rsid w:val="33A05619"/>
    <w:rsid w:val="33A100AA"/>
    <w:rsid w:val="33B57CD6"/>
    <w:rsid w:val="33D934D4"/>
    <w:rsid w:val="33DB2C73"/>
    <w:rsid w:val="33FE2F6A"/>
    <w:rsid w:val="340E07E5"/>
    <w:rsid w:val="34235BF7"/>
    <w:rsid w:val="34714624"/>
    <w:rsid w:val="34A5249B"/>
    <w:rsid w:val="34A9783B"/>
    <w:rsid w:val="34AB1128"/>
    <w:rsid w:val="35026F4B"/>
    <w:rsid w:val="352E1AEE"/>
    <w:rsid w:val="358C5FA8"/>
    <w:rsid w:val="35B7170B"/>
    <w:rsid w:val="35C15DF1"/>
    <w:rsid w:val="36074A7F"/>
    <w:rsid w:val="3627310D"/>
    <w:rsid w:val="362C2CEA"/>
    <w:rsid w:val="36646952"/>
    <w:rsid w:val="366F0610"/>
    <w:rsid w:val="368A3F29"/>
    <w:rsid w:val="36923549"/>
    <w:rsid w:val="36B75FBF"/>
    <w:rsid w:val="36BD0C45"/>
    <w:rsid w:val="371B7DDB"/>
    <w:rsid w:val="37386C54"/>
    <w:rsid w:val="37B704C1"/>
    <w:rsid w:val="37CA35D2"/>
    <w:rsid w:val="37E00298"/>
    <w:rsid w:val="37F232A7"/>
    <w:rsid w:val="381F1BC2"/>
    <w:rsid w:val="382C4A0B"/>
    <w:rsid w:val="386572B7"/>
    <w:rsid w:val="3882287D"/>
    <w:rsid w:val="38B302F9"/>
    <w:rsid w:val="38B62004"/>
    <w:rsid w:val="38F12CD3"/>
    <w:rsid w:val="38F94775"/>
    <w:rsid w:val="391B682D"/>
    <w:rsid w:val="392971ED"/>
    <w:rsid w:val="39325651"/>
    <w:rsid w:val="39616936"/>
    <w:rsid w:val="39643D30"/>
    <w:rsid w:val="39B656E8"/>
    <w:rsid w:val="39CB2002"/>
    <w:rsid w:val="3A6A181A"/>
    <w:rsid w:val="3A872856"/>
    <w:rsid w:val="3A922B1F"/>
    <w:rsid w:val="3AA61D9D"/>
    <w:rsid w:val="3AD44EE6"/>
    <w:rsid w:val="3B1E53B3"/>
    <w:rsid w:val="3B21746B"/>
    <w:rsid w:val="3B3763D1"/>
    <w:rsid w:val="3B8168DB"/>
    <w:rsid w:val="3BD56390"/>
    <w:rsid w:val="3BDD601C"/>
    <w:rsid w:val="3BEA5800"/>
    <w:rsid w:val="3C087302"/>
    <w:rsid w:val="3C1E0B0E"/>
    <w:rsid w:val="3C2F6E1E"/>
    <w:rsid w:val="3C4F64BA"/>
    <w:rsid w:val="3C834E15"/>
    <w:rsid w:val="3CB21257"/>
    <w:rsid w:val="3CB81733"/>
    <w:rsid w:val="3CD45B6C"/>
    <w:rsid w:val="3CDA245A"/>
    <w:rsid w:val="3D1E06B7"/>
    <w:rsid w:val="3D7309E6"/>
    <w:rsid w:val="3DD75419"/>
    <w:rsid w:val="3E083824"/>
    <w:rsid w:val="3E104487"/>
    <w:rsid w:val="3E4C3FFA"/>
    <w:rsid w:val="3EC05EAD"/>
    <w:rsid w:val="3EDA0523"/>
    <w:rsid w:val="3F00274D"/>
    <w:rsid w:val="3F073ADC"/>
    <w:rsid w:val="3F316DAB"/>
    <w:rsid w:val="3F3348D1"/>
    <w:rsid w:val="3F391836"/>
    <w:rsid w:val="3F9115F7"/>
    <w:rsid w:val="3FB05F21"/>
    <w:rsid w:val="3FBD107E"/>
    <w:rsid w:val="400159AA"/>
    <w:rsid w:val="4015075D"/>
    <w:rsid w:val="402B5D18"/>
    <w:rsid w:val="403E177F"/>
    <w:rsid w:val="40774C91"/>
    <w:rsid w:val="407A6407"/>
    <w:rsid w:val="408B48CA"/>
    <w:rsid w:val="40C17CBA"/>
    <w:rsid w:val="40DA25A5"/>
    <w:rsid w:val="40E51BFB"/>
    <w:rsid w:val="4193257B"/>
    <w:rsid w:val="41BB0BAE"/>
    <w:rsid w:val="4200449D"/>
    <w:rsid w:val="4205007B"/>
    <w:rsid w:val="420F2CA7"/>
    <w:rsid w:val="423A3BCC"/>
    <w:rsid w:val="424E57D2"/>
    <w:rsid w:val="4272297E"/>
    <w:rsid w:val="42A11B51"/>
    <w:rsid w:val="42A633E7"/>
    <w:rsid w:val="42B26C49"/>
    <w:rsid w:val="42FE3875"/>
    <w:rsid w:val="430640AA"/>
    <w:rsid w:val="433A6FE6"/>
    <w:rsid w:val="43480868"/>
    <w:rsid w:val="4350713C"/>
    <w:rsid w:val="436653E0"/>
    <w:rsid w:val="43AD0594"/>
    <w:rsid w:val="43C4431A"/>
    <w:rsid w:val="43FA3C0F"/>
    <w:rsid w:val="44190528"/>
    <w:rsid w:val="4454086B"/>
    <w:rsid w:val="445F02A5"/>
    <w:rsid w:val="44604D00"/>
    <w:rsid w:val="44797F00"/>
    <w:rsid w:val="44801C3A"/>
    <w:rsid w:val="449649FB"/>
    <w:rsid w:val="44986F84"/>
    <w:rsid w:val="44B951CC"/>
    <w:rsid w:val="44BB65CE"/>
    <w:rsid w:val="44C36444"/>
    <w:rsid w:val="44C61EE3"/>
    <w:rsid w:val="44CD14E0"/>
    <w:rsid w:val="44F20B0B"/>
    <w:rsid w:val="452E5F4C"/>
    <w:rsid w:val="45382904"/>
    <w:rsid w:val="45612018"/>
    <w:rsid w:val="458946E9"/>
    <w:rsid w:val="45A47C0E"/>
    <w:rsid w:val="45B55914"/>
    <w:rsid w:val="45B95404"/>
    <w:rsid w:val="46577FD6"/>
    <w:rsid w:val="468377A8"/>
    <w:rsid w:val="46D955A7"/>
    <w:rsid w:val="46E64F3C"/>
    <w:rsid w:val="46F81F5C"/>
    <w:rsid w:val="47133957"/>
    <w:rsid w:val="47290367"/>
    <w:rsid w:val="47391A2E"/>
    <w:rsid w:val="474F7BC0"/>
    <w:rsid w:val="477E06B3"/>
    <w:rsid w:val="478B47C2"/>
    <w:rsid w:val="47A07E0C"/>
    <w:rsid w:val="47C54BA4"/>
    <w:rsid w:val="47C702AC"/>
    <w:rsid w:val="484740A8"/>
    <w:rsid w:val="4870272E"/>
    <w:rsid w:val="48847404"/>
    <w:rsid w:val="48B04741"/>
    <w:rsid w:val="48BA1BBF"/>
    <w:rsid w:val="491F4CA2"/>
    <w:rsid w:val="49302967"/>
    <w:rsid w:val="495E079C"/>
    <w:rsid w:val="49926698"/>
    <w:rsid w:val="49BE18E2"/>
    <w:rsid w:val="49C10D2B"/>
    <w:rsid w:val="49CE545A"/>
    <w:rsid w:val="49DC7715"/>
    <w:rsid w:val="4A023139"/>
    <w:rsid w:val="4A0550BC"/>
    <w:rsid w:val="4A0A53EF"/>
    <w:rsid w:val="4A2E5657"/>
    <w:rsid w:val="4A737A96"/>
    <w:rsid w:val="4A7B576F"/>
    <w:rsid w:val="4AAA17BF"/>
    <w:rsid w:val="4AB64608"/>
    <w:rsid w:val="4AB9774B"/>
    <w:rsid w:val="4ABA79D4"/>
    <w:rsid w:val="4AC42881"/>
    <w:rsid w:val="4AF561A9"/>
    <w:rsid w:val="4AFB201B"/>
    <w:rsid w:val="4B13509F"/>
    <w:rsid w:val="4B38501D"/>
    <w:rsid w:val="4B3C3949"/>
    <w:rsid w:val="4B46773A"/>
    <w:rsid w:val="4B53683D"/>
    <w:rsid w:val="4B5B3777"/>
    <w:rsid w:val="4B616403"/>
    <w:rsid w:val="4B756271"/>
    <w:rsid w:val="4B7E158D"/>
    <w:rsid w:val="4BF161A7"/>
    <w:rsid w:val="4BF258EA"/>
    <w:rsid w:val="4C285091"/>
    <w:rsid w:val="4C4A0649"/>
    <w:rsid w:val="4C7E5ECA"/>
    <w:rsid w:val="4C876AA5"/>
    <w:rsid w:val="4CBB7CB4"/>
    <w:rsid w:val="4CD64061"/>
    <w:rsid w:val="4CDD5E7C"/>
    <w:rsid w:val="4D0E00FB"/>
    <w:rsid w:val="4D176606"/>
    <w:rsid w:val="4D1C2CCF"/>
    <w:rsid w:val="4D1D1BBF"/>
    <w:rsid w:val="4D402392"/>
    <w:rsid w:val="4DBF5582"/>
    <w:rsid w:val="4DC874CE"/>
    <w:rsid w:val="4DEC4FB0"/>
    <w:rsid w:val="4DF17BEF"/>
    <w:rsid w:val="4DF421B5"/>
    <w:rsid w:val="4DF80A94"/>
    <w:rsid w:val="4E075D8A"/>
    <w:rsid w:val="4E1C4782"/>
    <w:rsid w:val="4E6D1482"/>
    <w:rsid w:val="4E88341A"/>
    <w:rsid w:val="4E984750"/>
    <w:rsid w:val="4E9B5FEF"/>
    <w:rsid w:val="4EC00FAD"/>
    <w:rsid w:val="4F05790C"/>
    <w:rsid w:val="4F377176"/>
    <w:rsid w:val="4F485261"/>
    <w:rsid w:val="4F566B0C"/>
    <w:rsid w:val="4F815A58"/>
    <w:rsid w:val="4F905428"/>
    <w:rsid w:val="4F9843DC"/>
    <w:rsid w:val="4F9B4095"/>
    <w:rsid w:val="4FA615A3"/>
    <w:rsid w:val="4FC62A8C"/>
    <w:rsid w:val="4FE20F0D"/>
    <w:rsid w:val="4FE51552"/>
    <w:rsid w:val="503C5265"/>
    <w:rsid w:val="50504C4B"/>
    <w:rsid w:val="50772144"/>
    <w:rsid w:val="509C53B3"/>
    <w:rsid w:val="509C6E7C"/>
    <w:rsid w:val="50AC44E3"/>
    <w:rsid w:val="50CB4998"/>
    <w:rsid w:val="50F83E8C"/>
    <w:rsid w:val="510C4F82"/>
    <w:rsid w:val="51132DE2"/>
    <w:rsid w:val="511856D5"/>
    <w:rsid w:val="515024DC"/>
    <w:rsid w:val="5162104E"/>
    <w:rsid w:val="52036385"/>
    <w:rsid w:val="520B319A"/>
    <w:rsid w:val="52424E57"/>
    <w:rsid w:val="527877CE"/>
    <w:rsid w:val="52903990"/>
    <w:rsid w:val="53507E24"/>
    <w:rsid w:val="53A039CC"/>
    <w:rsid w:val="53A1505A"/>
    <w:rsid w:val="53BB7232"/>
    <w:rsid w:val="53D8114B"/>
    <w:rsid w:val="53F51CFD"/>
    <w:rsid w:val="53FF36DA"/>
    <w:rsid w:val="54063E08"/>
    <w:rsid w:val="543437E8"/>
    <w:rsid w:val="54361A54"/>
    <w:rsid w:val="546E6337"/>
    <w:rsid w:val="54913993"/>
    <w:rsid w:val="54D7654B"/>
    <w:rsid w:val="54F73313"/>
    <w:rsid w:val="54F75F49"/>
    <w:rsid w:val="54F80955"/>
    <w:rsid w:val="54F961C4"/>
    <w:rsid w:val="54FD4B78"/>
    <w:rsid w:val="55006BAB"/>
    <w:rsid w:val="5527238A"/>
    <w:rsid w:val="555170A7"/>
    <w:rsid w:val="55646825"/>
    <w:rsid w:val="5587536D"/>
    <w:rsid w:val="558852FB"/>
    <w:rsid w:val="558C043F"/>
    <w:rsid w:val="559B174B"/>
    <w:rsid w:val="55BA31FE"/>
    <w:rsid w:val="55BE431C"/>
    <w:rsid w:val="55CE0CF4"/>
    <w:rsid w:val="55D9681C"/>
    <w:rsid w:val="55F552E0"/>
    <w:rsid w:val="568404FC"/>
    <w:rsid w:val="568832FC"/>
    <w:rsid w:val="568B6949"/>
    <w:rsid w:val="56955A19"/>
    <w:rsid w:val="56A31F58"/>
    <w:rsid w:val="56B22A9C"/>
    <w:rsid w:val="56FF08D8"/>
    <w:rsid w:val="571C6211"/>
    <w:rsid w:val="5728768E"/>
    <w:rsid w:val="573C6DD9"/>
    <w:rsid w:val="57410330"/>
    <w:rsid w:val="574761CB"/>
    <w:rsid w:val="57554542"/>
    <w:rsid w:val="57A15FAE"/>
    <w:rsid w:val="57AC6B77"/>
    <w:rsid w:val="57B72A76"/>
    <w:rsid w:val="57C3426C"/>
    <w:rsid w:val="57CE1F93"/>
    <w:rsid w:val="581A4428"/>
    <w:rsid w:val="58403763"/>
    <w:rsid w:val="58711B6E"/>
    <w:rsid w:val="588743D1"/>
    <w:rsid w:val="5887701A"/>
    <w:rsid w:val="58B24CE2"/>
    <w:rsid w:val="58C65314"/>
    <w:rsid w:val="58D5034F"/>
    <w:rsid w:val="58EA204C"/>
    <w:rsid w:val="58EE4FB5"/>
    <w:rsid w:val="592C0543"/>
    <w:rsid w:val="593E5EF4"/>
    <w:rsid w:val="59613991"/>
    <w:rsid w:val="59777658"/>
    <w:rsid w:val="59822285"/>
    <w:rsid w:val="598B6C60"/>
    <w:rsid w:val="59AA2E4E"/>
    <w:rsid w:val="59C0439F"/>
    <w:rsid w:val="59FD0AEE"/>
    <w:rsid w:val="5A294C0A"/>
    <w:rsid w:val="5A585381"/>
    <w:rsid w:val="5A6A4B79"/>
    <w:rsid w:val="5A6B2D19"/>
    <w:rsid w:val="5A706581"/>
    <w:rsid w:val="5A9B2ED2"/>
    <w:rsid w:val="5A9F6E67"/>
    <w:rsid w:val="5ABE2233"/>
    <w:rsid w:val="5ADC0752"/>
    <w:rsid w:val="5AE20B01"/>
    <w:rsid w:val="5AEB18AD"/>
    <w:rsid w:val="5AF120D9"/>
    <w:rsid w:val="5B251675"/>
    <w:rsid w:val="5BC908AF"/>
    <w:rsid w:val="5BDF5D95"/>
    <w:rsid w:val="5BFE7528"/>
    <w:rsid w:val="5C175C45"/>
    <w:rsid w:val="5C233B7F"/>
    <w:rsid w:val="5C290371"/>
    <w:rsid w:val="5C7D20F2"/>
    <w:rsid w:val="5CA0005D"/>
    <w:rsid w:val="5D6323CD"/>
    <w:rsid w:val="5DDB159E"/>
    <w:rsid w:val="5E061885"/>
    <w:rsid w:val="5E2467F1"/>
    <w:rsid w:val="5ED679F2"/>
    <w:rsid w:val="5EF66CB1"/>
    <w:rsid w:val="5F1A2B43"/>
    <w:rsid w:val="5F1D47FE"/>
    <w:rsid w:val="5F390E58"/>
    <w:rsid w:val="5F4B3F80"/>
    <w:rsid w:val="5F5875E4"/>
    <w:rsid w:val="5F6D5715"/>
    <w:rsid w:val="5FB837BB"/>
    <w:rsid w:val="5FBD1D4D"/>
    <w:rsid w:val="5FDC7055"/>
    <w:rsid w:val="5FED5F7E"/>
    <w:rsid w:val="5FF27117"/>
    <w:rsid w:val="603154C1"/>
    <w:rsid w:val="60CC405A"/>
    <w:rsid w:val="6113736E"/>
    <w:rsid w:val="613B6716"/>
    <w:rsid w:val="613D7634"/>
    <w:rsid w:val="61831D33"/>
    <w:rsid w:val="61E215D8"/>
    <w:rsid w:val="621B3775"/>
    <w:rsid w:val="62364782"/>
    <w:rsid w:val="627961EF"/>
    <w:rsid w:val="62EE3692"/>
    <w:rsid w:val="63520F1A"/>
    <w:rsid w:val="63682FEE"/>
    <w:rsid w:val="63765547"/>
    <w:rsid w:val="63927590"/>
    <w:rsid w:val="63932865"/>
    <w:rsid w:val="6394356A"/>
    <w:rsid w:val="63C61B2C"/>
    <w:rsid w:val="63C75988"/>
    <w:rsid w:val="63D40BE9"/>
    <w:rsid w:val="63E8362C"/>
    <w:rsid w:val="63F41FD1"/>
    <w:rsid w:val="63F45C31"/>
    <w:rsid w:val="64102431"/>
    <w:rsid w:val="643F6E5C"/>
    <w:rsid w:val="6454481E"/>
    <w:rsid w:val="647E189B"/>
    <w:rsid w:val="649C61C5"/>
    <w:rsid w:val="64A5243A"/>
    <w:rsid w:val="64B67C3B"/>
    <w:rsid w:val="64CD637E"/>
    <w:rsid w:val="64F531DE"/>
    <w:rsid w:val="651B533C"/>
    <w:rsid w:val="65373578"/>
    <w:rsid w:val="655D7F53"/>
    <w:rsid w:val="65766A16"/>
    <w:rsid w:val="65B5753E"/>
    <w:rsid w:val="65DF2605"/>
    <w:rsid w:val="668D2F93"/>
    <w:rsid w:val="66A575B3"/>
    <w:rsid w:val="66AF3F8D"/>
    <w:rsid w:val="671D552C"/>
    <w:rsid w:val="671E0C9B"/>
    <w:rsid w:val="671F124A"/>
    <w:rsid w:val="67284C27"/>
    <w:rsid w:val="67573B25"/>
    <w:rsid w:val="677A33C6"/>
    <w:rsid w:val="67B657F0"/>
    <w:rsid w:val="67B83316"/>
    <w:rsid w:val="67F60081"/>
    <w:rsid w:val="67F87BB6"/>
    <w:rsid w:val="6819741F"/>
    <w:rsid w:val="681F6961"/>
    <w:rsid w:val="68330BEE"/>
    <w:rsid w:val="68610A2F"/>
    <w:rsid w:val="686D2352"/>
    <w:rsid w:val="68805514"/>
    <w:rsid w:val="68916F6D"/>
    <w:rsid w:val="68AB6E74"/>
    <w:rsid w:val="68F97526"/>
    <w:rsid w:val="68FE4731"/>
    <w:rsid w:val="6904039B"/>
    <w:rsid w:val="690D2266"/>
    <w:rsid w:val="69316E2F"/>
    <w:rsid w:val="694E2071"/>
    <w:rsid w:val="69561038"/>
    <w:rsid w:val="69766163"/>
    <w:rsid w:val="697A3B33"/>
    <w:rsid w:val="69831701"/>
    <w:rsid w:val="69BF6BDD"/>
    <w:rsid w:val="69C73CE4"/>
    <w:rsid w:val="69D44760"/>
    <w:rsid w:val="6A303637"/>
    <w:rsid w:val="6A3273AF"/>
    <w:rsid w:val="6A417B5F"/>
    <w:rsid w:val="6A520EC7"/>
    <w:rsid w:val="6AF87E20"/>
    <w:rsid w:val="6B322639"/>
    <w:rsid w:val="6B413622"/>
    <w:rsid w:val="6B640CD1"/>
    <w:rsid w:val="6B84713A"/>
    <w:rsid w:val="6BAE6F0A"/>
    <w:rsid w:val="6BBB58D5"/>
    <w:rsid w:val="6BE446D9"/>
    <w:rsid w:val="6C0277D5"/>
    <w:rsid w:val="6C636C38"/>
    <w:rsid w:val="6CA8193B"/>
    <w:rsid w:val="6CB322FE"/>
    <w:rsid w:val="6CB95B66"/>
    <w:rsid w:val="6CDA7C1A"/>
    <w:rsid w:val="6DA8381C"/>
    <w:rsid w:val="6DB34098"/>
    <w:rsid w:val="6DB545B6"/>
    <w:rsid w:val="6DD7692D"/>
    <w:rsid w:val="6DE02FB4"/>
    <w:rsid w:val="6E514CED"/>
    <w:rsid w:val="6E784265"/>
    <w:rsid w:val="6E7A1325"/>
    <w:rsid w:val="6E8201DA"/>
    <w:rsid w:val="6E93082B"/>
    <w:rsid w:val="6EB563D5"/>
    <w:rsid w:val="6EBE5374"/>
    <w:rsid w:val="6EC15B3F"/>
    <w:rsid w:val="6ED92677"/>
    <w:rsid w:val="6EDB7AE8"/>
    <w:rsid w:val="6EF0218F"/>
    <w:rsid w:val="6F125A01"/>
    <w:rsid w:val="6F1277AF"/>
    <w:rsid w:val="6F225983"/>
    <w:rsid w:val="6F4C5C54"/>
    <w:rsid w:val="6F6E34E9"/>
    <w:rsid w:val="6F771D08"/>
    <w:rsid w:val="6F8A10CB"/>
    <w:rsid w:val="6FAA3E8C"/>
    <w:rsid w:val="6FFC5590"/>
    <w:rsid w:val="700510C2"/>
    <w:rsid w:val="70383246"/>
    <w:rsid w:val="7054436B"/>
    <w:rsid w:val="706D1DD0"/>
    <w:rsid w:val="70856B87"/>
    <w:rsid w:val="70911EA7"/>
    <w:rsid w:val="70D527EE"/>
    <w:rsid w:val="70FF3D63"/>
    <w:rsid w:val="715B5300"/>
    <w:rsid w:val="71726A5E"/>
    <w:rsid w:val="71727DAF"/>
    <w:rsid w:val="71775BB5"/>
    <w:rsid w:val="71D27F8A"/>
    <w:rsid w:val="71EC3115"/>
    <w:rsid w:val="72150A7D"/>
    <w:rsid w:val="72255A4C"/>
    <w:rsid w:val="72553024"/>
    <w:rsid w:val="72606E27"/>
    <w:rsid w:val="72785B7B"/>
    <w:rsid w:val="72E96A79"/>
    <w:rsid w:val="73122968"/>
    <w:rsid w:val="731F249B"/>
    <w:rsid w:val="731F5D5E"/>
    <w:rsid w:val="739D19BD"/>
    <w:rsid w:val="73C51AD5"/>
    <w:rsid w:val="73C82B32"/>
    <w:rsid w:val="73CC2623"/>
    <w:rsid w:val="73D404BC"/>
    <w:rsid w:val="73EE2EBE"/>
    <w:rsid w:val="73FF488A"/>
    <w:rsid w:val="741E793C"/>
    <w:rsid w:val="745E3944"/>
    <w:rsid w:val="747B788E"/>
    <w:rsid w:val="74E0413E"/>
    <w:rsid w:val="74FA75E3"/>
    <w:rsid w:val="75047B9A"/>
    <w:rsid w:val="758F6774"/>
    <w:rsid w:val="75BE5753"/>
    <w:rsid w:val="75D02172"/>
    <w:rsid w:val="75EB2B08"/>
    <w:rsid w:val="760140DA"/>
    <w:rsid w:val="76312C11"/>
    <w:rsid w:val="7635099D"/>
    <w:rsid w:val="76A038F3"/>
    <w:rsid w:val="76A21561"/>
    <w:rsid w:val="76ED4AC8"/>
    <w:rsid w:val="770D795B"/>
    <w:rsid w:val="77302EC9"/>
    <w:rsid w:val="77503105"/>
    <w:rsid w:val="775C313C"/>
    <w:rsid w:val="776562FA"/>
    <w:rsid w:val="77762421"/>
    <w:rsid w:val="77A17922"/>
    <w:rsid w:val="77AC54B6"/>
    <w:rsid w:val="77B56B1F"/>
    <w:rsid w:val="77BD2282"/>
    <w:rsid w:val="77D50EF7"/>
    <w:rsid w:val="780F09F4"/>
    <w:rsid w:val="78236589"/>
    <w:rsid w:val="784B4F5A"/>
    <w:rsid w:val="78686692"/>
    <w:rsid w:val="78A90480"/>
    <w:rsid w:val="78B605DA"/>
    <w:rsid w:val="78C0027C"/>
    <w:rsid w:val="78CD2BE8"/>
    <w:rsid w:val="78DD498A"/>
    <w:rsid w:val="78E905DA"/>
    <w:rsid w:val="790008EB"/>
    <w:rsid w:val="79050385"/>
    <w:rsid w:val="79272862"/>
    <w:rsid w:val="79492020"/>
    <w:rsid w:val="79893B4B"/>
    <w:rsid w:val="79CC4944"/>
    <w:rsid w:val="79CE4C1B"/>
    <w:rsid w:val="7A364017"/>
    <w:rsid w:val="7A4078C7"/>
    <w:rsid w:val="7A5C3FD5"/>
    <w:rsid w:val="7A5F5873"/>
    <w:rsid w:val="7A7609A9"/>
    <w:rsid w:val="7A7D0B4B"/>
    <w:rsid w:val="7A8265E1"/>
    <w:rsid w:val="7A916B07"/>
    <w:rsid w:val="7AA0279B"/>
    <w:rsid w:val="7AB756AF"/>
    <w:rsid w:val="7AFB37ED"/>
    <w:rsid w:val="7B017E0B"/>
    <w:rsid w:val="7B220D7A"/>
    <w:rsid w:val="7B530F64"/>
    <w:rsid w:val="7B6167B8"/>
    <w:rsid w:val="7B686D42"/>
    <w:rsid w:val="7B841746"/>
    <w:rsid w:val="7C242826"/>
    <w:rsid w:val="7C2C0B75"/>
    <w:rsid w:val="7C364721"/>
    <w:rsid w:val="7C457811"/>
    <w:rsid w:val="7C547659"/>
    <w:rsid w:val="7C6C5AC7"/>
    <w:rsid w:val="7CC438F4"/>
    <w:rsid w:val="7CC6544B"/>
    <w:rsid w:val="7CF36E72"/>
    <w:rsid w:val="7D0239FF"/>
    <w:rsid w:val="7D0B2887"/>
    <w:rsid w:val="7D5568A5"/>
    <w:rsid w:val="7D5D4690"/>
    <w:rsid w:val="7D5E40CD"/>
    <w:rsid w:val="7DB66245"/>
    <w:rsid w:val="7DCA4841"/>
    <w:rsid w:val="7DCD56F2"/>
    <w:rsid w:val="7DD563B9"/>
    <w:rsid w:val="7DDB16B4"/>
    <w:rsid w:val="7E156974"/>
    <w:rsid w:val="7E3D0C7E"/>
    <w:rsid w:val="7E81400A"/>
    <w:rsid w:val="7EAF501B"/>
    <w:rsid w:val="7EF742CC"/>
    <w:rsid w:val="7F001CE7"/>
    <w:rsid w:val="7F6A1973"/>
    <w:rsid w:val="7F7C09C2"/>
    <w:rsid w:val="7F833DB1"/>
    <w:rsid w:val="7FE4078B"/>
    <w:rsid w:val="7FE47E50"/>
    <w:rsid w:val="7FF13F6C"/>
    <w:rsid w:val="EF7F5C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5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5"/>
    <w:next w:val="1"/>
    <w:link w:val="54"/>
    <w:qFormat/>
    <w:uiPriority w:val="0"/>
    <w:pPr>
      <w:keepNext/>
      <w:keepLines/>
      <w:numPr>
        <w:ilvl w:val="2"/>
        <w:numId w:val="1"/>
      </w:numPr>
      <w:spacing w:line="360" w:lineRule="auto"/>
      <w:outlineLvl w:val="2"/>
    </w:pPr>
    <w:rPr>
      <w:rFonts w:ascii="宋体" w:hAnsi="Arial Black" w:eastAsia="仿宋_GB2312"/>
      <w:kern w:val="21"/>
      <w:sz w:val="28"/>
    </w:rPr>
  </w:style>
  <w:style w:type="paragraph" w:styleId="6">
    <w:name w:val="heading 4"/>
    <w:basedOn w:val="1"/>
    <w:next w:val="1"/>
    <w:link w:val="55"/>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56"/>
    <w:qFormat/>
    <w:uiPriority w:val="0"/>
    <w:pPr>
      <w:keepNext/>
      <w:keepLines/>
      <w:tabs>
        <w:tab w:val="left" w:pos="0"/>
        <w:tab w:val="left" w:pos="1008"/>
      </w:tabs>
      <w:spacing w:before="280" w:after="290" w:line="376" w:lineRule="atLeast"/>
      <w:ind w:left="1008" w:hanging="432"/>
      <w:outlineLvl w:val="4"/>
    </w:pPr>
    <w:rPr>
      <w:rFonts w:ascii="Calibri" w:hAnsi="Calibri"/>
      <w:b/>
      <w:sz w:val="28"/>
      <w:szCs w:val="20"/>
    </w:rPr>
  </w:style>
  <w:style w:type="paragraph" w:styleId="8">
    <w:name w:val="heading 6"/>
    <w:basedOn w:val="1"/>
    <w:next w:val="1"/>
    <w:link w:val="57"/>
    <w:qFormat/>
    <w:uiPriority w:val="0"/>
    <w:pPr>
      <w:keepNext/>
      <w:keepLines/>
      <w:tabs>
        <w:tab w:val="left" w:pos="0"/>
        <w:tab w:val="left" w:pos="1152"/>
      </w:tabs>
      <w:spacing w:before="240" w:after="64" w:line="320" w:lineRule="atLeast"/>
      <w:ind w:left="1152" w:hanging="432"/>
      <w:outlineLvl w:val="5"/>
    </w:pPr>
    <w:rPr>
      <w:rFonts w:ascii="Arial" w:hAnsi="Arial" w:eastAsia="黑体"/>
      <w:b/>
      <w:szCs w:val="20"/>
    </w:rPr>
  </w:style>
  <w:style w:type="paragraph" w:styleId="9">
    <w:name w:val="heading 7"/>
    <w:basedOn w:val="1"/>
    <w:next w:val="1"/>
    <w:link w:val="58"/>
    <w:qFormat/>
    <w:uiPriority w:val="0"/>
    <w:pPr>
      <w:keepNext/>
      <w:keepLines/>
      <w:tabs>
        <w:tab w:val="left" w:pos="0"/>
        <w:tab w:val="left" w:pos="1296"/>
      </w:tabs>
      <w:spacing w:before="240" w:after="64" w:line="320" w:lineRule="atLeast"/>
      <w:ind w:left="1296" w:hanging="288"/>
      <w:outlineLvl w:val="6"/>
    </w:pPr>
    <w:rPr>
      <w:rFonts w:ascii="Calibri" w:hAnsi="Calibri"/>
      <w:b/>
      <w:szCs w:val="20"/>
    </w:rPr>
  </w:style>
  <w:style w:type="paragraph" w:styleId="10">
    <w:name w:val="heading 8"/>
    <w:basedOn w:val="1"/>
    <w:next w:val="1"/>
    <w:link w:val="59"/>
    <w:qFormat/>
    <w:uiPriority w:val="0"/>
    <w:pPr>
      <w:keepNext/>
      <w:keepLines/>
      <w:tabs>
        <w:tab w:val="left" w:pos="0"/>
        <w:tab w:val="left" w:pos="1440"/>
      </w:tabs>
      <w:spacing w:before="240" w:after="64" w:line="320" w:lineRule="atLeast"/>
      <w:ind w:left="1440" w:hanging="432"/>
      <w:outlineLvl w:val="7"/>
    </w:pPr>
    <w:rPr>
      <w:rFonts w:ascii="Arial" w:hAnsi="Arial" w:eastAsia="黑体"/>
      <w:szCs w:val="20"/>
    </w:rPr>
  </w:style>
  <w:style w:type="paragraph" w:styleId="11">
    <w:name w:val="heading 9"/>
    <w:basedOn w:val="1"/>
    <w:next w:val="1"/>
    <w:link w:val="60"/>
    <w:qFormat/>
    <w:uiPriority w:val="0"/>
    <w:pPr>
      <w:keepNext/>
      <w:keepLines/>
      <w:tabs>
        <w:tab w:val="left" w:pos="0"/>
        <w:tab w:val="left" w:pos="1584"/>
      </w:tabs>
      <w:spacing w:before="240" w:after="64" w:line="320" w:lineRule="atLeast"/>
      <w:ind w:left="1584" w:hanging="144"/>
      <w:outlineLvl w:val="8"/>
    </w:pPr>
    <w:rPr>
      <w:rFonts w:ascii="Arial" w:hAnsi="Arial" w:eastAsia="黑体"/>
      <w:szCs w:val="20"/>
    </w:rPr>
  </w:style>
  <w:style w:type="character" w:default="1" w:styleId="43">
    <w:name w:val="Default Paragraph Font"/>
    <w:semiHidden/>
    <w:qFormat/>
    <w:uiPriority w:val="0"/>
  </w:style>
  <w:style w:type="table" w:default="1" w:styleId="41">
    <w:name w:val="Normal Table"/>
    <w:semiHidden/>
    <w:qFormat/>
    <w:uiPriority w:val="0"/>
    <w:tblPr>
      <w:tblCellMar>
        <w:top w:w="0" w:type="dxa"/>
        <w:left w:w="108" w:type="dxa"/>
        <w:bottom w:w="0" w:type="dxa"/>
        <w:right w:w="108" w:type="dxa"/>
      </w:tblCellMar>
    </w:tblPr>
  </w:style>
  <w:style w:type="paragraph" w:styleId="5">
    <w:name w:val="Title"/>
    <w:basedOn w:val="1"/>
    <w:qFormat/>
    <w:uiPriority w:val="0"/>
    <w:pPr>
      <w:spacing w:before="240" w:after="60"/>
      <w:jc w:val="center"/>
      <w:outlineLvl w:val="0"/>
    </w:pPr>
    <w:rPr>
      <w:rFonts w:ascii="Arial" w:hAnsi="Arial"/>
      <w:b/>
      <w:sz w:val="32"/>
    </w:rPr>
  </w:style>
  <w:style w:type="paragraph" w:styleId="12">
    <w:name w:val="Normal Indent"/>
    <w:basedOn w:val="1"/>
    <w:next w:val="13"/>
    <w:link w:val="61"/>
    <w:qFormat/>
    <w:uiPriority w:val="0"/>
    <w:pPr>
      <w:ind w:firstLine="420" w:firstLineChars="200"/>
    </w:pPr>
    <w:rPr>
      <w:rFonts w:ascii="Calibri" w:hAnsi="Calibri"/>
      <w:szCs w:val="20"/>
    </w:rPr>
  </w:style>
  <w:style w:type="paragraph" w:styleId="13">
    <w:name w:val="Body Text First Indent 2"/>
    <w:basedOn w:val="14"/>
    <w:next w:val="1"/>
    <w:link w:val="81"/>
    <w:qFormat/>
    <w:uiPriority w:val="99"/>
    <w:pPr>
      <w:ind w:firstLine="420"/>
    </w:pPr>
  </w:style>
  <w:style w:type="paragraph" w:styleId="14">
    <w:name w:val="Body Text Indent"/>
    <w:basedOn w:val="1"/>
    <w:next w:val="1"/>
    <w:link w:val="67"/>
    <w:qFormat/>
    <w:uiPriority w:val="0"/>
    <w:pPr>
      <w:spacing w:after="120"/>
      <w:ind w:left="420" w:leftChars="200"/>
    </w:pPr>
    <w:rPr>
      <w:kern w:val="0"/>
      <w:sz w:val="24"/>
      <w:szCs w:val="20"/>
    </w:rPr>
  </w:style>
  <w:style w:type="paragraph" w:styleId="15">
    <w:name w:val="caption"/>
    <w:basedOn w:val="1"/>
    <w:next w:val="1"/>
    <w:link w:val="62"/>
    <w:qFormat/>
    <w:uiPriority w:val="0"/>
    <w:rPr>
      <w:rFonts w:ascii="Arial" w:hAnsi="Arial" w:eastAsia="黑体"/>
      <w:sz w:val="20"/>
      <w:szCs w:val="20"/>
    </w:rPr>
  </w:style>
  <w:style w:type="paragraph" w:styleId="16">
    <w:name w:val="List Bullet"/>
    <w:basedOn w:val="1"/>
    <w:qFormat/>
    <w:uiPriority w:val="0"/>
    <w:pPr>
      <w:spacing w:line="520" w:lineRule="exact"/>
      <w:ind w:firstLine="200" w:firstLineChars="200"/>
      <w:jc w:val="center"/>
    </w:pPr>
    <w:rPr>
      <w:rFonts w:ascii="Calibri" w:hAnsi="Calibri"/>
      <w:sz w:val="24"/>
      <w:szCs w:val="20"/>
    </w:rPr>
  </w:style>
  <w:style w:type="paragraph" w:styleId="17">
    <w:name w:val="Document Map"/>
    <w:basedOn w:val="1"/>
    <w:link w:val="63"/>
    <w:qFormat/>
    <w:uiPriority w:val="0"/>
    <w:pPr>
      <w:shd w:val="clear" w:color="auto" w:fill="000080"/>
    </w:pPr>
    <w:rPr>
      <w:rFonts w:ascii="Calibri" w:hAnsi="Calibri" w:eastAsia="宋体" w:cs="Times New Roman"/>
      <w:szCs w:val="20"/>
      <w:shd w:val="clear" w:color="auto" w:fill="000080"/>
    </w:rPr>
  </w:style>
  <w:style w:type="paragraph" w:styleId="18">
    <w:name w:val="annotation text"/>
    <w:basedOn w:val="1"/>
    <w:link w:val="64"/>
    <w:qFormat/>
    <w:uiPriority w:val="0"/>
    <w:pPr>
      <w:jc w:val="left"/>
    </w:pPr>
    <w:rPr>
      <w:kern w:val="0"/>
      <w:sz w:val="24"/>
      <w:szCs w:val="20"/>
    </w:rPr>
  </w:style>
  <w:style w:type="paragraph" w:styleId="19">
    <w:name w:val="Body Text 3"/>
    <w:basedOn w:val="1"/>
    <w:link w:val="65"/>
    <w:qFormat/>
    <w:uiPriority w:val="0"/>
    <w:rPr>
      <w:rFonts w:ascii="Calibri" w:hAnsi="Calibri"/>
      <w:sz w:val="24"/>
      <w:szCs w:val="20"/>
    </w:rPr>
  </w:style>
  <w:style w:type="paragraph" w:styleId="20">
    <w:name w:val="Body Text"/>
    <w:basedOn w:val="1"/>
    <w:next w:val="1"/>
    <w:link w:val="66"/>
    <w:qFormat/>
    <w:uiPriority w:val="0"/>
    <w:pPr>
      <w:widowControl/>
      <w:snapToGrid w:val="0"/>
      <w:spacing w:before="60" w:after="160" w:line="259" w:lineRule="auto"/>
      <w:ind w:right="113"/>
    </w:pPr>
    <w:rPr>
      <w:kern w:val="0"/>
      <w:sz w:val="18"/>
      <w:szCs w:val="20"/>
    </w:rPr>
  </w:style>
  <w:style w:type="paragraph" w:styleId="21">
    <w:name w:val="Block Text"/>
    <w:basedOn w:val="1"/>
    <w:qFormat/>
    <w:uiPriority w:val="0"/>
    <w:pPr>
      <w:spacing w:after="120"/>
      <w:ind w:left="1440" w:leftChars="700" w:right="1440" w:rightChars="700"/>
    </w:pPr>
  </w:style>
  <w:style w:type="paragraph" w:styleId="22">
    <w:name w:val="toc 3"/>
    <w:basedOn w:val="1"/>
    <w:next w:val="1"/>
    <w:qFormat/>
    <w:uiPriority w:val="0"/>
    <w:pPr>
      <w:ind w:left="840" w:leftChars="400"/>
    </w:pPr>
    <w:rPr>
      <w:szCs w:val="20"/>
    </w:rPr>
  </w:style>
  <w:style w:type="paragraph" w:styleId="23">
    <w:name w:val="Plain Text"/>
    <w:basedOn w:val="1"/>
    <w:link w:val="68"/>
    <w:qFormat/>
    <w:uiPriority w:val="0"/>
    <w:pPr>
      <w:spacing w:line="360" w:lineRule="auto"/>
    </w:pPr>
    <w:rPr>
      <w:rFonts w:ascii="宋体" w:hAnsi="Courier New"/>
      <w:kern w:val="21"/>
    </w:rPr>
  </w:style>
  <w:style w:type="paragraph" w:styleId="24">
    <w:name w:val="Date"/>
    <w:basedOn w:val="1"/>
    <w:next w:val="1"/>
    <w:link w:val="69"/>
    <w:qFormat/>
    <w:uiPriority w:val="0"/>
    <w:pPr>
      <w:ind w:left="100" w:leftChars="2500"/>
    </w:pPr>
    <w:rPr>
      <w:kern w:val="0"/>
      <w:sz w:val="24"/>
      <w:szCs w:val="20"/>
    </w:rPr>
  </w:style>
  <w:style w:type="paragraph" w:styleId="25">
    <w:name w:val="Body Text Indent 2"/>
    <w:basedOn w:val="1"/>
    <w:link w:val="70"/>
    <w:qFormat/>
    <w:uiPriority w:val="0"/>
    <w:pPr>
      <w:spacing w:line="360" w:lineRule="auto"/>
      <w:ind w:firstLine="573"/>
    </w:pPr>
    <w:rPr>
      <w:rFonts w:ascii="Calibri" w:hAnsi="Calibri" w:eastAsia="宋体" w:cs="Times New Roman"/>
      <w:sz w:val="28"/>
      <w:szCs w:val="20"/>
    </w:rPr>
  </w:style>
  <w:style w:type="paragraph" w:styleId="26">
    <w:name w:val="Balloon Text"/>
    <w:basedOn w:val="1"/>
    <w:link w:val="71"/>
    <w:qFormat/>
    <w:uiPriority w:val="0"/>
    <w:rPr>
      <w:kern w:val="0"/>
      <w:sz w:val="18"/>
      <w:szCs w:val="20"/>
    </w:rPr>
  </w:style>
  <w:style w:type="paragraph" w:styleId="27">
    <w:name w:val="footer"/>
    <w:basedOn w:val="1"/>
    <w:link w:val="72"/>
    <w:qFormat/>
    <w:uiPriority w:val="99"/>
    <w:pPr>
      <w:tabs>
        <w:tab w:val="center" w:pos="4153"/>
        <w:tab w:val="right" w:pos="8306"/>
      </w:tabs>
      <w:snapToGrid w:val="0"/>
      <w:jc w:val="left"/>
    </w:pPr>
    <w:rPr>
      <w:kern w:val="0"/>
      <w:sz w:val="18"/>
      <w:szCs w:val="20"/>
    </w:rPr>
  </w:style>
  <w:style w:type="paragraph" w:styleId="28">
    <w:name w:val="header"/>
    <w:basedOn w:val="1"/>
    <w:link w:val="73"/>
    <w:qFormat/>
    <w:uiPriority w:val="0"/>
    <w:pPr>
      <w:pBdr>
        <w:bottom w:val="single" w:color="auto" w:sz="6" w:space="1"/>
      </w:pBdr>
      <w:tabs>
        <w:tab w:val="center" w:pos="4153"/>
        <w:tab w:val="right" w:pos="8306"/>
      </w:tabs>
      <w:snapToGrid w:val="0"/>
      <w:jc w:val="center"/>
    </w:pPr>
    <w:rPr>
      <w:kern w:val="0"/>
      <w:sz w:val="18"/>
      <w:szCs w:val="20"/>
    </w:rPr>
  </w:style>
  <w:style w:type="paragraph" w:styleId="29">
    <w:name w:val="toc 1"/>
    <w:basedOn w:val="1"/>
    <w:next w:val="1"/>
    <w:qFormat/>
    <w:uiPriority w:val="0"/>
    <w:pPr>
      <w:tabs>
        <w:tab w:val="left" w:pos="2625"/>
        <w:tab w:val="right" w:leader="dot" w:pos="9004"/>
      </w:tabs>
      <w:spacing w:line="460" w:lineRule="exact"/>
    </w:pPr>
    <w:rPr>
      <w:rFonts w:ascii="宋体" w:hAnsi="Calibri"/>
      <w:b/>
      <w:sz w:val="24"/>
      <w:szCs w:val="20"/>
    </w:rPr>
  </w:style>
  <w:style w:type="paragraph" w:styleId="30">
    <w:name w:val="Subtitle"/>
    <w:basedOn w:val="1"/>
    <w:link w:val="74"/>
    <w:qFormat/>
    <w:uiPriority w:val="0"/>
    <w:pPr>
      <w:spacing w:before="240" w:after="60" w:line="312" w:lineRule="auto"/>
      <w:jc w:val="center"/>
      <w:outlineLvl w:val="1"/>
    </w:pPr>
    <w:rPr>
      <w:rFonts w:ascii="Arial" w:hAnsi="Arial" w:eastAsia="宋体" w:cs="Times New Roman"/>
      <w:b/>
      <w:kern w:val="28"/>
      <w:sz w:val="32"/>
      <w:szCs w:val="20"/>
    </w:rPr>
  </w:style>
  <w:style w:type="paragraph" w:styleId="31">
    <w:name w:val="List"/>
    <w:basedOn w:val="1"/>
    <w:qFormat/>
    <w:uiPriority w:val="0"/>
    <w:pPr>
      <w:ind w:left="200" w:hanging="200" w:hangingChars="200"/>
    </w:pPr>
  </w:style>
  <w:style w:type="paragraph" w:styleId="32">
    <w:name w:val="toc 6"/>
    <w:basedOn w:val="1"/>
    <w:next w:val="1"/>
    <w:qFormat/>
    <w:uiPriority w:val="0"/>
    <w:pPr>
      <w:ind w:left="1000" w:leftChars="1000"/>
    </w:pPr>
    <w:rPr>
      <w:rFonts w:ascii="Calibri" w:hAnsi="Calibri"/>
    </w:rPr>
  </w:style>
  <w:style w:type="paragraph" w:styleId="33">
    <w:name w:val="Body Text Indent 3"/>
    <w:basedOn w:val="1"/>
    <w:link w:val="75"/>
    <w:qFormat/>
    <w:uiPriority w:val="0"/>
    <w:pPr>
      <w:adjustRightInd w:val="0"/>
      <w:spacing w:before="120"/>
      <w:ind w:firstLine="488"/>
      <w:textAlignment w:val="baseline"/>
    </w:pPr>
    <w:rPr>
      <w:sz w:val="24"/>
    </w:rPr>
  </w:style>
  <w:style w:type="paragraph" w:styleId="34">
    <w:name w:val="toc 2"/>
    <w:basedOn w:val="1"/>
    <w:next w:val="1"/>
    <w:qFormat/>
    <w:uiPriority w:val="0"/>
    <w:pPr>
      <w:ind w:left="200" w:leftChars="200"/>
    </w:pPr>
    <w:rPr>
      <w:rFonts w:ascii="Calibri" w:hAnsi="Calibri" w:eastAsia="仿宋_GB2312"/>
      <w:sz w:val="24"/>
    </w:rPr>
  </w:style>
  <w:style w:type="paragraph" w:styleId="35">
    <w:name w:val="Body Text 2"/>
    <w:basedOn w:val="1"/>
    <w:link w:val="76"/>
    <w:qFormat/>
    <w:uiPriority w:val="0"/>
    <w:rPr>
      <w:rFonts w:ascii="Calibri" w:hAnsi="Calibri" w:eastAsia="宋体" w:cs="Times New Roman"/>
      <w:sz w:val="24"/>
      <w:szCs w:val="20"/>
    </w:rPr>
  </w:style>
  <w:style w:type="paragraph" w:styleId="36">
    <w:name w:val="HTML Preformatted"/>
    <w:basedOn w:val="1"/>
    <w:link w:val="7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宋体" w:cs="Courier New"/>
      <w:sz w:val="20"/>
      <w:szCs w:val="20"/>
    </w:rPr>
  </w:style>
  <w:style w:type="paragraph" w:styleId="37">
    <w:name w:val="Normal (Web)"/>
    <w:basedOn w:val="1"/>
    <w:link w:val="78"/>
    <w:qFormat/>
    <w:uiPriority w:val="0"/>
    <w:pPr>
      <w:widowControl/>
      <w:spacing w:before="100" w:beforeAutospacing="1" w:after="100" w:afterAutospacing="1"/>
      <w:jc w:val="left"/>
    </w:pPr>
    <w:rPr>
      <w:rFonts w:ascii="宋体" w:hAnsi="宋体"/>
      <w:kern w:val="0"/>
      <w:sz w:val="24"/>
      <w:szCs w:val="20"/>
    </w:rPr>
  </w:style>
  <w:style w:type="paragraph" w:styleId="38">
    <w:name w:val="index 1"/>
    <w:basedOn w:val="1"/>
    <w:next w:val="1"/>
    <w:qFormat/>
    <w:uiPriority w:val="0"/>
    <w:pPr>
      <w:spacing w:line="360" w:lineRule="exact"/>
      <w:jc w:val="center"/>
    </w:pPr>
    <w:rPr>
      <w:rFonts w:ascii="Calibri" w:hAnsi="Calibri"/>
      <w:spacing w:val="-20"/>
    </w:rPr>
  </w:style>
  <w:style w:type="paragraph" w:styleId="39">
    <w:name w:val="annotation subject"/>
    <w:basedOn w:val="18"/>
    <w:next w:val="18"/>
    <w:link w:val="79"/>
    <w:qFormat/>
    <w:uiPriority w:val="0"/>
    <w:rPr>
      <w:b/>
      <w:sz w:val="24"/>
      <w:szCs w:val="20"/>
    </w:rPr>
  </w:style>
  <w:style w:type="paragraph" w:styleId="40">
    <w:name w:val="Body Text First Indent"/>
    <w:basedOn w:val="20"/>
    <w:next w:val="1"/>
    <w:link w:val="80"/>
    <w:qFormat/>
    <w:uiPriority w:val="0"/>
    <w:pPr>
      <w:ind w:firstLine="420" w:firstLineChars="100"/>
    </w:pPr>
  </w:style>
  <w:style w:type="table" w:styleId="42">
    <w:name w:val="Table Grid"/>
    <w:basedOn w:val="4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rPr>
  </w:style>
  <w:style w:type="character" w:styleId="45">
    <w:name w:val="page number"/>
    <w:qFormat/>
    <w:uiPriority w:val="0"/>
  </w:style>
  <w:style w:type="character" w:styleId="46">
    <w:name w:val="FollowedHyperlink"/>
    <w:qFormat/>
    <w:uiPriority w:val="99"/>
    <w:rPr>
      <w:color w:val="800080"/>
      <w:szCs w:val="24"/>
      <w:u w:val="single"/>
    </w:rPr>
  </w:style>
  <w:style w:type="character" w:styleId="47">
    <w:name w:val="HTML Definition"/>
    <w:qFormat/>
    <w:uiPriority w:val="0"/>
    <w:rPr>
      <w:i/>
      <w:iCs/>
    </w:rPr>
  </w:style>
  <w:style w:type="character" w:styleId="48">
    <w:name w:val="Hyperlink"/>
    <w:qFormat/>
    <w:uiPriority w:val="0"/>
    <w:rPr>
      <w:color w:val="0000FF"/>
      <w:u w:val="single"/>
    </w:rPr>
  </w:style>
  <w:style w:type="character" w:styleId="49">
    <w:name w:val="annotation reference"/>
    <w:qFormat/>
    <w:uiPriority w:val="0"/>
    <w:rPr>
      <w:sz w:val="21"/>
    </w:rPr>
  </w:style>
  <w:style w:type="paragraph" w:customStyle="1" w:styleId="50">
    <w:name w:val="标题3x"/>
    <w:basedOn w:val="51"/>
    <w:qFormat/>
    <w:uiPriority w:val="0"/>
    <w:pPr>
      <w:keepLines/>
      <w:autoSpaceDE/>
      <w:autoSpaceDN/>
      <w:adjustRightInd/>
      <w:spacing w:after="0" w:line="360" w:lineRule="auto"/>
    </w:pPr>
  </w:style>
  <w:style w:type="paragraph" w:customStyle="1" w:styleId="51">
    <w:name w:val="新标题3"/>
    <w:basedOn w:val="1"/>
    <w:qFormat/>
    <w:uiPriority w:val="0"/>
    <w:pPr>
      <w:keepNext/>
      <w:autoSpaceDE w:val="0"/>
      <w:autoSpaceDN w:val="0"/>
      <w:adjustRightInd w:val="0"/>
      <w:spacing w:before="120" w:after="120" w:line="460" w:lineRule="exact"/>
      <w:outlineLvl w:val="2"/>
    </w:pPr>
  </w:style>
  <w:style w:type="character" w:customStyle="1" w:styleId="52">
    <w:name w:val="标题 1 Char"/>
    <w:link w:val="2"/>
    <w:qFormat/>
    <w:uiPriority w:val="0"/>
    <w:rPr>
      <w:rFonts w:eastAsia="黑体"/>
      <w:b/>
      <w:bCs/>
      <w:color w:val="000000"/>
      <w:kern w:val="44"/>
      <w:sz w:val="30"/>
      <w:szCs w:val="30"/>
    </w:rPr>
  </w:style>
  <w:style w:type="character" w:customStyle="1" w:styleId="53">
    <w:name w:val="标题 2 Char"/>
    <w:link w:val="3"/>
    <w:qFormat/>
    <w:uiPriority w:val="0"/>
    <w:rPr>
      <w:rFonts w:ascii="宋体" w:hAnsi="宋体"/>
      <w:b/>
      <w:bCs/>
      <w:sz w:val="36"/>
      <w:szCs w:val="36"/>
    </w:rPr>
  </w:style>
  <w:style w:type="character" w:customStyle="1" w:styleId="54">
    <w:name w:val="标题 3 Char"/>
    <w:link w:val="4"/>
    <w:qFormat/>
    <w:uiPriority w:val="0"/>
    <w:rPr>
      <w:rFonts w:ascii="宋体" w:hAnsi="Arial Black" w:eastAsia="仿宋_GB2312"/>
      <w:kern w:val="21"/>
      <w:sz w:val="28"/>
      <w:szCs w:val="24"/>
    </w:rPr>
  </w:style>
  <w:style w:type="character" w:customStyle="1" w:styleId="55">
    <w:name w:val="标题 4 Char"/>
    <w:link w:val="6"/>
    <w:qFormat/>
    <w:uiPriority w:val="0"/>
    <w:rPr>
      <w:rFonts w:ascii="Arial" w:hAnsi="Arial" w:eastAsia="黑体"/>
      <w:b/>
      <w:bCs/>
      <w:kern w:val="2"/>
      <w:sz w:val="28"/>
      <w:szCs w:val="28"/>
    </w:rPr>
  </w:style>
  <w:style w:type="character" w:customStyle="1" w:styleId="56">
    <w:name w:val="标题 5 Char"/>
    <w:link w:val="7"/>
    <w:qFormat/>
    <w:uiPriority w:val="0"/>
    <w:rPr>
      <w:rFonts w:ascii="Calibri" w:hAnsi="Calibri"/>
      <w:b/>
      <w:kern w:val="2"/>
      <w:sz w:val="28"/>
    </w:rPr>
  </w:style>
  <w:style w:type="character" w:customStyle="1" w:styleId="57">
    <w:name w:val="标题 6 Char"/>
    <w:link w:val="8"/>
    <w:qFormat/>
    <w:uiPriority w:val="0"/>
    <w:rPr>
      <w:rFonts w:ascii="Arial" w:hAnsi="Arial" w:eastAsia="黑体"/>
      <w:b/>
      <w:kern w:val="2"/>
      <w:sz w:val="21"/>
    </w:rPr>
  </w:style>
  <w:style w:type="character" w:customStyle="1" w:styleId="58">
    <w:name w:val="标题 7 Char"/>
    <w:link w:val="9"/>
    <w:qFormat/>
    <w:uiPriority w:val="0"/>
    <w:rPr>
      <w:rFonts w:ascii="Calibri" w:hAnsi="Calibri"/>
      <w:b/>
      <w:kern w:val="2"/>
      <w:sz w:val="21"/>
    </w:rPr>
  </w:style>
  <w:style w:type="character" w:customStyle="1" w:styleId="59">
    <w:name w:val="标题 8 Char"/>
    <w:link w:val="10"/>
    <w:qFormat/>
    <w:uiPriority w:val="0"/>
    <w:rPr>
      <w:rFonts w:ascii="Arial" w:hAnsi="Arial" w:eastAsia="黑体"/>
      <w:kern w:val="2"/>
      <w:sz w:val="21"/>
    </w:rPr>
  </w:style>
  <w:style w:type="character" w:customStyle="1" w:styleId="60">
    <w:name w:val="标题 9 Char"/>
    <w:link w:val="11"/>
    <w:qFormat/>
    <w:uiPriority w:val="0"/>
    <w:rPr>
      <w:rFonts w:ascii="Arial" w:hAnsi="Arial" w:eastAsia="黑体"/>
      <w:kern w:val="2"/>
      <w:sz w:val="21"/>
    </w:rPr>
  </w:style>
  <w:style w:type="character" w:customStyle="1" w:styleId="61">
    <w:name w:val="正文缩进 Char"/>
    <w:link w:val="12"/>
    <w:qFormat/>
    <w:uiPriority w:val="0"/>
    <w:rPr>
      <w:rFonts w:ascii="Calibri" w:hAnsi="Calibri"/>
      <w:kern w:val="2"/>
      <w:sz w:val="21"/>
    </w:rPr>
  </w:style>
  <w:style w:type="character" w:customStyle="1" w:styleId="62">
    <w:name w:val="题注 Char"/>
    <w:link w:val="15"/>
    <w:qFormat/>
    <w:uiPriority w:val="0"/>
    <w:rPr>
      <w:rFonts w:ascii="Arial" w:hAnsi="Arial" w:eastAsia="黑体"/>
      <w:kern w:val="2"/>
    </w:rPr>
  </w:style>
  <w:style w:type="character" w:customStyle="1" w:styleId="63">
    <w:name w:val="文档结构图 Char"/>
    <w:link w:val="17"/>
    <w:qFormat/>
    <w:uiPriority w:val="0"/>
    <w:rPr>
      <w:rFonts w:ascii="Calibri" w:hAnsi="Calibri"/>
      <w:kern w:val="2"/>
      <w:sz w:val="21"/>
      <w:shd w:val="clear" w:color="auto" w:fill="000080"/>
    </w:rPr>
  </w:style>
  <w:style w:type="character" w:customStyle="1" w:styleId="64">
    <w:name w:val="批注文字 Char"/>
    <w:link w:val="18"/>
    <w:qFormat/>
    <w:uiPriority w:val="0"/>
    <w:rPr>
      <w:rFonts w:ascii="Times New Roman" w:hAnsi="Times New Roman" w:eastAsia="宋体"/>
      <w:sz w:val="24"/>
    </w:rPr>
  </w:style>
  <w:style w:type="character" w:customStyle="1" w:styleId="65">
    <w:name w:val="正文文本 3 Char"/>
    <w:link w:val="19"/>
    <w:qFormat/>
    <w:uiPriority w:val="0"/>
    <w:rPr>
      <w:rFonts w:ascii="Calibri" w:hAnsi="Calibri"/>
      <w:kern w:val="2"/>
      <w:sz w:val="24"/>
    </w:rPr>
  </w:style>
  <w:style w:type="character" w:customStyle="1" w:styleId="66">
    <w:name w:val="正文文本 Char"/>
    <w:link w:val="20"/>
    <w:qFormat/>
    <w:uiPriority w:val="0"/>
    <w:rPr>
      <w:sz w:val="18"/>
    </w:rPr>
  </w:style>
  <w:style w:type="character" w:customStyle="1" w:styleId="67">
    <w:name w:val="正文文本缩进 Char"/>
    <w:link w:val="14"/>
    <w:qFormat/>
    <w:uiPriority w:val="0"/>
    <w:rPr>
      <w:rFonts w:ascii="Times New Roman" w:hAnsi="Times New Roman" w:eastAsia="宋体"/>
      <w:sz w:val="24"/>
    </w:rPr>
  </w:style>
  <w:style w:type="character" w:customStyle="1" w:styleId="68">
    <w:name w:val="纯文本 Char"/>
    <w:link w:val="23"/>
    <w:qFormat/>
    <w:uiPriority w:val="0"/>
    <w:rPr>
      <w:rFonts w:ascii="宋体" w:hAnsi="Courier New"/>
      <w:kern w:val="21"/>
      <w:sz w:val="21"/>
      <w:szCs w:val="24"/>
    </w:rPr>
  </w:style>
  <w:style w:type="character" w:customStyle="1" w:styleId="69">
    <w:name w:val="日期 Char"/>
    <w:link w:val="24"/>
    <w:qFormat/>
    <w:uiPriority w:val="0"/>
    <w:rPr>
      <w:rFonts w:ascii="Times New Roman" w:hAnsi="Times New Roman" w:eastAsia="宋体"/>
      <w:sz w:val="24"/>
    </w:rPr>
  </w:style>
  <w:style w:type="character" w:customStyle="1" w:styleId="70">
    <w:name w:val="正文文本缩进 2 Char"/>
    <w:link w:val="25"/>
    <w:qFormat/>
    <w:uiPriority w:val="0"/>
    <w:rPr>
      <w:rFonts w:ascii="Calibri" w:hAnsi="Calibri"/>
      <w:kern w:val="2"/>
      <w:sz w:val="28"/>
    </w:rPr>
  </w:style>
  <w:style w:type="character" w:customStyle="1" w:styleId="71">
    <w:name w:val="批注框文本 Char"/>
    <w:link w:val="26"/>
    <w:qFormat/>
    <w:uiPriority w:val="0"/>
    <w:rPr>
      <w:rFonts w:ascii="Times New Roman" w:hAnsi="Times New Roman" w:eastAsia="宋体"/>
      <w:sz w:val="18"/>
    </w:rPr>
  </w:style>
  <w:style w:type="character" w:customStyle="1" w:styleId="72">
    <w:name w:val="页脚 Char"/>
    <w:link w:val="27"/>
    <w:qFormat/>
    <w:uiPriority w:val="99"/>
    <w:rPr>
      <w:sz w:val="18"/>
    </w:rPr>
  </w:style>
  <w:style w:type="character" w:customStyle="1" w:styleId="73">
    <w:name w:val="页眉 Char"/>
    <w:link w:val="28"/>
    <w:qFormat/>
    <w:uiPriority w:val="0"/>
    <w:rPr>
      <w:sz w:val="18"/>
    </w:rPr>
  </w:style>
  <w:style w:type="character" w:customStyle="1" w:styleId="74">
    <w:name w:val="副标题 Char"/>
    <w:link w:val="30"/>
    <w:qFormat/>
    <w:uiPriority w:val="0"/>
    <w:rPr>
      <w:rFonts w:ascii="Arial" w:hAnsi="Arial"/>
      <w:b/>
      <w:kern w:val="28"/>
      <w:sz w:val="32"/>
    </w:rPr>
  </w:style>
  <w:style w:type="character" w:customStyle="1" w:styleId="75">
    <w:name w:val="正文文本缩进 3 Char"/>
    <w:link w:val="33"/>
    <w:qFormat/>
    <w:uiPriority w:val="0"/>
    <w:rPr>
      <w:kern w:val="2"/>
      <w:sz w:val="24"/>
      <w:szCs w:val="24"/>
    </w:rPr>
  </w:style>
  <w:style w:type="character" w:customStyle="1" w:styleId="76">
    <w:name w:val="正文文本 2 Char"/>
    <w:link w:val="35"/>
    <w:qFormat/>
    <w:uiPriority w:val="0"/>
    <w:rPr>
      <w:rFonts w:ascii="Calibri" w:hAnsi="Calibri"/>
      <w:kern w:val="2"/>
      <w:sz w:val="24"/>
    </w:rPr>
  </w:style>
  <w:style w:type="character" w:customStyle="1" w:styleId="77">
    <w:name w:val="HTML 预设格式 Char"/>
    <w:link w:val="36"/>
    <w:qFormat/>
    <w:uiPriority w:val="0"/>
    <w:rPr>
      <w:rFonts w:ascii="Courier New" w:hAnsi="Courier New" w:cs="Courier New"/>
      <w:kern w:val="2"/>
    </w:rPr>
  </w:style>
  <w:style w:type="character" w:customStyle="1" w:styleId="78">
    <w:name w:val="普通(网站) Char"/>
    <w:link w:val="37"/>
    <w:qFormat/>
    <w:uiPriority w:val="0"/>
    <w:rPr>
      <w:rFonts w:ascii="宋体" w:hAnsi="宋体" w:eastAsia="宋体"/>
      <w:sz w:val="24"/>
    </w:rPr>
  </w:style>
  <w:style w:type="character" w:customStyle="1" w:styleId="79">
    <w:name w:val="批注主题 Char"/>
    <w:link w:val="39"/>
    <w:qFormat/>
    <w:uiPriority w:val="0"/>
    <w:rPr>
      <w:rFonts w:ascii="Times New Roman" w:hAnsi="Times New Roman" w:eastAsia="宋体"/>
      <w:b/>
      <w:kern w:val="2"/>
      <w:sz w:val="24"/>
    </w:rPr>
  </w:style>
  <w:style w:type="character" w:customStyle="1" w:styleId="80">
    <w:name w:val="正文首行缩进 Char"/>
    <w:link w:val="40"/>
    <w:qFormat/>
    <w:uiPriority w:val="0"/>
    <w:rPr>
      <w:sz w:val="18"/>
    </w:rPr>
  </w:style>
  <w:style w:type="character" w:customStyle="1" w:styleId="81">
    <w:name w:val="正文首行缩进 2 Char"/>
    <w:link w:val="13"/>
    <w:qFormat/>
    <w:uiPriority w:val="99"/>
    <w:rPr>
      <w:sz w:val="24"/>
    </w:rPr>
  </w:style>
  <w:style w:type="character" w:customStyle="1" w:styleId="82">
    <w:name w:val="日期 字符"/>
    <w:semiHidden/>
    <w:qFormat/>
    <w:uiPriority w:val="0"/>
    <w:rPr>
      <w:rFonts w:ascii="Times New Roman" w:hAnsi="Times New Roman" w:eastAsia="宋体"/>
      <w:sz w:val="24"/>
    </w:rPr>
  </w:style>
  <w:style w:type="character" w:customStyle="1" w:styleId="83">
    <w:name w:val="页脚 字符"/>
    <w:qFormat/>
    <w:uiPriority w:val="99"/>
  </w:style>
  <w:style w:type="character" w:customStyle="1" w:styleId="84">
    <w:name w:val="文章正文 Char Char"/>
    <w:qFormat/>
    <w:uiPriority w:val="0"/>
    <w:rPr>
      <w:rFonts w:ascii="Times New Roman" w:hAnsi="Times New Roman" w:eastAsia="宋体"/>
      <w:sz w:val="24"/>
    </w:rPr>
  </w:style>
  <w:style w:type="character" w:customStyle="1" w:styleId="85">
    <w:name w:val="批注文字 字符1"/>
    <w:semiHidden/>
    <w:qFormat/>
    <w:uiPriority w:val="0"/>
    <w:rPr>
      <w:rFonts w:ascii="Times New Roman" w:hAnsi="Times New Roman" w:eastAsia="宋体"/>
      <w:sz w:val="24"/>
    </w:rPr>
  </w:style>
  <w:style w:type="character" w:customStyle="1" w:styleId="86">
    <w:name w:val="正文文本 字符1"/>
    <w:semiHidden/>
    <w:qFormat/>
    <w:uiPriority w:val="0"/>
    <w:rPr>
      <w:rFonts w:ascii="Times New Roman" w:hAnsi="Times New Roman" w:eastAsia="宋体"/>
      <w:sz w:val="24"/>
    </w:rPr>
  </w:style>
  <w:style w:type="character" w:customStyle="1" w:styleId="87">
    <w:name w:val="表格 Char"/>
    <w:link w:val="88"/>
    <w:qFormat/>
    <w:uiPriority w:val="0"/>
    <w:rPr>
      <w:rFonts w:ascii="宋体"/>
      <w:sz w:val="21"/>
    </w:rPr>
  </w:style>
  <w:style w:type="paragraph" w:customStyle="1" w:styleId="88">
    <w:name w:val="表格"/>
    <w:basedOn w:val="12"/>
    <w:next w:val="12"/>
    <w:link w:val="87"/>
    <w:qFormat/>
    <w:uiPriority w:val="0"/>
    <w:pPr>
      <w:adjustRightInd w:val="0"/>
      <w:snapToGrid w:val="0"/>
      <w:spacing w:beforeLines="10" w:afterLines="10" w:line="259" w:lineRule="auto"/>
      <w:jc w:val="center"/>
    </w:pPr>
    <w:rPr>
      <w:rFonts w:ascii="宋体"/>
      <w:kern w:val="0"/>
      <w:szCs w:val="20"/>
    </w:rPr>
  </w:style>
  <w:style w:type="paragraph" w:customStyle="1" w:styleId="89">
    <w:name w:val="样式1"/>
    <w:basedOn w:val="1"/>
    <w:next w:val="21"/>
    <w:qFormat/>
    <w:uiPriority w:val="0"/>
    <w:pPr>
      <w:kinsoku w:val="0"/>
      <w:overflowPunct w:val="0"/>
      <w:autoSpaceDE w:val="0"/>
      <w:autoSpaceDN w:val="0"/>
      <w:adjustRightInd w:val="0"/>
      <w:snapToGrid w:val="0"/>
      <w:spacing w:line="360" w:lineRule="auto"/>
      <w:ind w:firstLine="480" w:firstLineChars="200"/>
    </w:pPr>
    <w:rPr>
      <w:sz w:val="24"/>
      <w:szCs w:val="24"/>
    </w:rPr>
  </w:style>
  <w:style w:type="paragraph" w:customStyle="1" w:styleId="90">
    <w:name w:val="hb3"/>
    <w:basedOn w:val="4"/>
    <w:qFormat/>
    <w:uiPriority w:val="0"/>
    <w:pPr>
      <w:numPr>
        <w:ilvl w:val="0"/>
        <w:numId w:val="0"/>
      </w:numPr>
      <w:adjustRightInd w:val="0"/>
      <w:spacing w:before="360" w:after="180" w:line="240" w:lineRule="auto"/>
      <w:textAlignment w:val="baseline"/>
    </w:pPr>
    <w:rPr>
      <w:rFonts w:hAnsi="Times New Roman" w:eastAsia="宋体" w:cs="宋体"/>
      <w:kern w:val="0"/>
      <w:sz w:val="24"/>
      <w:szCs w:val="24"/>
    </w:rPr>
  </w:style>
  <w:style w:type="paragraph" w:customStyle="1" w:styleId="91">
    <w:name w:val="p0"/>
    <w:basedOn w:val="1"/>
    <w:link w:val="92"/>
    <w:qFormat/>
    <w:uiPriority w:val="0"/>
    <w:pPr>
      <w:widowControl/>
    </w:pPr>
    <w:rPr>
      <w:kern w:val="0"/>
      <w:szCs w:val="21"/>
    </w:rPr>
  </w:style>
  <w:style w:type="character" w:customStyle="1" w:styleId="92">
    <w:name w:val="p0 Char Char"/>
    <w:link w:val="91"/>
    <w:qFormat/>
    <w:uiPriority w:val="0"/>
    <w:rPr>
      <w:sz w:val="21"/>
      <w:szCs w:val="21"/>
    </w:rPr>
  </w:style>
  <w:style w:type="paragraph" w:customStyle="1" w:styleId="93">
    <w:name w:val="【表中文字】-"/>
    <w:basedOn w:val="1"/>
    <w:qFormat/>
    <w:uiPriority w:val="0"/>
    <w:pPr>
      <w:jc w:val="center"/>
    </w:pPr>
    <w:rPr>
      <w:rFonts w:ascii="Calibri" w:hAnsi="Calibri"/>
      <w:kern w:val="0"/>
      <w:sz w:val="20"/>
    </w:rPr>
  </w:style>
  <w:style w:type="paragraph" w:customStyle="1" w:styleId="94">
    <w:name w:val="正文文本缩进-1"/>
    <w:qFormat/>
    <w:uiPriority w:val="0"/>
    <w:pPr>
      <w:adjustRightInd w:val="0"/>
      <w:snapToGrid w:val="0"/>
      <w:spacing w:line="560" w:lineRule="exact"/>
      <w:ind w:firstLine="480"/>
    </w:pPr>
    <w:rPr>
      <w:rFonts w:ascii="Times New Roman" w:hAnsi="Times New Roman" w:eastAsia="宋体" w:cs="Times New Roman"/>
      <w:sz w:val="24"/>
      <w:szCs w:val="24"/>
      <w:lang w:val="en-US" w:eastAsia="zh-CN" w:bidi="ar-SA"/>
    </w:rPr>
  </w:style>
  <w:style w:type="paragraph" w:customStyle="1" w:styleId="95">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97">
    <w:name w:val="Body text|1"/>
    <w:basedOn w:val="1"/>
    <w:qFormat/>
    <w:uiPriority w:val="0"/>
    <w:pPr>
      <w:spacing w:line="480" w:lineRule="auto"/>
      <w:ind w:firstLine="400"/>
    </w:pPr>
    <w:rPr>
      <w:rFonts w:ascii="宋体" w:hAnsi="宋体" w:cs="宋体"/>
      <w:sz w:val="18"/>
      <w:szCs w:val="18"/>
      <w:lang w:val="zh-TW" w:eastAsia="zh-TW" w:bidi="zh-TW"/>
    </w:rPr>
  </w:style>
  <w:style w:type="paragraph" w:customStyle="1" w:styleId="98">
    <w:name w:val="_Style 28"/>
    <w:basedOn w:val="1"/>
    <w:qFormat/>
    <w:uiPriority w:val="0"/>
    <w:pPr>
      <w:widowControl/>
      <w:spacing w:after="160" w:line="240" w:lineRule="exact"/>
      <w:jc w:val="left"/>
    </w:pPr>
    <w:rPr>
      <w:szCs w:val="24"/>
    </w:rPr>
  </w:style>
  <w:style w:type="paragraph" w:customStyle="1" w:styleId="99">
    <w:name w:val="样式 标题 3标题 3 Char Char条标题1.1.13h33rd levelH3l3CTlevel_3..."/>
    <w:basedOn w:val="4"/>
    <w:qFormat/>
    <w:uiPriority w:val="0"/>
    <w:pPr>
      <w:numPr>
        <w:ilvl w:val="0"/>
        <w:numId w:val="0"/>
      </w:numPr>
      <w:adjustRightInd w:val="0"/>
      <w:snapToGrid w:val="0"/>
    </w:pPr>
    <w:rPr>
      <w:rFonts w:hAnsi="宋体" w:eastAsia="宋体" w:cs="宋体"/>
      <w:bCs/>
      <w:kern w:val="2"/>
      <w:sz w:val="32"/>
      <w:szCs w:val="32"/>
    </w:rPr>
  </w:style>
  <w:style w:type="paragraph" w:customStyle="1" w:styleId="100">
    <w:name w:val="表"/>
    <w:basedOn w:val="1"/>
    <w:next w:val="31"/>
    <w:qFormat/>
    <w:uiPriority w:val="0"/>
    <w:pPr>
      <w:jc w:val="center"/>
    </w:pPr>
    <w:rPr>
      <w:spacing w:val="-20"/>
      <w:kern w:val="21"/>
      <w:sz w:val="24"/>
    </w:rPr>
  </w:style>
  <w:style w:type="paragraph" w:customStyle="1" w:styleId="101">
    <w:name w:val="Char Char Char Char Char Char Char Char Char1 Char Char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102">
    <w:name w:val="表头"/>
    <w:basedOn w:val="1"/>
    <w:link w:val="103"/>
    <w:qFormat/>
    <w:uiPriority w:val="0"/>
    <w:pPr>
      <w:adjustRightInd w:val="0"/>
      <w:spacing w:line="320" w:lineRule="atLeast"/>
      <w:jc w:val="center"/>
      <w:textAlignment w:val="baseline"/>
    </w:pPr>
    <w:rPr>
      <w:rFonts w:eastAsia="黑体"/>
      <w:spacing w:val="-10"/>
      <w:kern w:val="0"/>
    </w:rPr>
  </w:style>
  <w:style w:type="character" w:customStyle="1" w:styleId="103">
    <w:name w:val="表头 Char"/>
    <w:link w:val="102"/>
    <w:qFormat/>
    <w:uiPriority w:val="0"/>
    <w:rPr>
      <w:rFonts w:eastAsia="黑体"/>
      <w:spacing w:val="-10"/>
      <w:sz w:val="21"/>
      <w:szCs w:val="24"/>
    </w:rPr>
  </w:style>
  <w:style w:type="paragraph" w:customStyle="1" w:styleId="104">
    <w:name w:val="李发荣个人正文"/>
    <w:basedOn w:val="1"/>
    <w:next w:val="1"/>
    <w:qFormat/>
    <w:uiPriority w:val="0"/>
    <w:pPr>
      <w:spacing w:line="360" w:lineRule="auto"/>
      <w:ind w:firstLine="504" w:firstLineChars="200"/>
    </w:pPr>
    <w:rPr>
      <w:rFonts w:ascii="宋体" w:hAnsi="宋体" w:cs="宋体"/>
      <w:kern w:val="0"/>
      <w:sz w:val="24"/>
      <w:szCs w:val="24"/>
    </w:rPr>
  </w:style>
  <w:style w:type="paragraph" w:customStyle="1" w:styleId="105">
    <w:name w:val="文章正文"/>
    <w:basedOn w:val="1"/>
    <w:link w:val="106"/>
    <w:qFormat/>
    <w:uiPriority w:val="0"/>
    <w:pPr>
      <w:spacing w:line="440" w:lineRule="exact"/>
      <w:ind w:firstLine="600" w:firstLineChars="200"/>
    </w:pPr>
    <w:rPr>
      <w:kern w:val="0"/>
      <w:sz w:val="24"/>
    </w:rPr>
  </w:style>
  <w:style w:type="character" w:customStyle="1" w:styleId="106">
    <w:name w:val="文章正文 Char Char Char"/>
    <w:link w:val="105"/>
    <w:qFormat/>
    <w:uiPriority w:val="0"/>
    <w:rPr>
      <w:sz w:val="24"/>
      <w:szCs w:val="24"/>
    </w:rPr>
  </w:style>
  <w:style w:type="paragraph" w:customStyle="1" w:styleId="107">
    <w:name w:val="【表中文字】"/>
    <w:basedOn w:val="1"/>
    <w:qFormat/>
    <w:uiPriority w:val="0"/>
    <w:pPr>
      <w:jc w:val="center"/>
    </w:pPr>
    <w:rPr>
      <w:rFonts w:ascii="Calibri" w:hAnsi="Calibri"/>
      <w:szCs w:val="22"/>
      <w:lang w:val="zh-CN"/>
    </w:rPr>
  </w:style>
  <w:style w:type="paragraph" w:customStyle="1" w:styleId="108">
    <w:name w:val="样式5"/>
    <w:basedOn w:val="1"/>
    <w:qFormat/>
    <w:uiPriority w:val="0"/>
    <w:pPr>
      <w:snapToGrid w:val="0"/>
      <w:spacing w:line="360" w:lineRule="auto"/>
      <w:ind w:firstLine="510"/>
    </w:pPr>
    <w:rPr>
      <w:rFonts w:ascii="Times New Roman" w:hAnsi="Times New Roman"/>
      <w:sz w:val="24"/>
      <w:szCs w:val="24"/>
    </w:rPr>
  </w:style>
  <w:style w:type="paragraph" w:customStyle="1" w:styleId="109">
    <w:name w:val="5-正文"/>
    <w:basedOn w:val="1"/>
    <w:link w:val="110"/>
    <w:qFormat/>
    <w:uiPriority w:val="0"/>
    <w:pPr>
      <w:snapToGrid w:val="0"/>
      <w:spacing w:line="360" w:lineRule="auto"/>
      <w:ind w:firstLine="200" w:firstLineChars="200"/>
    </w:pPr>
    <w:rPr>
      <w:rFonts w:ascii="Times New Roman" w:hAnsi="Times New Roman" w:eastAsia="宋体" w:cs="Times New Roman"/>
      <w:sz w:val="24"/>
    </w:rPr>
  </w:style>
  <w:style w:type="character" w:customStyle="1" w:styleId="110">
    <w:name w:val="5-正文 Char"/>
    <w:link w:val="109"/>
    <w:qFormat/>
    <w:uiPriority w:val="0"/>
    <w:rPr>
      <w:kern w:val="2"/>
      <w:sz w:val="24"/>
      <w:szCs w:val="24"/>
    </w:rPr>
  </w:style>
  <w:style w:type="paragraph" w:customStyle="1" w:styleId="111">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table" w:customStyle="1" w:styleId="112">
    <w:name w:val="TableGrid"/>
    <w:qFormat/>
    <w:uiPriority w:val="0"/>
    <w:rPr>
      <w:kern w:val="2"/>
      <w:sz w:val="21"/>
      <w:szCs w:val="22"/>
      <w:lang w:val="en-US" w:eastAsia="zh-CN" w:bidi="ar-SA"/>
    </w:rPr>
    <w:tblPr>
      <w:tblCellMar>
        <w:top w:w="0" w:type="dxa"/>
        <w:left w:w="0" w:type="dxa"/>
        <w:bottom w:w="0" w:type="dxa"/>
        <w:right w:w="0" w:type="dxa"/>
      </w:tblCellMar>
    </w:tblPr>
  </w:style>
  <w:style w:type="character" w:customStyle="1" w:styleId="113">
    <w:name w:val="font11"/>
    <w:qFormat/>
    <w:uiPriority w:val="0"/>
    <w:rPr>
      <w:rFonts w:hint="default" w:ascii="Times New Roman" w:hAnsi="Times New Roman" w:cs="Times New Roman"/>
      <w:color w:val="000000"/>
      <w:sz w:val="21"/>
      <w:szCs w:val="21"/>
      <w:u w:val="none"/>
      <w:vertAlign w:val="superscript"/>
    </w:rPr>
  </w:style>
  <w:style w:type="paragraph" w:styleId="114">
    <w:name w:val="List Paragraph"/>
    <w:basedOn w:val="1"/>
    <w:qFormat/>
    <w:uiPriority w:val="34"/>
    <w:pPr>
      <w:ind w:firstLine="420" w:firstLineChars="200"/>
    </w:pPr>
    <w:rPr>
      <w:rFonts w:ascii="Calibri" w:hAnsi="Calibri"/>
    </w:rPr>
  </w:style>
  <w:style w:type="paragraph" w:customStyle="1" w:styleId="115">
    <w:name w:val="缩进"/>
    <w:basedOn w:val="1"/>
    <w:qFormat/>
    <w:uiPriority w:val="0"/>
    <w:pPr>
      <w:autoSpaceDE w:val="0"/>
      <w:autoSpaceDN w:val="0"/>
      <w:adjustRightInd w:val="0"/>
      <w:spacing w:line="400" w:lineRule="atLeast"/>
      <w:ind w:firstLine="425" w:firstLineChars="200"/>
      <w:textAlignment w:val="baseline"/>
    </w:pPr>
    <w:rPr>
      <w:rFonts w:ascii="Sim Sun" w:hAnsi="Sim Sun" w:cs="Sim Sun"/>
      <w:sz w:val="24"/>
    </w:rPr>
  </w:style>
  <w:style w:type="character" w:customStyle="1" w:styleId="116">
    <w:name w:val="font51"/>
    <w:qFormat/>
    <w:uiPriority w:val="0"/>
    <w:rPr>
      <w:rFonts w:hint="default" w:ascii="Times New Roman" w:hAnsi="Times New Roman" w:cs="Times New Roman"/>
      <w:color w:val="000000"/>
      <w:sz w:val="21"/>
      <w:szCs w:val="21"/>
      <w:u w:val="none"/>
    </w:rPr>
  </w:style>
  <w:style w:type="character" w:customStyle="1" w:styleId="117">
    <w:name w:val="font41"/>
    <w:qFormat/>
    <w:uiPriority w:val="0"/>
    <w:rPr>
      <w:rFonts w:hint="default" w:ascii="Times New Roman" w:hAnsi="Times New Roman" w:cs="Times New Roman"/>
      <w:color w:val="000000"/>
      <w:sz w:val="24"/>
      <w:szCs w:val="24"/>
      <w:u w:val="none"/>
    </w:rPr>
  </w:style>
  <w:style w:type="character" w:customStyle="1" w:styleId="118">
    <w:name w:val="font31"/>
    <w:qFormat/>
    <w:uiPriority w:val="0"/>
    <w:rPr>
      <w:rFonts w:hint="default" w:ascii="Times New Roman" w:hAnsi="Times New Roman" w:cs="Times New Roman"/>
      <w:color w:val="000000"/>
      <w:sz w:val="14"/>
      <w:szCs w:val="14"/>
      <w:u w:val="none"/>
    </w:rPr>
  </w:style>
  <w:style w:type="character" w:customStyle="1" w:styleId="119">
    <w:name w:val="font61"/>
    <w:qFormat/>
    <w:uiPriority w:val="0"/>
    <w:rPr>
      <w:rFonts w:hint="eastAsia" w:ascii="宋体" w:hAnsi="宋体" w:eastAsia="宋体" w:cs="宋体"/>
      <w:color w:val="000000"/>
      <w:sz w:val="21"/>
      <w:szCs w:val="21"/>
      <w:u w:val="none"/>
    </w:rPr>
  </w:style>
  <w:style w:type="character" w:customStyle="1" w:styleId="120">
    <w:name w:val="font21"/>
    <w:qFormat/>
    <w:uiPriority w:val="0"/>
    <w:rPr>
      <w:rFonts w:hint="default" w:ascii="Times New Roman" w:hAnsi="Times New Roman" w:cs="Times New Roman"/>
      <w:color w:val="000000"/>
      <w:sz w:val="21"/>
      <w:szCs w:val="21"/>
      <w:u w:val="none"/>
      <w:vertAlign w:val="subscript"/>
    </w:rPr>
  </w:style>
  <w:style w:type="character" w:customStyle="1" w:styleId="121">
    <w:name w:val="正文缩进2 Char"/>
    <w:qFormat/>
    <w:uiPriority w:val="0"/>
    <w:rPr>
      <w:rFonts w:eastAsia="宋体"/>
      <w:kern w:val="2"/>
      <w:sz w:val="21"/>
      <w:lang w:val="en-US" w:eastAsia="zh-CN" w:bidi="ar-SA"/>
    </w:rPr>
  </w:style>
  <w:style w:type="character" w:customStyle="1" w:styleId="122">
    <w:name w:val="环保正文 Char Char"/>
    <w:link w:val="123"/>
    <w:qFormat/>
    <w:uiPriority w:val="0"/>
    <w:rPr>
      <w:rFonts w:ascii="宋体" w:hAnsi="宋体"/>
      <w:color w:val="000000"/>
      <w:sz w:val="24"/>
      <w:szCs w:val="24"/>
    </w:rPr>
  </w:style>
  <w:style w:type="paragraph" w:customStyle="1" w:styleId="123">
    <w:name w:val="环保正文"/>
    <w:basedOn w:val="1"/>
    <w:link w:val="122"/>
    <w:qFormat/>
    <w:uiPriority w:val="0"/>
    <w:pPr>
      <w:tabs>
        <w:tab w:val="left" w:pos="0"/>
        <w:tab w:val="left" w:pos="7012"/>
      </w:tabs>
      <w:autoSpaceDE w:val="0"/>
      <w:autoSpaceDN w:val="0"/>
      <w:spacing w:line="360" w:lineRule="auto"/>
      <w:ind w:firstLine="480" w:firstLineChars="200"/>
    </w:pPr>
    <w:rPr>
      <w:rFonts w:ascii="宋体" w:hAnsi="宋体"/>
      <w:color w:val="000000"/>
      <w:kern w:val="0"/>
      <w:sz w:val="24"/>
    </w:rPr>
  </w:style>
  <w:style w:type="character" w:customStyle="1" w:styleId="124">
    <w:name w:val="正文文本 Char1"/>
    <w:qFormat/>
    <w:uiPriority w:val="0"/>
    <w:rPr>
      <w:kern w:val="2"/>
      <w:sz w:val="21"/>
    </w:rPr>
  </w:style>
  <w:style w:type="character" w:customStyle="1" w:styleId="125">
    <w:name w:val="表格内正文 Char Char"/>
    <w:link w:val="126"/>
    <w:qFormat/>
    <w:uiPriority w:val="0"/>
    <w:rPr>
      <w:rFonts w:ascii="宋体" w:hAnsi="宋体"/>
      <w:spacing w:val="4"/>
      <w:kern w:val="18"/>
      <w:sz w:val="24"/>
      <w:szCs w:val="24"/>
    </w:rPr>
  </w:style>
  <w:style w:type="paragraph" w:customStyle="1" w:styleId="126">
    <w:name w:val="表格内正文"/>
    <w:basedOn w:val="1"/>
    <w:link w:val="125"/>
    <w:qFormat/>
    <w:uiPriority w:val="0"/>
    <w:pPr>
      <w:spacing w:line="360" w:lineRule="auto"/>
      <w:ind w:firstLine="493"/>
    </w:pPr>
    <w:rPr>
      <w:rFonts w:ascii="宋体" w:hAnsi="宋体"/>
      <w:spacing w:val="4"/>
      <w:kern w:val="18"/>
      <w:sz w:val="24"/>
    </w:rPr>
  </w:style>
  <w:style w:type="character" w:customStyle="1" w:styleId="127">
    <w:name w:val="表格样式 Char Char"/>
    <w:link w:val="128"/>
    <w:qFormat/>
    <w:uiPriority w:val="0"/>
    <w:rPr>
      <w:kern w:val="2"/>
      <w:sz w:val="28"/>
      <w:szCs w:val="24"/>
    </w:rPr>
  </w:style>
  <w:style w:type="paragraph" w:customStyle="1" w:styleId="128">
    <w:name w:val="表格样式"/>
    <w:basedOn w:val="1"/>
    <w:link w:val="127"/>
    <w:qFormat/>
    <w:uiPriority w:val="0"/>
    <w:pPr>
      <w:adjustRightInd w:val="0"/>
      <w:snapToGrid w:val="0"/>
      <w:jc w:val="center"/>
    </w:pPr>
    <w:rPr>
      <w:sz w:val="28"/>
    </w:rPr>
  </w:style>
  <w:style w:type="character" w:customStyle="1" w:styleId="129">
    <w:name w:val="纯文本 Char1"/>
    <w:qFormat/>
    <w:uiPriority w:val="0"/>
    <w:rPr>
      <w:rFonts w:ascii="宋体"/>
    </w:rPr>
  </w:style>
  <w:style w:type="character" w:customStyle="1" w:styleId="130">
    <w:name w:val="正文样式1 Char"/>
    <w:link w:val="131"/>
    <w:qFormat/>
    <w:uiPriority w:val="0"/>
    <w:rPr>
      <w:color w:val="000000"/>
      <w:sz w:val="24"/>
    </w:rPr>
  </w:style>
  <w:style w:type="paragraph" w:customStyle="1" w:styleId="131">
    <w:name w:val="正文样式1"/>
    <w:basedOn w:val="1"/>
    <w:link w:val="130"/>
    <w:qFormat/>
    <w:uiPriority w:val="0"/>
    <w:pPr>
      <w:widowControl/>
      <w:adjustRightInd w:val="0"/>
      <w:spacing w:line="288" w:lineRule="auto"/>
      <w:ind w:firstLine="360" w:firstLineChars="150"/>
      <w:textAlignment w:val="baseline"/>
    </w:pPr>
    <w:rPr>
      <w:color w:val="000000"/>
      <w:kern w:val="0"/>
      <w:sz w:val="24"/>
      <w:szCs w:val="20"/>
    </w:rPr>
  </w:style>
  <w:style w:type="character" w:customStyle="1" w:styleId="132">
    <w:name w:val="description5"/>
    <w:qFormat/>
    <w:uiPriority w:val="0"/>
  </w:style>
  <w:style w:type="character" w:customStyle="1" w:styleId="133">
    <w:name w:val="样式 小四 居中 Char"/>
    <w:link w:val="134"/>
    <w:qFormat/>
    <w:uiPriority w:val="0"/>
    <w:rPr>
      <w:rFonts w:cs="宋体"/>
      <w:kern w:val="2"/>
      <w:sz w:val="21"/>
    </w:rPr>
  </w:style>
  <w:style w:type="paragraph" w:customStyle="1" w:styleId="134">
    <w:name w:val="样式 小四 居中"/>
    <w:basedOn w:val="1"/>
    <w:link w:val="133"/>
    <w:qFormat/>
    <w:uiPriority w:val="0"/>
    <w:pPr>
      <w:jc w:val="center"/>
    </w:pPr>
    <w:rPr>
      <w:rFonts w:cs="宋体"/>
      <w:szCs w:val="20"/>
    </w:rPr>
  </w:style>
  <w:style w:type="character" w:customStyle="1" w:styleId="135">
    <w:name w:val="表格内文字 Char"/>
    <w:link w:val="136"/>
    <w:qFormat/>
    <w:uiPriority w:val="99"/>
    <w:rPr>
      <w:rFonts w:ascii="Calibri" w:hAnsi="Calibri"/>
      <w:spacing w:val="10"/>
      <w:kern w:val="2"/>
      <w:sz w:val="24"/>
    </w:rPr>
  </w:style>
  <w:style w:type="paragraph" w:customStyle="1" w:styleId="136">
    <w:name w:val="表格内文字"/>
    <w:basedOn w:val="1"/>
    <w:link w:val="135"/>
    <w:qFormat/>
    <w:uiPriority w:val="99"/>
    <w:pPr>
      <w:spacing w:before="100" w:after="100" w:line="320" w:lineRule="exact"/>
      <w:jc w:val="center"/>
    </w:pPr>
    <w:rPr>
      <w:rFonts w:ascii="Calibri" w:hAnsi="Calibri"/>
      <w:spacing w:val="10"/>
      <w:sz w:val="24"/>
      <w:szCs w:val="20"/>
    </w:rPr>
  </w:style>
  <w:style w:type="character" w:customStyle="1" w:styleId="137">
    <w:name w:val="表头1 Char"/>
    <w:link w:val="138"/>
    <w:qFormat/>
    <w:uiPriority w:val="0"/>
    <w:rPr>
      <w:b/>
      <w:kern w:val="2"/>
      <w:sz w:val="24"/>
      <w:szCs w:val="24"/>
    </w:rPr>
  </w:style>
  <w:style w:type="paragraph" w:customStyle="1" w:styleId="138">
    <w:name w:val="表头1"/>
    <w:basedOn w:val="102"/>
    <w:next w:val="1"/>
    <w:link w:val="137"/>
    <w:qFormat/>
    <w:uiPriority w:val="0"/>
    <w:pPr>
      <w:adjustRightInd/>
      <w:spacing w:line="240" w:lineRule="auto"/>
      <w:ind w:firstLine="482" w:firstLineChars="200"/>
      <w:jc w:val="both"/>
      <w:textAlignment w:val="auto"/>
    </w:pPr>
    <w:rPr>
      <w:rFonts w:eastAsia="宋体"/>
      <w:b/>
      <w:spacing w:val="0"/>
      <w:kern w:val="2"/>
      <w:sz w:val="24"/>
    </w:rPr>
  </w:style>
  <w:style w:type="character" w:customStyle="1" w:styleId="139">
    <w:name w:val="正文(首行缩进)宋旭峰 Char Char"/>
    <w:link w:val="140"/>
    <w:qFormat/>
    <w:uiPriority w:val="0"/>
    <w:rPr>
      <w:snapToGrid/>
      <w:kern w:val="2"/>
      <w:sz w:val="24"/>
    </w:rPr>
  </w:style>
  <w:style w:type="paragraph" w:customStyle="1" w:styleId="140">
    <w:name w:val="正文(首行缩进)宋旭峰"/>
    <w:basedOn w:val="12"/>
    <w:link w:val="139"/>
    <w:qFormat/>
    <w:uiPriority w:val="0"/>
    <w:pPr>
      <w:snapToGrid w:val="0"/>
      <w:spacing w:beforeLines="50" w:line="360" w:lineRule="auto"/>
      <w:ind w:firstLine="440"/>
    </w:pPr>
    <w:rPr>
      <w:rFonts w:ascii="Times New Roman" w:hAnsi="Times New Roman"/>
      <w:snapToGrid w:val="0"/>
      <w:sz w:val="24"/>
    </w:rPr>
  </w:style>
  <w:style w:type="character" w:customStyle="1" w:styleId="141">
    <w:name w:val="表内格式 Char"/>
    <w:link w:val="142"/>
    <w:qFormat/>
    <w:uiPriority w:val="0"/>
    <w:rPr>
      <w:rFonts w:ascii="宋体" w:hAnsi="宋体"/>
      <w:kern w:val="2"/>
      <w:sz w:val="21"/>
    </w:rPr>
  </w:style>
  <w:style w:type="paragraph" w:customStyle="1" w:styleId="142">
    <w:name w:val="表内格式"/>
    <w:basedOn w:val="1"/>
    <w:link w:val="141"/>
    <w:qFormat/>
    <w:uiPriority w:val="0"/>
    <w:pPr>
      <w:spacing w:line="240" w:lineRule="exact"/>
      <w:jc w:val="center"/>
    </w:pPr>
    <w:rPr>
      <w:rFonts w:ascii="宋体" w:hAnsi="宋体"/>
      <w:szCs w:val="20"/>
    </w:rPr>
  </w:style>
  <w:style w:type="character" w:customStyle="1" w:styleId="143">
    <w:name w:val="样式 宋体 五号"/>
    <w:qFormat/>
    <w:uiPriority w:val="0"/>
    <w:rPr>
      <w:rFonts w:hint="default" w:ascii="Times New Roman" w:hAnsi="Times New Roman" w:eastAsia="宋体" w:cs="Times New Roman"/>
      <w:sz w:val="21"/>
    </w:rPr>
  </w:style>
  <w:style w:type="character" w:customStyle="1" w:styleId="144">
    <w:name w:val="样式 宋体 小四 加粗"/>
    <w:qFormat/>
    <w:uiPriority w:val="0"/>
    <w:rPr>
      <w:rFonts w:hint="default" w:ascii="Times New Roman" w:hAnsi="Times New Roman" w:eastAsia="宋体" w:cs="Times New Roman"/>
      <w:b/>
      <w:bCs/>
      <w:color w:val="auto"/>
      <w:sz w:val="24"/>
      <w:u w:val="none"/>
    </w:rPr>
  </w:style>
  <w:style w:type="character" w:customStyle="1" w:styleId="145">
    <w:name w:val="报告表正文 Char"/>
    <w:link w:val="146"/>
    <w:qFormat/>
    <w:uiPriority w:val="0"/>
    <w:rPr>
      <w:sz w:val="24"/>
    </w:rPr>
  </w:style>
  <w:style w:type="paragraph" w:customStyle="1" w:styleId="146">
    <w:name w:val="报告表正文"/>
    <w:basedOn w:val="1"/>
    <w:link w:val="145"/>
    <w:qFormat/>
    <w:uiPriority w:val="0"/>
    <w:pPr>
      <w:adjustRightInd w:val="0"/>
      <w:spacing w:line="312" w:lineRule="auto"/>
      <w:ind w:left="113" w:right="113" w:firstLine="482"/>
      <w:jc w:val="left"/>
      <w:textAlignment w:val="baseline"/>
    </w:pPr>
    <w:rPr>
      <w:kern w:val="0"/>
      <w:sz w:val="24"/>
      <w:szCs w:val="20"/>
    </w:rPr>
  </w:style>
  <w:style w:type="character" w:customStyle="1" w:styleId="147">
    <w:name w:val="表文字xxxxxxxx Char"/>
    <w:link w:val="148"/>
    <w:qFormat/>
    <w:uiPriority w:val="0"/>
    <w:rPr>
      <w:kern w:val="2"/>
      <w:sz w:val="21"/>
      <w:szCs w:val="21"/>
    </w:rPr>
  </w:style>
  <w:style w:type="paragraph" w:customStyle="1" w:styleId="148">
    <w:name w:val="表文字xxxxxxxx"/>
    <w:basedOn w:val="1"/>
    <w:link w:val="147"/>
    <w:qFormat/>
    <w:uiPriority w:val="0"/>
    <w:pPr>
      <w:topLinePunct/>
      <w:adjustRightInd w:val="0"/>
      <w:spacing w:line="360" w:lineRule="exact"/>
      <w:jc w:val="center"/>
      <w:textAlignment w:val="baseline"/>
    </w:pPr>
    <w:rPr>
      <w:szCs w:val="21"/>
    </w:rPr>
  </w:style>
  <w:style w:type="character" w:customStyle="1" w:styleId="149">
    <w:name w:val="Char Char11"/>
    <w:qFormat/>
    <w:uiPriority w:val="0"/>
    <w:rPr>
      <w:rFonts w:ascii="Times New Roman" w:hAnsi="Times New Roman" w:eastAsia="宋体" w:cs="Times New Roman"/>
      <w:b/>
      <w:bCs/>
      <w:kern w:val="28"/>
      <w:sz w:val="28"/>
      <w:szCs w:val="28"/>
    </w:rPr>
  </w:style>
  <w:style w:type="character" w:customStyle="1" w:styleId="150">
    <w:name w:val="HTML 预设格式 Char1"/>
    <w:qFormat/>
    <w:uiPriority w:val="99"/>
    <w:rPr>
      <w:rFonts w:ascii="Courier New" w:hAnsi="Courier New" w:eastAsia="宋体" w:cs="Courier New"/>
      <w:kern w:val="2"/>
    </w:rPr>
  </w:style>
  <w:style w:type="character" w:customStyle="1" w:styleId="151">
    <w:name w:val="正文文本 2 Char1"/>
    <w:qFormat/>
    <w:uiPriority w:val="99"/>
    <w:rPr>
      <w:rFonts w:ascii="Calibri" w:hAnsi="Calibri" w:eastAsia="宋体" w:cs="Times New Roman"/>
      <w:kern w:val="2"/>
      <w:sz w:val="21"/>
    </w:rPr>
  </w:style>
  <w:style w:type="paragraph" w:customStyle="1" w:styleId="152">
    <w:name w:val="4样式"/>
    <w:basedOn w:val="1"/>
    <w:qFormat/>
    <w:uiPriority w:val="0"/>
    <w:pPr>
      <w:spacing w:before="100" w:beforeAutospacing="1" w:line="360" w:lineRule="auto"/>
      <w:ind w:firstLine="200" w:firstLineChars="200"/>
    </w:pPr>
    <w:rPr>
      <w:sz w:val="24"/>
    </w:rPr>
  </w:style>
  <w:style w:type="character" w:customStyle="1" w:styleId="153">
    <w:name w:val="正文文本 Char2"/>
    <w:qFormat/>
    <w:uiPriority w:val="99"/>
    <w:rPr>
      <w:rFonts w:ascii="Calibri" w:hAnsi="Calibri" w:eastAsia="宋体" w:cs="Times New Roman"/>
      <w:kern w:val="2"/>
      <w:sz w:val="21"/>
    </w:rPr>
  </w:style>
  <w:style w:type="character" w:customStyle="1" w:styleId="154">
    <w:name w:val="正文首行缩进 Char1"/>
    <w:qFormat/>
    <w:uiPriority w:val="99"/>
  </w:style>
  <w:style w:type="character" w:customStyle="1" w:styleId="155">
    <w:name w:val="正文文本缩进 Char1"/>
    <w:qFormat/>
    <w:uiPriority w:val="99"/>
    <w:rPr>
      <w:rFonts w:ascii="Calibri" w:hAnsi="Calibri" w:eastAsia="宋体" w:cs="Times New Roman"/>
      <w:kern w:val="2"/>
      <w:sz w:val="21"/>
    </w:rPr>
  </w:style>
  <w:style w:type="character" w:customStyle="1" w:styleId="156">
    <w:name w:val="批注文字 Char2"/>
    <w:qFormat/>
    <w:uiPriority w:val="0"/>
    <w:rPr>
      <w:rFonts w:ascii="Calibri" w:hAnsi="Calibri" w:eastAsia="宋体" w:cs="Times New Roman"/>
      <w:kern w:val="2"/>
      <w:sz w:val="24"/>
    </w:rPr>
  </w:style>
  <w:style w:type="character" w:customStyle="1" w:styleId="157">
    <w:name w:val="批注主题 Char1"/>
    <w:qFormat/>
    <w:uiPriority w:val="99"/>
    <w:rPr>
      <w:rFonts w:ascii="Calibri" w:hAnsi="Calibri" w:eastAsia="宋体" w:cs="Times New Roman"/>
      <w:b/>
      <w:bCs/>
      <w:kern w:val="2"/>
      <w:sz w:val="21"/>
    </w:rPr>
  </w:style>
  <w:style w:type="paragraph" w:customStyle="1" w:styleId="158">
    <w:name w:val="Char Char1 Char"/>
    <w:basedOn w:val="1"/>
    <w:qFormat/>
    <w:uiPriority w:val="0"/>
    <w:pPr>
      <w:spacing w:line="360" w:lineRule="auto"/>
      <w:ind w:firstLine="200" w:firstLineChars="200"/>
    </w:pPr>
    <w:rPr>
      <w:rFonts w:ascii="宋体" w:hAnsi="宋体" w:cs="宋体"/>
      <w:sz w:val="24"/>
      <w:szCs w:val="22"/>
    </w:rPr>
  </w:style>
  <w:style w:type="paragraph" w:customStyle="1" w:styleId="159">
    <w:name w:val="CM224"/>
    <w:basedOn w:val="160"/>
    <w:next w:val="160"/>
    <w:qFormat/>
    <w:uiPriority w:val="99"/>
    <w:pPr>
      <w:spacing w:after="205"/>
    </w:pPr>
    <w:rPr>
      <w:rFonts w:ascii="黑体" w:hAnsi="Calibri" w:eastAsia="黑体" w:cs="Times New Roman"/>
      <w:color w:val="auto"/>
    </w:rPr>
  </w:style>
  <w:style w:type="paragraph" w:customStyle="1" w:styleId="16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61">
    <w:name w:val="文档结构图 Char1"/>
    <w:qFormat/>
    <w:uiPriority w:val="99"/>
    <w:rPr>
      <w:rFonts w:ascii="宋体" w:hAnsi="Calibri" w:eastAsia="宋体" w:cs="Times New Roman"/>
      <w:kern w:val="2"/>
      <w:sz w:val="18"/>
      <w:szCs w:val="18"/>
    </w:rPr>
  </w:style>
  <w:style w:type="character" w:customStyle="1" w:styleId="162">
    <w:name w:val="副标题 Char1"/>
    <w:qFormat/>
    <w:uiPriority w:val="11"/>
    <w:rPr>
      <w:rFonts w:ascii="Calibri Light" w:hAnsi="Calibri Light" w:eastAsia="宋体" w:cs="Times New Roman"/>
      <w:b/>
      <w:bCs/>
      <w:kern w:val="28"/>
      <w:sz w:val="32"/>
      <w:szCs w:val="32"/>
    </w:rPr>
  </w:style>
  <w:style w:type="paragraph" w:customStyle="1" w:styleId="163">
    <w:name w:val="标题4 aa"/>
    <w:basedOn w:val="1"/>
    <w:qFormat/>
    <w:uiPriority w:val="0"/>
    <w:pPr>
      <w:adjustRightInd w:val="0"/>
      <w:snapToGrid w:val="0"/>
      <w:spacing w:after="40" w:line="312" w:lineRule="auto"/>
    </w:pPr>
    <w:rPr>
      <w:b/>
      <w:sz w:val="24"/>
    </w:rPr>
  </w:style>
  <w:style w:type="character" w:customStyle="1" w:styleId="164">
    <w:name w:val="正文首行缩进 2 Char1"/>
    <w:qFormat/>
    <w:uiPriority w:val="99"/>
  </w:style>
  <w:style w:type="character" w:customStyle="1" w:styleId="165">
    <w:name w:val="纯文本 Char2"/>
    <w:qFormat/>
    <w:uiPriority w:val="99"/>
    <w:rPr>
      <w:rFonts w:ascii="宋体" w:hAnsi="Courier New" w:eastAsia="宋体" w:cs="Courier New"/>
      <w:kern w:val="2"/>
      <w:sz w:val="21"/>
      <w:szCs w:val="21"/>
    </w:rPr>
  </w:style>
  <w:style w:type="character" w:customStyle="1" w:styleId="166">
    <w:name w:val="正文文本缩进 3 Char1"/>
    <w:qFormat/>
    <w:uiPriority w:val="99"/>
    <w:rPr>
      <w:rFonts w:ascii="Calibri" w:hAnsi="Calibri" w:eastAsia="宋体" w:cs="Times New Roman"/>
      <w:kern w:val="2"/>
      <w:sz w:val="16"/>
      <w:szCs w:val="16"/>
    </w:rPr>
  </w:style>
  <w:style w:type="character" w:customStyle="1" w:styleId="167">
    <w:name w:val="页眉 Char1"/>
    <w:qFormat/>
    <w:uiPriority w:val="0"/>
    <w:rPr>
      <w:kern w:val="2"/>
      <w:sz w:val="18"/>
      <w:szCs w:val="18"/>
    </w:rPr>
  </w:style>
  <w:style w:type="character" w:customStyle="1" w:styleId="168">
    <w:name w:val="日期 Char1"/>
    <w:qFormat/>
    <w:uiPriority w:val="99"/>
    <w:rPr>
      <w:rFonts w:ascii="Calibri" w:hAnsi="Calibri" w:eastAsia="宋体" w:cs="Times New Roman"/>
      <w:kern w:val="2"/>
      <w:sz w:val="21"/>
    </w:rPr>
  </w:style>
  <w:style w:type="character" w:customStyle="1" w:styleId="169">
    <w:name w:val="正文文本缩进 2 Char1"/>
    <w:qFormat/>
    <w:uiPriority w:val="99"/>
    <w:rPr>
      <w:rFonts w:ascii="Calibri" w:hAnsi="Calibri" w:eastAsia="宋体" w:cs="Times New Roman"/>
      <w:kern w:val="2"/>
      <w:sz w:val="21"/>
    </w:rPr>
  </w:style>
  <w:style w:type="paragraph" w:customStyle="1" w:styleId="170">
    <w:name w:val="表格文字中对齐"/>
    <w:basedOn w:val="1"/>
    <w:qFormat/>
    <w:uiPriority w:val="0"/>
    <w:pPr>
      <w:ind w:firstLine="360" w:firstLineChars="200"/>
    </w:pPr>
    <w:rPr>
      <w:rFonts w:ascii="Calibri" w:hAnsi="Calibri" w:cs="Calibri"/>
      <w:color w:val="000000"/>
      <w:kern w:val="0"/>
      <w:sz w:val="18"/>
      <w:szCs w:val="18"/>
    </w:rPr>
  </w:style>
  <w:style w:type="paragraph" w:customStyle="1" w:styleId="171">
    <w:name w:val="Table Paragraph"/>
    <w:basedOn w:val="1"/>
    <w:qFormat/>
    <w:uiPriority w:val="1"/>
    <w:pPr>
      <w:jc w:val="center"/>
    </w:pPr>
    <w:rPr>
      <w:rFonts w:ascii="Noto Sans CJK JP Regular" w:hAnsi="Noto Sans CJK JP Regular" w:eastAsia="Noto Sans CJK JP Regular" w:cs="Noto Sans CJK JP Regular"/>
      <w:lang w:val="zh-CN" w:bidi="zh-CN"/>
    </w:rPr>
  </w:style>
  <w:style w:type="paragraph" w:customStyle="1" w:styleId="172">
    <w:name w:val="表内式样"/>
    <w:qFormat/>
    <w:uiPriority w:val="0"/>
    <w:pPr>
      <w:widowControl w:val="0"/>
      <w:spacing w:line="360" w:lineRule="exact"/>
      <w:jc w:val="center"/>
    </w:pPr>
    <w:rPr>
      <w:rFonts w:ascii="宋体" w:hAnsi="宋体" w:eastAsia="宋体" w:cs="Times New Roman"/>
      <w:color w:val="000000"/>
      <w:kern w:val="2"/>
      <w:sz w:val="21"/>
      <w:szCs w:val="24"/>
      <w:lang w:val="en-US" w:eastAsia="zh-CN" w:bidi="ar-SA"/>
    </w:rPr>
  </w:style>
  <w:style w:type="paragraph" w:customStyle="1" w:styleId="173">
    <w:name w:val="CM12"/>
    <w:basedOn w:val="160"/>
    <w:next w:val="160"/>
    <w:qFormat/>
    <w:uiPriority w:val="99"/>
    <w:pPr>
      <w:spacing w:line="468" w:lineRule="atLeast"/>
    </w:pPr>
    <w:rPr>
      <w:rFonts w:ascii="黑体" w:hAnsi="Calibri" w:eastAsia="黑体" w:cs="Times New Roman"/>
      <w:color w:val="auto"/>
    </w:rPr>
  </w:style>
  <w:style w:type="paragraph" w:customStyle="1" w:styleId="174">
    <w:name w:val="Char Char Char Char Char Char Char Char Char Char Char Char Char Char Char Char Char Char Char Char1 Char Char Char Char Char Char Char Char Char Char Char Char Char Char Char Char"/>
    <w:basedOn w:val="1"/>
    <w:qFormat/>
    <w:uiPriority w:val="0"/>
    <w:rPr>
      <w:rFonts w:ascii="Tahoma" w:hAnsi="Tahoma" w:eastAsia="仿宋_GB2312"/>
      <w:b/>
      <w:kern w:val="0"/>
      <w:sz w:val="24"/>
      <w:szCs w:val="20"/>
    </w:rPr>
  </w:style>
  <w:style w:type="paragraph" w:customStyle="1" w:styleId="175">
    <w:name w:val="表头aa"/>
    <w:basedOn w:val="40"/>
    <w:qFormat/>
    <w:uiPriority w:val="0"/>
    <w:pPr>
      <w:widowControl w:val="0"/>
      <w:snapToGrid/>
      <w:spacing w:before="0" w:after="0" w:line="240" w:lineRule="auto"/>
      <w:ind w:right="0" w:firstLine="465" w:firstLineChars="0"/>
      <w:jc w:val="center"/>
    </w:pPr>
    <w:rPr>
      <w:rFonts w:ascii="Calibri" w:hAnsi="Calibri" w:cs="Times New Roman"/>
      <w:b/>
      <w:bCs/>
      <w:kern w:val="24"/>
      <w:sz w:val="24"/>
      <w:szCs w:val="24"/>
    </w:rPr>
  </w:style>
  <w:style w:type="paragraph" w:customStyle="1" w:styleId="176">
    <w:name w:val="xl36"/>
    <w:basedOn w:val="1"/>
    <w:qFormat/>
    <w:uiPriority w:val="0"/>
    <w:pPr>
      <w:widowControl/>
      <w:pBdr>
        <w:bottom w:val="single" w:color="auto" w:sz="4" w:space="0"/>
      </w:pBdr>
      <w:spacing w:before="100" w:beforeAutospacing="1" w:after="100" w:afterAutospacing="1"/>
      <w:jc w:val="center"/>
    </w:pPr>
    <w:rPr>
      <w:rFonts w:ascii="宋体" w:hAnsi="宋体"/>
      <w:kern w:val="0"/>
      <w:sz w:val="24"/>
      <w:szCs w:val="20"/>
    </w:rPr>
  </w:style>
  <w:style w:type="paragraph" w:customStyle="1" w:styleId="177">
    <w:name w:val="表文"/>
    <w:basedOn w:val="20"/>
    <w:next w:val="12"/>
    <w:link w:val="178"/>
    <w:qFormat/>
    <w:uiPriority w:val="0"/>
    <w:pPr>
      <w:widowControl w:val="0"/>
      <w:snapToGrid/>
      <w:spacing w:before="0" w:after="0" w:line="360" w:lineRule="auto"/>
      <w:ind w:right="0"/>
    </w:pPr>
    <w:rPr>
      <w:rFonts w:ascii="Calibri" w:hAnsi="Calibri" w:eastAsia="仿宋_GB2312" w:cs="Times New Roman"/>
      <w:b/>
      <w:kern w:val="2"/>
      <w:sz w:val="24"/>
    </w:rPr>
  </w:style>
  <w:style w:type="character" w:customStyle="1" w:styleId="178">
    <w:name w:val="表文 Char"/>
    <w:link w:val="177"/>
    <w:qFormat/>
    <w:uiPriority w:val="0"/>
    <w:rPr>
      <w:rFonts w:ascii="Calibri" w:hAnsi="Calibri" w:eastAsia="仿宋_GB2312"/>
      <w:b/>
      <w:kern w:val="2"/>
      <w:sz w:val="24"/>
    </w:rPr>
  </w:style>
  <w:style w:type="paragraph" w:customStyle="1" w:styleId="179">
    <w:name w:val="Char Char1 Char Char Char Char"/>
    <w:basedOn w:val="1"/>
    <w:qFormat/>
    <w:uiPriority w:val="0"/>
  </w:style>
  <w:style w:type="paragraph" w:customStyle="1" w:styleId="180">
    <w:name w:val="表格内容（新）"/>
    <w:basedOn w:val="1"/>
    <w:qFormat/>
    <w:uiPriority w:val="0"/>
    <w:rPr>
      <w:color w:val="FF0000"/>
      <w:szCs w:val="21"/>
    </w:rPr>
  </w:style>
  <w:style w:type="paragraph" w:customStyle="1" w:styleId="181">
    <w:name w:val="正文2"/>
    <w:basedOn w:val="1"/>
    <w:qFormat/>
    <w:uiPriority w:val="0"/>
    <w:pPr>
      <w:widowControl/>
      <w:tabs>
        <w:tab w:val="left" w:pos="900"/>
        <w:tab w:val="left" w:pos="1080"/>
      </w:tabs>
      <w:autoSpaceDE w:val="0"/>
      <w:autoSpaceDN w:val="0"/>
      <w:spacing w:line="360" w:lineRule="auto"/>
      <w:ind w:firstLine="200" w:firstLineChars="200"/>
    </w:pPr>
    <w:rPr>
      <w:rFonts w:cs="宋体"/>
      <w:kern w:val="0"/>
      <w:sz w:val="24"/>
      <w:lang w:val="zh-CN" w:bidi="en-US"/>
    </w:rPr>
  </w:style>
  <w:style w:type="paragraph" w:customStyle="1" w:styleId="182">
    <w:name w:val="表中"/>
    <w:basedOn w:val="1"/>
    <w:qFormat/>
    <w:uiPriority w:val="0"/>
    <w:pPr>
      <w:adjustRightInd w:val="0"/>
      <w:snapToGrid w:val="0"/>
      <w:jc w:val="center"/>
    </w:pPr>
    <w:rPr>
      <w:rFonts w:cs="宋体"/>
      <w:color w:val="000000"/>
      <w:szCs w:val="21"/>
    </w:rPr>
  </w:style>
  <w:style w:type="paragraph" w:customStyle="1" w:styleId="183">
    <w:name w:val="Char Char Char1 Char"/>
    <w:basedOn w:val="1"/>
    <w:qFormat/>
    <w:uiPriority w:val="0"/>
    <w:rPr>
      <w:sz w:val="24"/>
    </w:rPr>
  </w:style>
  <w:style w:type="paragraph" w:customStyle="1" w:styleId="184">
    <w:name w:val="正文缩近"/>
    <w:basedOn w:val="1"/>
    <w:qFormat/>
    <w:uiPriority w:val="0"/>
    <w:pPr>
      <w:spacing w:line="360" w:lineRule="auto"/>
      <w:ind w:firstLine="560" w:firstLineChars="200"/>
    </w:pPr>
    <w:rPr>
      <w:rFonts w:cs="宋体"/>
      <w:sz w:val="28"/>
      <w:szCs w:val="28"/>
    </w:rPr>
  </w:style>
  <w:style w:type="paragraph" w:customStyle="1" w:styleId="185">
    <w:name w:val="CM94"/>
    <w:basedOn w:val="160"/>
    <w:next w:val="160"/>
    <w:qFormat/>
    <w:uiPriority w:val="99"/>
    <w:pPr>
      <w:spacing w:line="468" w:lineRule="atLeast"/>
    </w:pPr>
    <w:rPr>
      <w:rFonts w:ascii="黑体" w:hAnsi="Calibri" w:eastAsia="黑体" w:cs="Times New Roman"/>
      <w:color w:val="auto"/>
    </w:rPr>
  </w:style>
  <w:style w:type="paragraph" w:customStyle="1" w:styleId="186">
    <w:name w:val="_Style 37"/>
    <w:basedOn w:val="4"/>
    <w:qFormat/>
    <w:uiPriority w:val="0"/>
    <w:pPr>
      <w:numPr>
        <w:ilvl w:val="0"/>
        <w:numId w:val="0"/>
      </w:numPr>
      <w:tabs>
        <w:tab w:val="left" w:pos="360"/>
        <w:tab w:val="left" w:pos="900"/>
      </w:tabs>
      <w:snapToGrid w:val="0"/>
      <w:spacing w:before="120" w:after="120"/>
      <w:ind w:left="-12" w:leftChars="-12" w:firstLine="200" w:firstLineChars="200"/>
      <w:jc w:val="left"/>
    </w:pPr>
    <w:rPr>
      <w:rFonts w:ascii="Times New Roman" w:hAnsi="Times New Roman" w:eastAsia="宋体"/>
      <w:b w:val="0"/>
      <w:kern w:val="2"/>
      <w:sz w:val="32"/>
      <w:szCs w:val="20"/>
    </w:rPr>
  </w:style>
  <w:style w:type="paragraph" w:customStyle="1" w:styleId="187">
    <w:name w:val="4正文"/>
    <w:basedOn w:val="14"/>
    <w:qFormat/>
    <w:uiPriority w:val="0"/>
    <w:pPr>
      <w:spacing w:after="0" w:line="560" w:lineRule="exact"/>
      <w:ind w:left="0" w:leftChars="0" w:firstLine="560" w:firstLineChars="200"/>
    </w:pPr>
    <w:rPr>
      <w:rFonts w:ascii="Calibri" w:hAnsi="Calibri" w:eastAsia="宋体" w:cs="宋体"/>
    </w:rPr>
  </w:style>
  <w:style w:type="paragraph" w:customStyle="1" w:styleId="188">
    <w:name w:val="CM9"/>
    <w:basedOn w:val="160"/>
    <w:next w:val="160"/>
    <w:qFormat/>
    <w:uiPriority w:val="99"/>
    <w:pPr>
      <w:spacing w:line="468" w:lineRule="atLeast"/>
    </w:pPr>
    <w:rPr>
      <w:rFonts w:ascii="黑体" w:hAnsi="Calibri" w:eastAsia="黑体" w:cs="Times New Roman"/>
      <w:color w:val="auto"/>
    </w:rPr>
  </w:style>
  <w:style w:type="paragraph" w:customStyle="1" w:styleId="189">
    <w:name w:val="Char Char Char Char Char Char Char"/>
    <w:basedOn w:val="1"/>
    <w:qFormat/>
    <w:uiPriority w:val="0"/>
    <w:pPr>
      <w:widowControl/>
      <w:spacing w:after="160" w:line="240" w:lineRule="exact"/>
      <w:jc w:val="left"/>
    </w:pPr>
    <w:rPr>
      <w:sz w:val="24"/>
    </w:rPr>
  </w:style>
  <w:style w:type="paragraph" w:customStyle="1" w:styleId="190">
    <w:name w:val="Char 姬"/>
    <w:basedOn w:val="1"/>
    <w:qFormat/>
    <w:uiPriority w:val="0"/>
    <w:rPr>
      <w:szCs w:val="20"/>
    </w:rPr>
  </w:style>
  <w:style w:type="paragraph" w:customStyle="1" w:styleId="191">
    <w:name w:val="表头000"/>
    <w:basedOn w:val="1"/>
    <w:qFormat/>
    <w:uiPriority w:val="0"/>
    <w:pPr>
      <w:adjustRightInd w:val="0"/>
      <w:jc w:val="center"/>
    </w:pPr>
    <w:rPr>
      <w:rFonts w:hAnsi="宋体"/>
      <w:b/>
      <w:bCs/>
      <w:color w:val="000000"/>
      <w:sz w:val="24"/>
      <w:szCs w:val="21"/>
    </w:rPr>
  </w:style>
  <w:style w:type="paragraph" w:customStyle="1" w:styleId="192">
    <w:name w:val="列出段落1"/>
    <w:basedOn w:val="1"/>
    <w:qFormat/>
    <w:uiPriority w:val="0"/>
    <w:pPr>
      <w:ind w:firstLine="200" w:firstLineChars="200"/>
    </w:pPr>
    <w:rPr>
      <w:szCs w:val="20"/>
    </w:rPr>
  </w:style>
  <w:style w:type="paragraph" w:customStyle="1" w:styleId="193">
    <w:name w:val="中文报告书样式"/>
    <w:basedOn w:val="1"/>
    <w:qFormat/>
    <w:uiPriority w:val="0"/>
    <w:pPr>
      <w:adjustRightInd w:val="0"/>
      <w:spacing w:line="480" w:lineRule="atLeast"/>
      <w:ind w:firstLine="482"/>
    </w:pPr>
    <w:rPr>
      <w:kern w:val="24"/>
      <w:sz w:val="24"/>
      <w:szCs w:val="20"/>
    </w:rPr>
  </w:style>
  <w:style w:type="paragraph" w:customStyle="1" w:styleId="194">
    <w:name w:val="样式 标题 2 + 首行缩进:  2 字符"/>
    <w:basedOn w:val="3"/>
    <w:qFormat/>
    <w:uiPriority w:val="0"/>
    <w:pPr>
      <w:adjustRightInd w:val="0"/>
      <w:snapToGrid w:val="0"/>
      <w:spacing w:before="0" w:beforeAutospacing="0" w:after="0" w:afterAutospacing="0" w:line="360" w:lineRule="auto"/>
      <w:jc w:val="both"/>
    </w:pPr>
    <w:rPr>
      <w:rFonts w:hint="default" w:ascii="Times New Roman" w:cs="宋体"/>
      <w:sz w:val="24"/>
      <w:szCs w:val="24"/>
    </w:rPr>
  </w:style>
  <w:style w:type="paragraph" w:customStyle="1" w:styleId="195">
    <w:name w:val="正文aa"/>
    <w:basedOn w:val="1"/>
    <w:qFormat/>
    <w:uiPriority w:val="0"/>
    <w:pPr>
      <w:spacing w:line="360" w:lineRule="auto"/>
      <w:ind w:firstLine="480" w:firstLineChars="200"/>
    </w:pPr>
    <w:rPr>
      <w:color w:val="FF0000"/>
      <w:sz w:val="24"/>
      <w:szCs w:val="22"/>
    </w:rPr>
  </w:style>
  <w:style w:type="paragraph" w:customStyle="1" w:styleId="196">
    <w:name w:val="ZT-正文"/>
    <w:basedOn w:val="1"/>
    <w:qFormat/>
    <w:uiPriority w:val="0"/>
    <w:pPr>
      <w:spacing w:line="360" w:lineRule="auto"/>
      <w:ind w:firstLine="200" w:firstLineChars="200"/>
    </w:pPr>
    <w:rPr>
      <w:rFonts w:ascii="Arial" w:hAnsi="Arial" w:cs="Arial"/>
      <w:sz w:val="22"/>
      <w:szCs w:val="20"/>
    </w:rPr>
  </w:style>
  <w:style w:type="character" w:customStyle="1" w:styleId="197">
    <w:name w:val="a-表内 Char"/>
    <w:link w:val="198"/>
    <w:qFormat/>
    <w:uiPriority w:val="0"/>
    <w:rPr>
      <w:color w:val="000000"/>
      <w:szCs w:val="21"/>
    </w:rPr>
  </w:style>
  <w:style w:type="paragraph" w:customStyle="1" w:styleId="198">
    <w:name w:val="a-表内"/>
    <w:link w:val="197"/>
    <w:qFormat/>
    <w:uiPriority w:val="0"/>
    <w:pPr>
      <w:adjustRightInd w:val="0"/>
      <w:snapToGrid w:val="0"/>
      <w:jc w:val="center"/>
    </w:pPr>
    <w:rPr>
      <w:rFonts w:ascii="Times New Roman" w:hAnsi="Times New Roman" w:eastAsia="宋体" w:cs="Times New Roman"/>
      <w:color w:val="000000"/>
      <w:szCs w:val="21"/>
      <w:lang w:val="en-US" w:eastAsia="zh-CN" w:bidi="ar-SA"/>
    </w:rPr>
  </w:style>
  <w:style w:type="character" w:customStyle="1" w:styleId="199">
    <w:name w:val="样式 小四 行距: 1.5 倍行距 Char"/>
    <w:link w:val="200"/>
    <w:qFormat/>
    <w:uiPriority w:val="99"/>
    <w:rPr>
      <w:rFonts w:eastAsia="仿宋_GB2312"/>
      <w:kern w:val="2"/>
      <w:sz w:val="28"/>
    </w:rPr>
  </w:style>
  <w:style w:type="paragraph" w:customStyle="1" w:styleId="200">
    <w:name w:val="样式 小四 行距: 1.5 倍行距"/>
    <w:basedOn w:val="1"/>
    <w:link w:val="199"/>
    <w:qFormat/>
    <w:uiPriority w:val="99"/>
    <w:pPr>
      <w:tabs>
        <w:tab w:val="left" w:pos="7770"/>
      </w:tabs>
      <w:adjustRightInd w:val="0"/>
      <w:snapToGrid w:val="0"/>
      <w:spacing w:line="360" w:lineRule="auto"/>
      <w:ind w:firstLine="560" w:firstLineChars="200"/>
    </w:pPr>
    <w:rPr>
      <w:rFonts w:eastAsia="仿宋_GB2312"/>
      <w:sz w:val="28"/>
      <w:szCs w:val="20"/>
    </w:rPr>
  </w:style>
  <w:style w:type="paragraph" w:customStyle="1" w:styleId="201">
    <w:name w:val="a-文本缩2"/>
    <w:qFormat/>
    <w:uiPriority w:val="0"/>
    <w:pPr>
      <w:widowControl w:val="0"/>
      <w:adjustRightInd w:val="0"/>
      <w:snapToGrid w:val="0"/>
      <w:ind w:firstLine="480" w:firstLineChars="200"/>
      <w:jc w:val="center"/>
    </w:pPr>
    <w:rPr>
      <w:rFonts w:ascii="Times New Roman" w:hAnsi="Times New Roman" w:eastAsia="宋体" w:cs="Times New Roman"/>
      <w:kern w:val="2"/>
      <w:sz w:val="24"/>
      <w:szCs w:val="21"/>
      <w:lang w:val="en-US" w:eastAsia="zh-CN" w:bidi="ar-SA"/>
    </w:rPr>
  </w:style>
  <w:style w:type="paragraph" w:customStyle="1" w:styleId="202">
    <w:name w:val="【正文】"/>
    <w:basedOn w:val="1"/>
    <w:qFormat/>
    <w:uiPriority w:val="0"/>
    <w:pPr>
      <w:spacing w:line="500" w:lineRule="exact"/>
      <w:ind w:firstLine="480" w:firstLineChars="200"/>
    </w:pPr>
    <w:rPr>
      <w:sz w:val="24"/>
      <w:szCs w:val="22"/>
    </w:rPr>
  </w:style>
  <w:style w:type="paragraph" w:customStyle="1" w:styleId="203">
    <w:name w:val="【表头】"/>
    <w:basedOn w:val="1"/>
    <w:link w:val="204"/>
    <w:qFormat/>
    <w:uiPriority w:val="0"/>
    <w:pPr>
      <w:adjustRightInd w:val="0"/>
      <w:snapToGrid w:val="0"/>
      <w:spacing w:line="500" w:lineRule="exact"/>
      <w:jc w:val="center"/>
    </w:pPr>
    <w:rPr>
      <w:rFonts w:ascii="Calibri" w:hAnsi="Calibri" w:eastAsia="黑体"/>
      <w:sz w:val="24"/>
      <w:szCs w:val="22"/>
      <w:lang w:val="zh-CN"/>
    </w:rPr>
  </w:style>
  <w:style w:type="character" w:customStyle="1" w:styleId="204">
    <w:name w:val="【表头】 Char"/>
    <w:link w:val="203"/>
    <w:qFormat/>
    <w:uiPriority w:val="0"/>
    <w:rPr>
      <w:rFonts w:ascii="Calibri" w:hAnsi="Calibri" w:eastAsia="黑体"/>
      <w:kern w:val="2"/>
      <w:sz w:val="24"/>
      <w:szCs w:val="22"/>
      <w:lang w:val="zh-CN"/>
    </w:rPr>
  </w:style>
  <w:style w:type="character" w:customStyle="1" w:styleId="205">
    <w:name w:val="line41"/>
    <w:qFormat/>
    <w:uiPriority w:val="0"/>
  </w:style>
  <w:style w:type="character" w:customStyle="1" w:styleId="206">
    <w:name w:val="样式1 Char Char"/>
    <w:qFormat/>
    <w:uiPriority w:val="0"/>
    <w:rPr>
      <w:rFonts w:eastAsia="宋体"/>
      <w:sz w:val="24"/>
      <w:szCs w:val="24"/>
      <w:lang w:val="zh-CN" w:eastAsia="zh-CN" w:bidi="ar-SA"/>
    </w:rPr>
  </w:style>
  <w:style w:type="character" w:customStyle="1" w:styleId="207">
    <w:name w:val="15"/>
    <w:qFormat/>
    <w:uiPriority w:val="0"/>
    <w:rPr>
      <w:rFonts w:ascii="Times New Roman" w:hAnsi="Times New Roman" w:cs="Times New Roman"/>
      <w:sz w:val="24"/>
      <w:szCs w:val="24"/>
    </w:rPr>
  </w:style>
  <w:style w:type="paragraph" w:customStyle="1" w:styleId="208">
    <w:name w:val="正文001"/>
    <w:basedOn w:val="1"/>
    <w:qFormat/>
    <w:uiPriority w:val="0"/>
    <w:pPr>
      <w:spacing w:before="60" w:line="460" w:lineRule="exact"/>
      <w:ind w:firstLine="555"/>
    </w:pPr>
    <w:rPr>
      <w:rFonts w:ascii="Calibri" w:hAnsi="Calibri"/>
      <w:sz w:val="27"/>
      <w:szCs w:val="20"/>
    </w:rPr>
  </w:style>
  <w:style w:type="paragraph" w:customStyle="1" w:styleId="209">
    <w:name w:val="报告正文"/>
    <w:basedOn w:val="1"/>
    <w:qFormat/>
    <w:uiPriority w:val="0"/>
    <w:pPr>
      <w:spacing w:line="360" w:lineRule="auto"/>
    </w:pPr>
    <w:rPr>
      <w:rFonts w:ascii="宋体" w:hAnsi="Calibri" w:cs="宋体"/>
      <w:sz w:val="24"/>
      <w:szCs w:val="20"/>
    </w:rPr>
  </w:style>
  <w:style w:type="character" w:customStyle="1" w:styleId="210">
    <w:name w:val="p111"/>
    <w:qFormat/>
    <w:uiPriority w:val="0"/>
    <w:rPr>
      <w:color w:val="000000"/>
      <w:sz w:val="18"/>
    </w:rPr>
  </w:style>
  <w:style w:type="paragraph" w:customStyle="1" w:styleId="211">
    <w:name w:val="表格正文"/>
    <w:basedOn w:val="1"/>
    <w:qFormat/>
    <w:uiPriority w:val="0"/>
    <w:pPr>
      <w:spacing w:line="360" w:lineRule="exact"/>
      <w:jc w:val="center"/>
    </w:pPr>
    <w:rPr>
      <w:rFonts w:ascii="Calibri" w:hAnsi="Calibri"/>
      <w:szCs w:val="20"/>
    </w:rPr>
  </w:style>
  <w:style w:type="paragraph" w:customStyle="1" w:styleId="212">
    <w:name w:val="正文01 Char Char"/>
    <w:basedOn w:val="1"/>
    <w:qFormat/>
    <w:uiPriority w:val="0"/>
    <w:pPr>
      <w:adjustRightInd w:val="0"/>
      <w:snapToGrid w:val="0"/>
      <w:spacing w:before="60" w:line="460" w:lineRule="exact"/>
      <w:ind w:firstLine="200" w:firstLineChars="200"/>
    </w:pPr>
    <w:rPr>
      <w:rFonts w:ascii="Calibri" w:hAnsi="Calibri"/>
      <w:snapToGrid w:val="0"/>
      <w:color w:val="000000"/>
      <w:kern w:val="0"/>
      <w:sz w:val="24"/>
    </w:rPr>
  </w:style>
  <w:style w:type="paragraph" w:customStyle="1" w:styleId="213">
    <w:name w:val="环评列表"/>
    <w:basedOn w:val="31"/>
    <w:qFormat/>
    <w:uiPriority w:val="0"/>
    <w:pPr>
      <w:ind w:left="0" w:firstLine="0" w:firstLineChars="0"/>
      <w:jc w:val="center"/>
    </w:pPr>
    <w:rPr>
      <w:rFonts w:ascii="Calibri" w:hAnsi="Calibri" w:cs="宋体"/>
      <w:szCs w:val="20"/>
    </w:rPr>
  </w:style>
  <w:style w:type="paragraph" w:customStyle="1" w:styleId="214">
    <w:name w:val="正文样式"/>
    <w:basedOn w:val="1"/>
    <w:qFormat/>
    <w:uiPriority w:val="0"/>
    <w:pPr>
      <w:spacing w:line="460" w:lineRule="exact"/>
      <w:ind w:firstLine="200" w:firstLineChars="200"/>
    </w:pPr>
    <w:rPr>
      <w:rFonts w:ascii="宋体" w:hAnsi="Calibri"/>
      <w:sz w:val="24"/>
    </w:rPr>
  </w:style>
  <w:style w:type="paragraph" w:customStyle="1" w:styleId="215">
    <w:name w:val="啊啊"/>
    <w:basedOn w:val="1"/>
    <w:qFormat/>
    <w:uiPriority w:val="0"/>
    <w:pPr>
      <w:spacing w:line="360" w:lineRule="auto"/>
      <w:ind w:firstLine="200" w:firstLineChars="200"/>
    </w:pPr>
    <w:rPr>
      <w:rFonts w:ascii="Calibri" w:hAnsi="Calibri"/>
      <w:sz w:val="28"/>
      <w:szCs w:val="28"/>
    </w:rPr>
  </w:style>
  <w:style w:type="character" w:customStyle="1" w:styleId="216">
    <w:name w:val="hb33 Char"/>
    <w:qFormat/>
    <w:uiPriority w:val="0"/>
    <w:rPr>
      <w:rFonts w:eastAsia="宋体" w:cs="宋体"/>
      <w:b/>
      <w:bCs/>
      <w:kern w:val="2"/>
      <w:sz w:val="28"/>
      <w:szCs w:val="28"/>
      <w:lang w:val="en-US" w:eastAsia="zh-CN" w:bidi="ar-SA"/>
    </w:rPr>
  </w:style>
  <w:style w:type="character" w:customStyle="1" w:styleId="217">
    <w:name w:val="正文01 Char1"/>
    <w:qFormat/>
    <w:uiPriority w:val="0"/>
    <w:rPr>
      <w:rFonts w:ascii="Arial" w:hAnsi="Arial" w:eastAsia="宋体"/>
      <w:kern w:val="2"/>
      <w:sz w:val="24"/>
      <w:lang w:val="en-US" w:eastAsia="zh-CN" w:bidi="ar-SA"/>
    </w:rPr>
  </w:style>
  <w:style w:type="paragraph" w:customStyle="1" w:styleId="218">
    <w:name w:val="报告表样式"/>
    <w:basedOn w:val="1"/>
    <w:qFormat/>
    <w:uiPriority w:val="0"/>
    <w:pPr>
      <w:adjustRightInd w:val="0"/>
      <w:snapToGrid w:val="0"/>
      <w:spacing w:line="360" w:lineRule="auto"/>
      <w:ind w:firstLine="200" w:firstLineChars="200"/>
    </w:pPr>
    <w:rPr>
      <w:rFonts w:ascii="Calibri" w:hAnsi="Calibri"/>
      <w:kern w:val="0"/>
      <w:sz w:val="28"/>
      <w:szCs w:val="28"/>
    </w:rPr>
  </w:style>
  <w:style w:type="paragraph" w:customStyle="1" w:styleId="219">
    <w:name w:val="我的正文"/>
    <w:basedOn w:val="1"/>
    <w:qFormat/>
    <w:uiPriority w:val="0"/>
    <w:pPr>
      <w:spacing w:line="312" w:lineRule="auto"/>
      <w:ind w:firstLine="200" w:firstLineChars="200"/>
    </w:pPr>
    <w:rPr>
      <w:rFonts w:ascii="Calibri" w:hAnsi="Calibri" w:eastAsia="仿宋_GB2312" w:cs="宋体"/>
      <w:sz w:val="24"/>
      <w:szCs w:val="20"/>
    </w:rPr>
  </w:style>
  <w:style w:type="character" w:customStyle="1" w:styleId="220">
    <w:name w:val="报告表样式 Char Char Char"/>
    <w:qFormat/>
    <w:uiPriority w:val="0"/>
    <w:rPr>
      <w:rFonts w:eastAsia="宋体"/>
      <w:sz w:val="28"/>
      <w:szCs w:val="28"/>
      <w:lang w:val="en-US" w:eastAsia="zh-CN" w:bidi="ar-SA"/>
    </w:rPr>
  </w:style>
  <w:style w:type="paragraph" w:customStyle="1" w:styleId="221">
    <w:name w:val="表样式"/>
    <w:basedOn w:val="1"/>
    <w:qFormat/>
    <w:uiPriority w:val="0"/>
    <w:pPr>
      <w:keepNext/>
      <w:spacing w:line="240" w:lineRule="atLeast"/>
      <w:jc w:val="center"/>
    </w:pPr>
    <w:rPr>
      <w:rFonts w:ascii="Calibri" w:hAnsi="Calibri"/>
      <w:szCs w:val="21"/>
    </w:rPr>
  </w:style>
  <w:style w:type="character" w:customStyle="1" w:styleId="222">
    <w:name w:val="zw1"/>
    <w:qFormat/>
    <w:uiPriority w:val="0"/>
    <w:rPr>
      <w:rFonts w:ascii="??" w:hAnsi="??" w:cs="??"/>
      <w:color w:val="000000"/>
      <w:sz w:val="20"/>
      <w:szCs w:val="20"/>
      <w:u w:val="none"/>
    </w:rPr>
  </w:style>
  <w:style w:type="character" w:customStyle="1" w:styleId="223">
    <w:name w:val="unnamed113"/>
    <w:qFormat/>
    <w:uiPriority w:val="0"/>
    <w:rPr>
      <w:color w:val="000000"/>
      <w:sz w:val="18"/>
      <w:szCs w:val="18"/>
    </w:rPr>
  </w:style>
  <w:style w:type="character" w:customStyle="1" w:styleId="224">
    <w:name w:val="正文001 Char Char"/>
    <w:qFormat/>
    <w:uiPriority w:val="0"/>
    <w:rPr>
      <w:rFonts w:eastAsia="宋体"/>
      <w:kern w:val="2"/>
      <w:sz w:val="27"/>
      <w:szCs w:val="27"/>
      <w:lang w:val="en-US" w:eastAsia="zh-CN" w:bidi="ar-SA"/>
    </w:rPr>
  </w:style>
  <w:style w:type="paragraph" w:customStyle="1" w:styleId="225">
    <w:name w:val="正xx"/>
    <w:basedOn w:val="1"/>
    <w:qFormat/>
    <w:uiPriority w:val="0"/>
    <w:pPr>
      <w:spacing w:line="360" w:lineRule="auto"/>
      <w:ind w:firstLine="200" w:firstLineChars="200"/>
    </w:pPr>
    <w:rPr>
      <w:rFonts w:ascii="宋体" w:hAnsi="Calibri"/>
      <w:color w:val="000000"/>
      <w:sz w:val="24"/>
    </w:rPr>
  </w:style>
  <w:style w:type="paragraph" w:customStyle="1" w:styleId="226">
    <w:name w:val="二级标题"/>
    <w:basedOn w:val="1"/>
    <w:qFormat/>
    <w:uiPriority w:val="0"/>
    <w:pPr>
      <w:spacing w:before="60" w:line="460" w:lineRule="exact"/>
      <w:outlineLvl w:val="1"/>
    </w:pPr>
    <w:rPr>
      <w:rFonts w:ascii="Calibri" w:hAnsi="Calibri"/>
      <w:b/>
      <w:sz w:val="28"/>
    </w:rPr>
  </w:style>
  <w:style w:type="paragraph" w:customStyle="1" w:styleId="227">
    <w:name w:val="环评列表表头"/>
    <w:qFormat/>
    <w:uiPriority w:val="0"/>
    <w:pPr>
      <w:jc w:val="center"/>
    </w:pPr>
    <w:rPr>
      <w:rFonts w:ascii="Calibri" w:hAnsi="Calibri" w:eastAsia="宋体" w:cs="Times New Roman"/>
      <w:b/>
      <w:bCs/>
      <w:szCs w:val="21"/>
      <w:lang w:val="en-US" w:eastAsia="zh-CN" w:bidi="ar-SA"/>
    </w:rPr>
  </w:style>
  <w:style w:type="character" w:customStyle="1" w:styleId="228">
    <w:name w:val="style42 style6"/>
    <w:qFormat/>
    <w:uiPriority w:val="0"/>
    <w:rPr>
      <w:rFonts w:cs="Times New Roman"/>
    </w:rPr>
  </w:style>
  <w:style w:type="character" w:customStyle="1" w:styleId="229">
    <w:name w:val="fs"/>
    <w:qFormat/>
    <w:uiPriority w:val="0"/>
  </w:style>
  <w:style w:type="paragraph" w:customStyle="1" w:styleId="230">
    <w:name w:val="正文01"/>
    <w:basedOn w:val="1"/>
    <w:qFormat/>
    <w:uiPriority w:val="0"/>
    <w:pPr>
      <w:spacing w:before="60" w:line="460" w:lineRule="exact"/>
      <w:ind w:firstLine="200" w:firstLineChars="200"/>
    </w:pPr>
    <w:rPr>
      <w:rFonts w:ascii="Calibri" w:hAnsi="Calibri"/>
      <w:sz w:val="24"/>
      <w:szCs w:val="20"/>
    </w:rPr>
  </w:style>
  <w:style w:type="paragraph" w:customStyle="1" w:styleId="231">
    <w:name w:val="三级标题"/>
    <w:basedOn w:val="230"/>
    <w:qFormat/>
    <w:uiPriority w:val="0"/>
    <w:pPr>
      <w:spacing w:before="300"/>
      <w:ind w:firstLine="0" w:firstLineChars="0"/>
      <w:outlineLvl w:val="2"/>
    </w:pPr>
    <w:rPr>
      <w:b/>
      <w:szCs w:val="24"/>
    </w:rPr>
  </w:style>
  <w:style w:type="paragraph" w:customStyle="1" w:styleId="232">
    <w:name w:val="表号"/>
    <w:qFormat/>
    <w:uiPriority w:val="0"/>
    <w:pPr>
      <w:adjustRightInd w:val="0"/>
      <w:snapToGrid w:val="0"/>
      <w:spacing w:line="240" w:lineRule="atLeast"/>
      <w:jc w:val="both"/>
      <w:outlineLvl w:val="4"/>
    </w:pPr>
    <w:rPr>
      <w:rFonts w:ascii="Calibri" w:hAnsi="Calibri" w:eastAsia="宋体" w:cs="宋体"/>
      <w:kern w:val="2"/>
      <w:sz w:val="24"/>
      <w:szCs w:val="24"/>
      <w:lang w:val="en-US" w:eastAsia="zh-CN" w:bidi="ar-SA"/>
    </w:rPr>
  </w:style>
  <w:style w:type="character" w:customStyle="1" w:styleId="233">
    <w:name w:val="unnamed112"/>
    <w:qFormat/>
    <w:uiPriority w:val="0"/>
    <w:rPr>
      <w:sz w:val="24"/>
      <w:szCs w:val="24"/>
    </w:rPr>
  </w:style>
  <w:style w:type="character" w:customStyle="1" w:styleId="234">
    <w:name w:val="表格标题 Char"/>
    <w:qFormat/>
    <w:uiPriority w:val="0"/>
    <w:rPr>
      <w:rFonts w:eastAsia="宋体"/>
      <w:kern w:val="2"/>
      <w:sz w:val="24"/>
      <w:szCs w:val="24"/>
      <w:lang w:val="en-US" w:eastAsia="zh-CN" w:bidi="ar-SA"/>
    </w:rPr>
  </w:style>
  <w:style w:type="character" w:customStyle="1" w:styleId="235">
    <w:name w:val="font01"/>
    <w:qFormat/>
    <w:uiPriority w:val="0"/>
    <w:rPr>
      <w:rFonts w:ascii="宋体" w:eastAsia="宋体" w:cs="宋体"/>
      <w:color w:val="000000"/>
      <w:sz w:val="18"/>
      <w:szCs w:val="18"/>
      <w:u w:val="none"/>
    </w:rPr>
  </w:style>
  <w:style w:type="paragraph" w:customStyle="1" w:styleId="236">
    <w:name w:val="样式 样式 正文1 + 段前: 0.1 行 + 段前: 0.1 行"/>
    <w:basedOn w:val="1"/>
    <w:qFormat/>
    <w:uiPriority w:val="0"/>
    <w:pPr>
      <w:snapToGrid w:val="0"/>
      <w:spacing w:beforeLines="10" w:line="440" w:lineRule="atLeast"/>
      <w:ind w:firstLine="567"/>
    </w:pPr>
    <w:rPr>
      <w:rFonts w:ascii="Calibri" w:hAnsi="Calibri"/>
      <w:sz w:val="24"/>
      <w:szCs w:val="20"/>
    </w:rPr>
  </w:style>
  <w:style w:type="paragraph" w:customStyle="1" w:styleId="237">
    <w:name w:val="正文1"/>
    <w:next w:val="238"/>
    <w:qFormat/>
    <w:uiPriority w:val="0"/>
    <w:pPr>
      <w:widowControl w:val="0"/>
      <w:adjustRightInd w:val="0"/>
      <w:snapToGrid w:val="0"/>
      <w:spacing w:line="48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238">
    <w:name w:val="样式23"/>
    <w:basedOn w:val="1"/>
    <w:qFormat/>
    <w:uiPriority w:val="0"/>
    <w:pPr>
      <w:adjustRightInd w:val="0"/>
      <w:snapToGrid w:val="0"/>
      <w:spacing w:line="360" w:lineRule="auto"/>
      <w:outlineLvl w:val="1"/>
    </w:pPr>
    <w:rPr>
      <w:rFonts w:ascii="黑体" w:hAnsi="Calibri" w:eastAsia="黑体"/>
      <w:sz w:val="28"/>
      <w:szCs w:val="28"/>
    </w:rPr>
  </w:style>
  <w:style w:type="character" w:customStyle="1" w:styleId="239">
    <w:name w:val="f1"/>
    <w:qFormat/>
    <w:uiPriority w:val="0"/>
  </w:style>
  <w:style w:type="paragraph" w:customStyle="1" w:styleId="240">
    <w:name w:val="样式3"/>
    <w:basedOn w:val="23"/>
    <w:link w:val="241"/>
    <w:qFormat/>
    <w:uiPriority w:val="0"/>
    <w:pPr>
      <w:adjustRightInd w:val="0"/>
      <w:snapToGrid w:val="0"/>
      <w:outlineLvl w:val="1"/>
    </w:pPr>
    <w:rPr>
      <w:rFonts w:ascii="黑体" w:hAnsi="宋体" w:eastAsia="黑体"/>
      <w:kern w:val="2"/>
      <w:sz w:val="28"/>
      <w:szCs w:val="28"/>
    </w:rPr>
  </w:style>
  <w:style w:type="character" w:customStyle="1" w:styleId="241">
    <w:name w:val="样式3 Char Char"/>
    <w:link w:val="240"/>
    <w:qFormat/>
    <w:uiPriority w:val="0"/>
    <w:rPr>
      <w:rFonts w:ascii="黑体" w:hAnsi="宋体" w:eastAsia="黑体"/>
      <w:kern w:val="2"/>
      <w:sz w:val="28"/>
      <w:szCs w:val="28"/>
    </w:rPr>
  </w:style>
  <w:style w:type="paragraph" w:customStyle="1" w:styleId="242">
    <w:name w:val="正文 首行缩进:  2 字符"/>
    <w:basedOn w:val="1"/>
    <w:qFormat/>
    <w:uiPriority w:val="0"/>
    <w:pPr>
      <w:spacing w:beforeLines="50" w:line="360" w:lineRule="auto"/>
      <w:ind w:firstLine="200" w:firstLineChars="200"/>
    </w:pPr>
    <w:rPr>
      <w:rFonts w:ascii="宋体" w:hAnsi="Calibri"/>
      <w:color w:val="000000"/>
      <w:sz w:val="24"/>
      <w:szCs w:val="20"/>
    </w:rPr>
  </w:style>
  <w:style w:type="paragraph" w:customStyle="1" w:styleId="243">
    <w:name w:val="样式14"/>
    <w:basedOn w:val="3"/>
    <w:qFormat/>
    <w:uiPriority w:val="0"/>
    <w:pPr>
      <w:keepNext/>
      <w:keepLines/>
      <w:widowControl/>
      <w:tabs>
        <w:tab w:val="left" w:pos="720"/>
      </w:tabs>
      <w:adjustRightInd w:val="0"/>
      <w:snapToGrid w:val="0"/>
      <w:spacing w:before="0" w:beforeAutospacing="0" w:after="0" w:afterAutospacing="0" w:line="360" w:lineRule="auto"/>
    </w:pPr>
    <w:rPr>
      <w:rFonts w:hint="default" w:ascii="黑体" w:hAnsi="Arial" w:eastAsia="黑体"/>
      <w:b w:val="0"/>
      <w:sz w:val="28"/>
      <w:szCs w:val="32"/>
    </w:rPr>
  </w:style>
  <w:style w:type="paragraph" w:customStyle="1" w:styleId="244">
    <w:name w:val="样式20"/>
    <w:basedOn w:val="1"/>
    <w:qFormat/>
    <w:uiPriority w:val="0"/>
    <w:pPr>
      <w:snapToGrid w:val="0"/>
      <w:spacing w:line="360" w:lineRule="auto"/>
    </w:pPr>
    <w:rPr>
      <w:rFonts w:ascii="宋体" w:hAnsi="Calibri"/>
      <w:sz w:val="24"/>
    </w:rPr>
  </w:style>
  <w:style w:type="paragraph" w:customStyle="1" w:styleId="245">
    <w:name w:val="p20"/>
    <w:basedOn w:val="1"/>
    <w:qFormat/>
    <w:uiPriority w:val="0"/>
    <w:pPr>
      <w:widowControl/>
      <w:spacing w:line="440" w:lineRule="atLeast"/>
      <w:ind w:firstLine="420"/>
    </w:pPr>
    <w:rPr>
      <w:rFonts w:ascii="Calibri" w:hAnsi="Calibri"/>
      <w:kern w:val="0"/>
      <w:sz w:val="24"/>
    </w:rPr>
  </w:style>
  <w:style w:type="paragraph" w:customStyle="1" w:styleId="246">
    <w:name w:val="Char5"/>
    <w:basedOn w:val="1"/>
    <w:qFormat/>
    <w:uiPriority w:val="0"/>
    <w:pPr>
      <w:spacing w:line="360" w:lineRule="auto"/>
      <w:ind w:firstLine="200" w:firstLineChars="200"/>
    </w:pPr>
    <w:rPr>
      <w:rFonts w:ascii="Calibri" w:hAnsi="Calibri"/>
      <w:szCs w:val="21"/>
    </w:rPr>
  </w:style>
  <w:style w:type="paragraph" w:customStyle="1" w:styleId="247">
    <w:name w:val="Char Char5"/>
    <w:basedOn w:val="1"/>
    <w:qFormat/>
    <w:uiPriority w:val="0"/>
    <w:rPr>
      <w:rFonts w:ascii="Calibri" w:hAnsi="Calibri"/>
    </w:rPr>
  </w:style>
  <w:style w:type="paragraph" w:customStyle="1" w:styleId="248">
    <w:name w:val="Char Char Char Char"/>
    <w:basedOn w:val="1"/>
    <w:qFormat/>
    <w:uiPriority w:val="0"/>
    <w:rPr>
      <w:rFonts w:ascii="Calibri" w:hAnsi="Calibri"/>
      <w:szCs w:val="20"/>
    </w:rPr>
  </w:style>
  <w:style w:type="paragraph" w:customStyle="1" w:styleId="249">
    <w:name w:val="样式，标题 3"/>
    <w:basedOn w:val="1"/>
    <w:qFormat/>
    <w:uiPriority w:val="0"/>
    <w:pPr>
      <w:keepNext/>
      <w:keepLines/>
      <w:spacing w:beforeLines="50" w:afterLines="50" w:line="360" w:lineRule="auto"/>
      <w:outlineLvl w:val="2"/>
    </w:pPr>
    <w:rPr>
      <w:rFonts w:ascii="Calibri" w:hAnsi="Calibri" w:eastAsia="黑体"/>
      <w:kern w:val="0"/>
      <w:sz w:val="28"/>
      <w:szCs w:val="20"/>
      <w:lang w:eastAsia="en-US"/>
    </w:rPr>
  </w:style>
  <w:style w:type="paragraph" w:customStyle="1" w:styleId="250">
    <w:name w:val="11111111111111111111111111111 Char"/>
    <w:basedOn w:val="1"/>
    <w:qFormat/>
    <w:uiPriority w:val="0"/>
    <w:rPr>
      <w:rFonts w:ascii="楷体_GB2312" w:hAnsi="Calibri" w:eastAsia="楷体_GB2312"/>
    </w:rPr>
  </w:style>
  <w:style w:type="paragraph" w:customStyle="1" w:styleId="251">
    <w:name w:val="2级标题"/>
    <w:basedOn w:val="1"/>
    <w:qFormat/>
    <w:uiPriority w:val="0"/>
    <w:pPr>
      <w:spacing w:before="60" w:line="460" w:lineRule="exact"/>
      <w:outlineLvl w:val="1"/>
    </w:pPr>
    <w:rPr>
      <w:rFonts w:ascii="Arial" w:hAnsi="Arial"/>
      <w:b/>
      <w:color w:val="000000"/>
      <w:sz w:val="28"/>
    </w:rPr>
  </w:style>
  <w:style w:type="paragraph" w:customStyle="1" w:styleId="252">
    <w:name w:val="样式17"/>
    <w:basedOn w:val="1"/>
    <w:qFormat/>
    <w:uiPriority w:val="0"/>
    <w:pPr>
      <w:snapToGrid w:val="0"/>
      <w:jc w:val="center"/>
    </w:pPr>
    <w:rPr>
      <w:rFonts w:ascii="黑体" w:hAnsi="Calibri" w:eastAsia="黑体" w:cs="宋体"/>
      <w:kern w:val="0"/>
      <w:szCs w:val="21"/>
    </w:rPr>
  </w:style>
  <w:style w:type="paragraph" w:customStyle="1" w:styleId="253">
    <w:name w:val="8"/>
    <w:basedOn w:val="1"/>
    <w:qFormat/>
    <w:uiPriority w:val="0"/>
    <w:rPr>
      <w:rFonts w:ascii="Calibri" w:hAnsi="Calibri"/>
    </w:rPr>
  </w:style>
  <w:style w:type="paragraph" w:customStyle="1" w:styleId="254">
    <w:name w:val="样式 样式7 + 首行缩进:  2 字符"/>
    <w:basedOn w:val="1"/>
    <w:qFormat/>
    <w:uiPriority w:val="0"/>
    <w:pPr>
      <w:adjustRightInd w:val="0"/>
      <w:snapToGrid w:val="0"/>
      <w:spacing w:line="336" w:lineRule="auto"/>
      <w:ind w:firstLine="500" w:firstLineChars="500"/>
    </w:pPr>
    <w:rPr>
      <w:rFonts w:ascii="宋体" w:hAnsi="Calibri" w:cs="宋体"/>
      <w:sz w:val="28"/>
      <w:szCs w:val="20"/>
    </w:rPr>
  </w:style>
  <w:style w:type="paragraph" w:customStyle="1" w:styleId="255">
    <w:name w:val="Char Char4"/>
    <w:basedOn w:val="1"/>
    <w:qFormat/>
    <w:uiPriority w:val="0"/>
    <w:rPr>
      <w:rFonts w:ascii="Calibri" w:hAnsi="Calibri"/>
      <w:szCs w:val="21"/>
    </w:rPr>
  </w:style>
  <w:style w:type="paragraph" w:customStyle="1" w:styleId="256">
    <w:name w:val="Char8"/>
    <w:basedOn w:val="1"/>
    <w:qFormat/>
    <w:uiPriority w:val="0"/>
    <w:pPr>
      <w:spacing w:line="360" w:lineRule="auto"/>
      <w:ind w:firstLine="200" w:firstLineChars="200"/>
    </w:pPr>
    <w:rPr>
      <w:rFonts w:ascii="宋体" w:hAnsi="Calibri" w:cs="宋体"/>
      <w:sz w:val="24"/>
    </w:rPr>
  </w:style>
  <w:style w:type="paragraph" w:customStyle="1" w:styleId="257">
    <w:name w:val="样式 样式3 + 首行缩进:  0 厘米"/>
    <w:basedOn w:val="240"/>
    <w:qFormat/>
    <w:uiPriority w:val="0"/>
    <w:pPr>
      <w:outlineLvl w:val="9"/>
    </w:pPr>
    <w:rPr>
      <w:rFonts w:cs="宋体"/>
      <w:snapToGrid w:val="0"/>
      <w:kern w:val="0"/>
      <w:szCs w:val="20"/>
    </w:rPr>
  </w:style>
  <w:style w:type="paragraph" w:customStyle="1" w:styleId="258">
    <w:name w:val="样式22"/>
    <w:basedOn w:val="1"/>
    <w:qFormat/>
    <w:uiPriority w:val="0"/>
    <w:pPr>
      <w:adjustRightInd w:val="0"/>
      <w:snapToGrid w:val="0"/>
      <w:spacing w:line="480" w:lineRule="auto"/>
      <w:jc w:val="center"/>
      <w:outlineLvl w:val="0"/>
    </w:pPr>
    <w:rPr>
      <w:rFonts w:ascii="黑体" w:hAnsi="Calibri" w:eastAsia="黑体"/>
      <w:sz w:val="32"/>
      <w:szCs w:val="32"/>
    </w:rPr>
  </w:style>
  <w:style w:type="paragraph" w:customStyle="1" w:styleId="259">
    <w:name w:val="样式27"/>
    <w:basedOn w:val="258"/>
    <w:qFormat/>
    <w:uiPriority w:val="0"/>
    <w:pPr>
      <w:spacing w:line="360" w:lineRule="auto"/>
      <w:jc w:val="left"/>
    </w:pPr>
    <w:rPr>
      <w:sz w:val="28"/>
      <w:szCs w:val="28"/>
    </w:rPr>
  </w:style>
  <w:style w:type="paragraph" w:customStyle="1" w:styleId="260">
    <w:name w:val="Char6"/>
    <w:basedOn w:val="1"/>
    <w:qFormat/>
    <w:uiPriority w:val="0"/>
    <w:pPr>
      <w:spacing w:line="360" w:lineRule="auto"/>
      <w:ind w:firstLine="200" w:firstLineChars="200"/>
    </w:pPr>
    <w:rPr>
      <w:rFonts w:ascii="宋体" w:hAnsi="Calibri" w:cs="宋体"/>
      <w:sz w:val="24"/>
    </w:rPr>
  </w:style>
  <w:style w:type="paragraph" w:customStyle="1" w:styleId="261">
    <w:name w:val="标题33"/>
    <w:basedOn w:val="12"/>
    <w:qFormat/>
    <w:uiPriority w:val="0"/>
    <w:pPr>
      <w:spacing w:beforeLines="50" w:afterLines="50" w:line="400" w:lineRule="exact"/>
      <w:ind w:firstLine="0" w:firstLineChars="0"/>
    </w:pPr>
    <w:rPr>
      <w:rFonts w:ascii="仿宋_GB2312" w:eastAsia="仿宋_GB2312"/>
      <w:sz w:val="24"/>
    </w:rPr>
  </w:style>
  <w:style w:type="paragraph" w:customStyle="1" w:styleId="262">
    <w:name w:val="样式15"/>
    <w:basedOn w:val="1"/>
    <w:qFormat/>
    <w:uiPriority w:val="0"/>
    <w:pPr>
      <w:snapToGrid w:val="0"/>
      <w:spacing w:line="360" w:lineRule="auto"/>
      <w:jc w:val="center"/>
    </w:pPr>
    <w:rPr>
      <w:rFonts w:ascii="宋体" w:hAnsi="Calibri"/>
      <w:sz w:val="24"/>
    </w:rPr>
  </w:style>
  <w:style w:type="paragraph" w:customStyle="1" w:styleId="263">
    <w:name w:val="xl37"/>
    <w:basedOn w:val="1"/>
    <w:qFormat/>
    <w:uiPriority w:val="0"/>
    <w:pPr>
      <w:widowControl/>
      <w:spacing w:before="100" w:beforeAutospacing="1" w:after="100" w:afterAutospacing="1"/>
      <w:jc w:val="center"/>
    </w:pPr>
    <w:rPr>
      <w:rFonts w:ascii="宋体" w:hAnsi="Calibri"/>
      <w:kern w:val="0"/>
      <w:sz w:val="24"/>
      <w:szCs w:val="20"/>
    </w:rPr>
  </w:style>
  <w:style w:type="paragraph" w:customStyle="1" w:styleId="264">
    <w:name w:val="正文11"/>
    <w:basedOn w:val="1"/>
    <w:next w:val="1"/>
    <w:qFormat/>
    <w:uiPriority w:val="0"/>
    <w:pPr>
      <w:widowControl/>
      <w:spacing w:line="460" w:lineRule="exact"/>
      <w:ind w:firstLine="200" w:firstLineChars="200"/>
      <w:jc w:val="left"/>
    </w:pPr>
    <w:rPr>
      <w:rFonts w:ascii="宋体" w:hAnsi="Calibri"/>
      <w:kern w:val="0"/>
      <w:sz w:val="20"/>
      <w:szCs w:val="21"/>
      <w:lang w:eastAsia="en-US"/>
    </w:rPr>
  </w:style>
  <w:style w:type="paragraph" w:customStyle="1" w:styleId="265">
    <w:name w:val="表格字体"/>
    <w:basedOn w:val="1"/>
    <w:next w:val="1"/>
    <w:qFormat/>
    <w:uiPriority w:val="0"/>
    <w:pPr>
      <w:spacing w:line="360" w:lineRule="exact"/>
    </w:pPr>
    <w:rPr>
      <w:rFonts w:ascii="宋体" w:hAnsi="Calibri" w:cs="宋体"/>
      <w:szCs w:val="21"/>
    </w:rPr>
  </w:style>
  <w:style w:type="paragraph" w:customStyle="1" w:styleId="266">
    <w:name w:val="Char3"/>
    <w:basedOn w:val="1"/>
    <w:qFormat/>
    <w:uiPriority w:val="0"/>
    <w:pPr>
      <w:spacing w:line="360" w:lineRule="auto"/>
      <w:ind w:firstLine="200" w:firstLineChars="200"/>
    </w:pPr>
    <w:rPr>
      <w:rFonts w:ascii="宋体" w:hAnsi="Calibri" w:cs="宋体"/>
      <w:sz w:val="24"/>
    </w:rPr>
  </w:style>
  <w:style w:type="paragraph" w:customStyle="1" w:styleId="267">
    <w:name w:val="样式11"/>
    <w:basedOn w:val="1"/>
    <w:qFormat/>
    <w:uiPriority w:val="0"/>
    <w:pPr>
      <w:spacing w:line="360" w:lineRule="auto"/>
      <w:ind w:firstLine="200" w:firstLineChars="200"/>
    </w:pPr>
    <w:rPr>
      <w:rFonts w:ascii="宋体" w:hAnsi="Calibri"/>
      <w:kern w:val="0"/>
      <w:sz w:val="24"/>
    </w:rPr>
  </w:style>
  <w:style w:type="paragraph" w:customStyle="1" w:styleId="268">
    <w:name w:val="p18"/>
    <w:basedOn w:val="1"/>
    <w:qFormat/>
    <w:uiPriority w:val="0"/>
    <w:pPr>
      <w:widowControl/>
      <w:snapToGrid w:val="0"/>
      <w:jc w:val="center"/>
    </w:pPr>
    <w:rPr>
      <w:rFonts w:ascii="Calibri" w:hAnsi="Calibri"/>
      <w:kern w:val="0"/>
      <w:sz w:val="30"/>
      <w:szCs w:val="30"/>
    </w:rPr>
  </w:style>
  <w:style w:type="paragraph" w:customStyle="1" w:styleId="269">
    <w:name w:val="图表标题"/>
    <w:basedOn w:val="1"/>
    <w:qFormat/>
    <w:uiPriority w:val="0"/>
    <w:pPr>
      <w:spacing w:line="600" w:lineRule="exact"/>
      <w:jc w:val="center"/>
    </w:pPr>
    <w:rPr>
      <w:rFonts w:ascii="Calibri" w:hAnsi="Calibri" w:eastAsia="黑体" w:cs="Arial"/>
      <w:szCs w:val="20"/>
    </w:rPr>
  </w:style>
  <w:style w:type="paragraph" w:customStyle="1" w:styleId="270">
    <w:name w:val="标题3.5"/>
    <w:basedOn w:val="1"/>
    <w:qFormat/>
    <w:uiPriority w:val="0"/>
    <w:rPr>
      <w:rFonts w:ascii="Calibri" w:hAnsi="Calibri" w:eastAsia="仿宋_GB2312"/>
      <w:sz w:val="24"/>
      <w:szCs w:val="20"/>
    </w:rPr>
  </w:style>
  <w:style w:type="paragraph" w:customStyle="1" w:styleId="271">
    <w:name w:val="样式13"/>
    <w:basedOn w:val="1"/>
    <w:qFormat/>
    <w:uiPriority w:val="0"/>
    <w:pPr>
      <w:widowControl/>
      <w:adjustRightInd w:val="0"/>
      <w:snapToGrid w:val="0"/>
      <w:spacing w:line="360" w:lineRule="auto"/>
      <w:ind w:firstLine="200" w:firstLineChars="200"/>
    </w:pPr>
    <w:rPr>
      <w:rFonts w:ascii="宋体" w:hAnsi="Calibri" w:cs="宋体"/>
      <w:sz w:val="24"/>
    </w:rPr>
  </w:style>
  <w:style w:type="paragraph" w:customStyle="1" w:styleId="272">
    <w:name w:val="样式28"/>
    <w:basedOn w:val="1"/>
    <w:qFormat/>
    <w:uiPriority w:val="0"/>
    <w:pPr>
      <w:adjustRightInd w:val="0"/>
      <w:snapToGrid w:val="0"/>
      <w:spacing w:line="360" w:lineRule="auto"/>
      <w:jc w:val="center"/>
    </w:pPr>
    <w:rPr>
      <w:rFonts w:ascii="宋体" w:hAnsi="Calibri"/>
      <w:sz w:val="24"/>
    </w:rPr>
  </w:style>
  <w:style w:type="paragraph" w:customStyle="1" w:styleId="273">
    <w:name w:val="样式8"/>
    <w:basedOn w:val="1"/>
    <w:qFormat/>
    <w:uiPriority w:val="0"/>
    <w:pPr>
      <w:adjustRightInd w:val="0"/>
      <w:snapToGrid w:val="0"/>
      <w:spacing w:line="300" w:lineRule="auto"/>
      <w:jc w:val="center"/>
    </w:pPr>
    <w:rPr>
      <w:rFonts w:ascii="宋体" w:hAnsi="Calibri"/>
      <w:sz w:val="24"/>
    </w:rPr>
  </w:style>
  <w:style w:type="paragraph" w:customStyle="1" w:styleId="274">
    <w:name w:val="Char2"/>
    <w:basedOn w:val="1"/>
    <w:qFormat/>
    <w:uiPriority w:val="0"/>
    <w:pPr>
      <w:spacing w:line="360" w:lineRule="auto"/>
      <w:ind w:firstLine="200" w:firstLineChars="200"/>
    </w:pPr>
    <w:rPr>
      <w:rFonts w:ascii="宋体" w:hAnsi="Calibri" w:cs="宋体"/>
      <w:sz w:val="24"/>
      <w:szCs w:val="20"/>
    </w:rPr>
  </w:style>
  <w:style w:type="paragraph" w:customStyle="1" w:styleId="275">
    <w:name w:val="Char7"/>
    <w:basedOn w:val="1"/>
    <w:qFormat/>
    <w:uiPriority w:val="0"/>
    <w:pPr>
      <w:spacing w:line="360" w:lineRule="auto"/>
      <w:ind w:firstLine="200" w:firstLineChars="200"/>
    </w:pPr>
    <w:rPr>
      <w:rFonts w:ascii="Calibri" w:hAnsi="Calibri"/>
      <w:szCs w:val="21"/>
    </w:rPr>
  </w:style>
  <w:style w:type="paragraph" w:customStyle="1" w:styleId="276">
    <w:name w:val="表格标题01"/>
    <w:basedOn w:val="230"/>
    <w:qFormat/>
    <w:uiPriority w:val="0"/>
    <w:pPr>
      <w:spacing w:before="0" w:line="360" w:lineRule="auto"/>
      <w:ind w:firstLine="0" w:firstLineChars="0"/>
      <w:jc w:val="center"/>
    </w:pPr>
    <w:rPr>
      <w:szCs w:val="24"/>
    </w:rPr>
  </w:style>
  <w:style w:type="paragraph" w:customStyle="1" w:styleId="277">
    <w:name w:val="1"/>
    <w:basedOn w:val="1"/>
    <w:next w:val="14"/>
    <w:qFormat/>
    <w:uiPriority w:val="0"/>
    <w:pPr>
      <w:spacing w:line="360" w:lineRule="auto"/>
      <w:ind w:firstLine="200" w:firstLineChars="200"/>
    </w:pPr>
    <w:rPr>
      <w:rFonts w:ascii="仿宋_GB2312" w:hAnsi="Calibri" w:eastAsia="仿宋_GB2312"/>
      <w:sz w:val="24"/>
      <w:szCs w:val="20"/>
    </w:rPr>
  </w:style>
  <w:style w:type="paragraph" w:customStyle="1" w:styleId="278">
    <w:name w:val="样式9"/>
    <w:basedOn w:val="1"/>
    <w:qFormat/>
    <w:uiPriority w:val="0"/>
    <w:pPr>
      <w:adjustRightInd w:val="0"/>
      <w:snapToGrid w:val="0"/>
      <w:spacing w:line="300" w:lineRule="auto"/>
    </w:pPr>
    <w:rPr>
      <w:rFonts w:ascii="宋体" w:hAnsi="Calibri"/>
      <w:sz w:val="24"/>
    </w:rPr>
  </w:style>
  <w:style w:type="paragraph" w:customStyle="1" w:styleId="279">
    <w:name w:val="样式 表格 + 黑体"/>
    <w:basedOn w:val="1"/>
    <w:qFormat/>
    <w:uiPriority w:val="0"/>
    <w:pPr>
      <w:adjustRightInd w:val="0"/>
      <w:snapToGrid w:val="0"/>
      <w:jc w:val="center"/>
    </w:pPr>
    <w:rPr>
      <w:rFonts w:ascii="宋体" w:hAnsi="Calibri"/>
      <w:color w:val="000000"/>
      <w:szCs w:val="21"/>
    </w:rPr>
  </w:style>
  <w:style w:type="paragraph" w:customStyle="1" w:styleId="280">
    <w:name w:val="表内正文"/>
    <w:basedOn w:val="1"/>
    <w:qFormat/>
    <w:uiPriority w:val="0"/>
    <w:rPr>
      <w:szCs w:val="20"/>
    </w:rPr>
  </w:style>
  <w:style w:type="paragraph" w:customStyle="1" w:styleId="281">
    <w:name w:val="表格标题"/>
    <w:basedOn w:val="1"/>
    <w:qFormat/>
    <w:uiPriority w:val="0"/>
    <w:pPr>
      <w:spacing w:before="120"/>
      <w:jc w:val="center"/>
    </w:pPr>
    <w:rPr>
      <w:rFonts w:ascii="Calibri" w:hAnsi="Calibri" w:eastAsia="仿宋_GB2312"/>
      <w:sz w:val="24"/>
      <w:szCs w:val="20"/>
    </w:rPr>
  </w:style>
  <w:style w:type="paragraph" w:customStyle="1" w:styleId="282">
    <w:name w:val="正文02"/>
    <w:basedOn w:val="281"/>
    <w:qFormat/>
    <w:uiPriority w:val="0"/>
    <w:pPr>
      <w:spacing w:before="300" w:line="460" w:lineRule="exact"/>
      <w:ind w:firstLine="200" w:firstLineChars="200"/>
      <w:jc w:val="both"/>
    </w:pPr>
    <w:rPr>
      <w:rFonts w:eastAsia="宋体"/>
    </w:rPr>
  </w:style>
  <w:style w:type="paragraph" w:customStyle="1" w:styleId="283">
    <w:name w:val="表格001"/>
    <w:basedOn w:val="1"/>
    <w:qFormat/>
    <w:uiPriority w:val="0"/>
    <w:pPr>
      <w:jc w:val="center"/>
    </w:pPr>
    <w:rPr>
      <w:rFonts w:ascii="Calibri" w:hAnsi="Calibri"/>
      <w:sz w:val="24"/>
      <w:szCs w:val="20"/>
    </w:rPr>
  </w:style>
  <w:style w:type="paragraph" w:customStyle="1" w:styleId="284">
    <w:name w:val="龙正文表格"/>
    <w:basedOn w:val="1"/>
    <w:qFormat/>
    <w:uiPriority w:val="0"/>
    <w:pPr>
      <w:autoSpaceDE w:val="0"/>
      <w:autoSpaceDN w:val="0"/>
      <w:adjustRightInd w:val="0"/>
      <w:jc w:val="center"/>
    </w:pPr>
    <w:rPr>
      <w:rFonts w:ascii="Calibri" w:hAnsi="Calibri"/>
      <w:kern w:val="0"/>
      <w:szCs w:val="21"/>
    </w:rPr>
  </w:style>
  <w:style w:type="paragraph" w:customStyle="1" w:styleId="285">
    <w:name w:val="居中正文"/>
    <w:basedOn w:val="40"/>
    <w:qFormat/>
    <w:uiPriority w:val="0"/>
    <w:pPr>
      <w:widowControl w:val="0"/>
      <w:adjustRightInd w:val="0"/>
      <w:snapToGrid/>
      <w:spacing w:before="120" w:after="0" w:line="360" w:lineRule="auto"/>
      <w:ind w:right="0" w:firstLine="0" w:firstLineChars="0"/>
      <w:jc w:val="center"/>
      <w:textAlignment w:val="baseline"/>
    </w:pPr>
    <w:rPr>
      <w:rFonts w:ascii="宋体" w:hAnsi="Calibri"/>
      <w:kern w:val="28"/>
      <w:sz w:val="24"/>
    </w:rPr>
  </w:style>
  <w:style w:type="paragraph" w:customStyle="1" w:styleId="286">
    <w:name w:val="xl24"/>
    <w:basedOn w:val="1"/>
    <w:qFormat/>
    <w:uiPriority w:val="0"/>
    <w:pPr>
      <w:widowControl/>
      <w:pBdr>
        <w:right w:val="single" w:color="auto" w:sz="4" w:space="0"/>
      </w:pBdr>
      <w:spacing w:before="100" w:beforeAutospacing="1" w:after="100" w:afterAutospacing="1"/>
      <w:jc w:val="center"/>
    </w:pPr>
    <w:rPr>
      <w:rFonts w:ascii="仿宋_GB2312" w:hAnsi="Calibri" w:eastAsia="仿宋_GB2312"/>
      <w:kern w:val="0"/>
      <w:szCs w:val="20"/>
    </w:rPr>
  </w:style>
  <w:style w:type="paragraph" w:customStyle="1" w:styleId="287">
    <w:name w:val="Char Char Char Char1"/>
    <w:basedOn w:val="1"/>
    <w:qFormat/>
    <w:uiPriority w:val="0"/>
    <w:rPr>
      <w:rFonts w:ascii="Calibri" w:hAnsi="Calibri"/>
      <w:szCs w:val="21"/>
    </w:rPr>
  </w:style>
  <w:style w:type="paragraph" w:customStyle="1" w:styleId="288">
    <w:name w:val="表格文字"/>
    <w:basedOn w:val="20"/>
    <w:next w:val="1"/>
    <w:link w:val="289"/>
    <w:qFormat/>
    <w:uiPriority w:val="0"/>
    <w:pPr>
      <w:widowControl w:val="0"/>
      <w:tabs>
        <w:tab w:val="left" w:pos="972"/>
      </w:tabs>
      <w:snapToGrid/>
      <w:spacing w:before="0" w:after="0" w:line="360" w:lineRule="auto"/>
      <w:ind w:right="0"/>
      <w:jc w:val="center"/>
    </w:pPr>
    <w:rPr>
      <w:rFonts w:ascii="Calibri" w:hAnsi="Calibri"/>
      <w:b/>
      <w:color w:val="000000"/>
      <w:kern w:val="2"/>
      <w:sz w:val="24"/>
      <w:szCs w:val="24"/>
    </w:rPr>
  </w:style>
  <w:style w:type="character" w:customStyle="1" w:styleId="289">
    <w:name w:val="表格文字 Char"/>
    <w:link w:val="288"/>
    <w:qFormat/>
    <w:uiPriority w:val="99"/>
    <w:rPr>
      <w:rFonts w:ascii="Calibri" w:hAnsi="Calibri"/>
      <w:b/>
      <w:color w:val="000000"/>
      <w:kern w:val="2"/>
      <w:sz w:val="24"/>
      <w:szCs w:val="24"/>
    </w:rPr>
  </w:style>
  <w:style w:type="paragraph" w:customStyle="1" w:styleId="290">
    <w:name w:val="表文字"/>
    <w:basedOn w:val="1"/>
    <w:link w:val="291"/>
    <w:qFormat/>
    <w:uiPriority w:val="0"/>
    <w:pPr>
      <w:adjustRightInd w:val="0"/>
      <w:snapToGrid w:val="0"/>
      <w:jc w:val="center"/>
    </w:pPr>
    <w:rPr>
      <w:rFonts w:ascii="Calibri" w:hAnsi="Calibri"/>
      <w:kern w:val="0"/>
      <w:szCs w:val="20"/>
    </w:rPr>
  </w:style>
  <w:style w:type="character" w:customStyle="1" w:styleId="291">
    <w:name w:val="表文字 Char1"/>
    <w:link w:val="290"/>
    <w:qFormat/>
    <w:uiPriority w:val="0"/>
    <w:rPr>
      <w:rFonts w:ascii="Calibri" w:hAnsi="Calibri"/>
      <w:sz w:val="21"/>
    </w:rPr>
  </w:style>
  <w:style w:type="paragraph" w:customStyle="1" w:styleId="292">
    <w:name w:val="样式10"/>
    <w:basedOn w:val="1"/>
    <w:qFormat/>
    <w:uiPriority w:val="0"/>
    <w:pPr>
      <w:adjustRightInd w:val="0"/>
      <w:snapToGrid w:val="0"/>
      <w:spacing w:line="360" w:lineRule="auto"/>
    </w:pPr>
    <w:rPr>
      <w:rFonts w:ascii="黑体" w:hAnsi="Calibri" w:eastAsia="黑体"/>
      <w:sz w:val="24"/>
    </w:rPr>
  </w:style>
  <w:style w:type="paragraph" w:customStyle="1" w:styleId="293">
    <w:name w:val="样式 表文字 + 字符缩放: 90%"/>
    <w:basedOn w:val="1"/>
    <w:qFormat/>
    <w:uiPriority w:val="0"/>
    <w:pPr>
      <w:keepNext/>
      <w:adjustRightInd w:val="0"/>
      <w:spacing w:line="240" w:lineRule="exact"/>
      <w:ind w:left="-50" w:leftChars="-50" w:right="-50" w:rightChars="-50"/>
      <w:jc w:val="center"/>
      <w:textAlignment w:val="baseline"/>
    </w:pPr>
    <w:rPr>
      <w:rFonts w:ascii="Calibri" w:hAnsi="Calibri" w:cs="宋体"/>
      <w:kern w:val="0"/>
      <w:sz w:val="18"/>
      <w:szCs w:val="18"/>
    </w:rPr>
  </w:style>
  <w:style w:type="paragraph" w:customStyle="1" w:styleId="294">
    <w:name w:val="我的表格"/>
    <w:basedOn w:val="1"/>
    <w:qFormat/>
    <w:uiPriority w:val="0"/>
    <w:pPr>
      <w:autoSpaceDE w:val="0"/>
      <w:autoSpaceDN w:val="0"/>
      <w:adjustRightInd w:val="0"/>
      <w:jc w:val="center"/>
    </w:pPr>
    <w:rPr>
      <w:rFonts w:ascii="Calibri" w:hAnsi="Calibri" w:eastAsia="仿宋_GB2312"/>
      <w:kern w:val="0"/>
      <w:szCs w:val="21"/>
    </w:rPr>
  </w:style>
  <w:style w:type="paragraph" w:customStyle="1" w:styleId="295">
    <w:name w:val="Char Char Char1 Char Char Char Char"/>
    <w:basedOn w:val="1"/>
    <w:qFormat/>
    <w:uiPriority w:val="0"/>
    <w:pPr>
      <w:spacing w:line="360" w:lineRule="auto"/>
      <w:ind w:firstLine="200" w:firstLineChars="200"/>
    </w:pPr>
    <w:rPr>
      <w:rFonts w:ascii="宋体" w:hAnsi="Calibri" w:cs="宋体"/>
      <w:sz w:val="24"/>
    </w:rPr>
  </w:style>
  <w:style w:type="paragraph" w:customStyle="1" w:styleId="296">
    <w:name w:val="Char"/>
    <w:basedOn w:val="1"/>
    <w:qFormat/>
    <w:uiPriority w:val="0"/>
    <w:pPr>
      <w:spacing w:line="360" w:lineRule="auto"/>
      <w:ind w:firstLine="200" w:firstLineChars="200"/>
    </w:pPr>
    <w:rPr>
      <w:rFonts w:ascii="Calibri" w:hAnsi="Calibri"/>
      <w:szCs w:val="20"/>
    </w:rPr>
  </w:style>
  <w:style w:type="paragraph" w:customStyle="1" w:styleId="297">
    <w:name w:val="表格20"/>
    <w:qFormat/>
    <w:uiPriority w:val="0"/>
    <w:pPr>
      <w:spacing w:line="400" w:lineRule="exact"/>
      <w:jc w:val="center"/>
    </w:pPr>
    <w:rPr>
      <w:rFonts w:ascii="宋体" w:hAnsi="Times New Roman" w:eastAsia="宋体" w:cs="Times New Roman"/>
      <w:color w:val="000000"/>
      <w:szCs w:val="21"/>
      <w:lang w:val="en-US" w:eastAsia="zh-CN" w:bidi="ar-SA"/>
    </w:rPr>
  </w:style>
  <w:style w:type="paragraph" w:customStyle="1" w:styleId="298">
    <w:name w:val="表格下方正文"/>
    <w:basedOn w:val="281"/>
    <w:qFormat/>
    <w:uiPriority w:val="0"/>
    <w:pPr>
      <w:spacing w:before="400" w:line="460" w:lineRule="exact"/>
      <w:ind w:firstLine="200" w:firstLineChars="200"/>
      <w:jc w:val="both"/>
    </w:pPr>
    <w:rPr>
      <w:rFonts w:eastAsia="宋体"/>
      <w:szCs w:val="24"/>
    </w:rPr>
  </w:style>
  <w:style w:type="paragraph" w:customStyle="1" w:styleId="299">
    <w:name w:val="Char Char2 Char Char Char Char Char Char Char Char Char1 Char Char Char Char Char Char1 Char Char Char Char Char Char Char Char Char"/>
    <w:basedOn w:val="1"/>
    <w:qFormat/>
    <w:uiPriority w:val="0"/>
    <w:pPr>
      <w:spacing w:line="360" w:lineRule="auto"/>
      <w:ind w:firstLine="200" w:firstLineChars="200"/>
    </w:pPr>
    <w:rPr>
      <w:rFonts w:ascii="Calibri" w:hAnsi="Calibri"/>
      <w:szCs w:val="20"/>
    </w:rPr>
  </w:style>
  <w:style w:type="paragraph" w:customStyle="1" w:styleId="300">
    <w:name w:val="样式19"/>
    <w:basedOn w:val="1"/>
    <w:qFormat/>
    <w:uiPriority w:val="0"/>
    <w:pPr>
      <w:snapToGrid w:val="0"/>
      <w:spacing w:line="360" w:lineRule="auto"/>
      <w:jc w:val="center"/>
    </w:pPr>
    <w:rPr>
      <w:rFonts w:ascii="宋体" w:hAnsi="Calibri"/>
      <w:sz w:val="24"/>
    </w:rPr>
  </w:style>
  <w:style w:type="paragraph" w:customStyle="1" w:styleId="301">
    <w:name w:val="p17"/>
    <w:basedOn w:val="1"/>
    <w:qFormat/>
    <w:uiPriority w:val="0"/>
    <w:pPr>
      <w:widowControl/>
      <w:spacing w:before="60" w:line="460" w:lineRule="atLeast"/>
      <w:ind w:firstLine="420"/>
    </w:pPr>
    <w:rPr>
      <w:rFonts w:ascii="Calibri" w:hAnsi="Calibri"/>
      <w:kern w:val="0"/>
      <w:sz w:val="27"/>
      <w:szCs w:val="27"/>
    </w:rPr>
  </w:style>
  <w:style w:type="paragraph" w:customStyle="1" w:styleId="302">
    <w:name w:val="标题03"/>
    <w:basedOn w:val="1"/>
    <w:qFormat/>
    <w:uiPriority w:val="0"/>
    <w:pPr>
      <w:spacing w:before="120" w:after="120" w:line="360" w:lineRule="auto"/>
      <w:outlineLvl w:val="2"/>
    </w:pPr>
    <w:rPr>
      <w:rFonts w:ascii="Calibri" w:hAnsi="Calibri"/>
      <w:b/>
      <w:sz w:val="27"/>
      <w:szCs w:val="20"/>
    </w:rPr>
  </w:style>
  <w:style w:type="paragraph" w:customStyle="1" w:styleId="303">
    <w:name w:val="样式2"/>
    <w:basedOn w:val="1"/>
    <w:qFormat/>
    <w:uiPriority w:val="0"/>
    <w:pPr>
      <w:spacing w:beforeLines="100" w:afterLines="50" w:line="360" w:lineRule="auto"/>
    </w:pPr>
    <w:rPr>
      <w:rFonts w:ascii="黑体" w:hAnsi="Calibri" w:eastAsia="黑体"/>
      <w:sz w:val="24"/>
    </w:rPr>
  </w:style>
  <w:style w:type="paragraph" w:customStyle="1" w:styleId="304">
    <w:name w:val="样式 样式2 +"/>
    <w:basedOn w:val="303"/>
    <w:qFormat/>
    <w:uiPriority w:val="0"/>
    <w:pPr>
      <w:outlineLvl w:val="1"/>
    </w:pPr>
    <w:rPr>
      <w:kern w:val="0"/>
    </w:rPr>
  </w:style>
  <w:style w:type="paragraph" w:customStyle="1" w:styleId="305">
    <w:name w:val="样式24"/>
    <w:basedOn w:val="1"/>
    <w:qFormat/>
    <w:uiPriority w:val="0"/>
    <w:pPr>
      <w:adjustRightInd w:val="0"/>
      <w:snapToGrid w:val="0"/>
      <w:spacing w:line="360" w:lineRule="auto"/>
    </w:pPr>
    <w:rPr>
      <w:rFonts w:ascii="黑体" w:hAnsi="Calibri" w:eastAsia="黑体"/>
      <w:kern w:val="24"/>
      <w:sz w:val="24"/>
    </w:rPr>
  </w:style>
  <w:style w:type="paragraph" w:customStyle="1" w:styleId="306">
    <w:name w:val="表名W"/>
    <w:basedOn w:val="1"/>
    <w:next w:val="1"/>
    <w:qFormat/>
    <w:uiPriority w:val="0"/>
    <w:pPr>
      <w:spacing w:line="460" w:lineRule="exact"/>
      <w:jc w:val="center"/>
      <w:textAlignment w:val="baseline"/>
    </w:pPr>
    <w:rPr>
      <w:rFonts w:ascii="Arial" w:hAnsi="Arial" w:cs="Arial"/>
      <w:bCs/>
      <w:snapToGrid w:val="0"/>
      <w:color w:val="000000"/>
      <w:kern w:val="0"/>
      <w:sz w:val="24"/>
      <w:szCs w:val="20"/>
    </w:rPr>
  </w:style>
  <w:style w:type="paragraph" w:customStyle="1" w:styleId="307">
    <w:name w:val="样式 小四 首行缩进:  24 磅 行距: 多倍行距 1.25 字行"/>
    <w:basedOn w:val="1"/>
    <w:qFormat/>
    <w:uiPriority w:val="0"/>
    <w:pPr>
      <w:adjustRightInd w:val="0"/>
      <w:spacing w:line="440" w:lineRule="exact"/>
      <w:ind w:firstLine="480"/>
      <w:textAlignment w:val="baseline"/>
    </w:pPr>
    <w:rPr>
      <w:rFonts w:ascii="Calibri" w:hAnsi="Calibri"/>
      <w:kern w:val="0"/>
      <w:sz w:val="24"/>
      <w:szCs w:val="20"/>
    </w:rPr>
  </w:style>
  <w:style w:type="paragraph" w:customStyle="1" w:styleId="308">
    <w:name w:val="样式 标题 3 + 段前: 0 磅 段后: 0 磅 行距: 1.5 倍行距"/>
    <w:basedOn w:val="4"/>
    <w:qFormat/>
    <w:uiPriority w:val="0"/>
    <w:pPr>
      <w:numPr>
        <w:ilvl w:val="0"/>
        <w:numId w:val="0"/>
      </w:numPr>
      <w:tabs>
        <w:tab w:val="left" w:pos="720"/>
      </w:tabs>
      <w:ind w:left="720" w:hanging="432"/>
    </w:pPr>
    <w:rPr>
      <w:rFonts w:ascii="Calibri" w:hAnsi="Calibri" w:eastAsia="黑体" w:cs="宋体"/>
      <w:bCs/>
      <w:kern w:val="2"/>
      <w:sz w:val="24"/>
      <w:szCs w:val="20"/>
    </w:rPr>
  </w:style>
  <w:style w:type="paragraph" w:customStyle="1" w:styleId="309">
    <w:name w:val="p19"/>
    <w:basedOn w:val="1"/>
    <w:qFormat/>
    <w:uiPriority w:val="0"/>
    <w:pPr>
      <w:widowControl/>
      <w:jc w:val="center"/>
    </w:pPr>
    <w:rPr>
      <w:rFonts w:ascii="Calibri" w:hAnsi="Calibri"/>
      <w:kern w:val="0"/>
      <w:szCs w:val="21"/>
    </w:rPr>
  </w:style>
  <w:style w:type="paragraph" w:customStyle="1" w:styleId="310">
    <w:name w:val="样式12"/>
    <w:basedOn w:val="1"/>
    <w:qFormat/>
    <w:uiPriority w:val="0"/>
    <w:pPr>
      <w:widowControl/>
      <w:adjustRightInd w:val="0"/>
      <w:snapToGrid w:val="0"/>
      <w:spacing w:line="360" w:lineRule="auto"/>
      <w:jc w:val="left"/>
    </w:pPr>
    <w:rPr>
      <w:rFonts w:ascii="黑体" w:hAnsi="Calibri" w:eastAsia="黑体"/>
      <w:kern w:val="0"/>
      <w:sz w:val="28"/>
      <w:szCs w:val="28"/>
    </w:rPr>
  </w:style>
  <w:style w:type="paragraph" w:customStyle="1" w:styleId="311">
    <w:name w:val="Char4"/>
    <w:basedOn w:val="1"/>
    <w:qFormat/>
    <w:uiPriority w:val="0"/>
    <w:pPr>
      <w:spacing w:line="360" w:lineRule="auto"/>
      <w:ind w:firstLine="200" w:firstLineChars="200"/>
    </w:pPr>
    <w:rPr>
      <w:rFonts w:ascii="Calibri" w:hAnsi="Calibri"/>
      <w:szCs w:val="21"/>
    </w:rPr>
  </w:style>
  <w:style w:type="paragraph" w:customStyle="1" w:styleId="312">
    <w:name w:val="表内字"/>
    <w:qFormat/>
    <w:uiPriority w:val="0"/>
    <w:pPr>
      <w:jc w:val="both"/>
    </w:pPr>
    <w:rPr>
      <w:rFonts w:ascii="Calibri" w:hAnsi="Calibri" w:eastAsia="宋体" w:cs="Times New Roman"/>
      <w:color w:val="000000"/>
      <w:sz w:val="21"/>
      <w:lang w:val="en-US" w:eastAsia="zh-CN" w:bidi="ar-SA"/>
    </w:rPr>
  </w:style>
  <w:style w:type="paragraph" w:customStyle="1" w:styleId="313">
    <w:name w:val="列出段落11"/>
    <w:basedOn w:val="1"/>
    <w:qFormat/>
    <w:uiPriority w:val="0"/>
    <w:pPr>
      <w:ind w:firstLine="200" w:firstLineChars="200"/>
    </w:pPr>
    <w:rPr>
      <w:rFonts w:ascii="Calibri" w:hAnsi="Calibri"/>
      <w:szCs w:val="20"/>
    </w:rPr>
  </w:style>
  <w:style w:type="paragraph" w:customStyle="1" w:styleId="314">
    <w:name w:val="样式4"/>
    <w:basedOn w:val="23"/>
    <w:qFormat/>
    <w:uiPriority w:val="0"/>
    <w:pPr>
      <w:adjustRightInd w:val="0"/>
      <w:snapToGrid w:val="0"/>
    </w:pPr>
    <w:rPr>
      <w:rFonts w:ascii="黑体" w:hAnsi="宋体" w:eastAsia="黑体"/>
      <w:kern w:val="2"/>
      <w:sz w:val="24"/>
      <w:szCs w:val="20"/>
    </w:rPr>
  </w:style>
  <w:style w:type="paragraph" w:customStyle="1" w:styleId="315">
    <w:name w:val="p15"/>
    <w:basedOn w:val="1"/>
    <w:qFormat/>
    <w:uiPriority w:val="0"/>
    <w:pPr>
      <w:widowControl/>
      <w:snapToGrid w:val="0"/>
      <w:spacing w:line="360" w:lineRule="auto"/>
      <w:jc w:val="left"/>
    </w:pPr>
    <w:rPr>
      <w:rFonts w:ascii="宋体" w:hAnsi="Calibri" w:cs="宋体"/>
      <w:kern w:val="0"/>
      <w:sz w:val="24"/>
    </w:rPr>
  </w:style>
  <w:style w:type="paragraph" w:customStyle="1" w:styleId="316">
    <w:name w:val="表格样式1"/>
    <w:qFormat/>
    <w:uiPriority w:val="0"/>
    <w:pPr>
      <w:tabs>
        <w:tab w:val="center" w:pos="546"/>
      </w:tabs>
      <w:spacing w:line="440" w:lineRule="exact"/>
      <w:jc w:val="center"/>
    </w:pPr>
    <w:rPr>
      <w:rFonts w:ascii="Calibri" w:hAnsi="Calibri" w:eastAsia="仿宋_GB2312" w:cs="Times New Roman"/>
      <w:iCs/>
      <w:sz w:val="21"/>
      <w:lang w:val="en-US" w:eastAsia="zh-CN" w:bidi="ar-SA"/>
    </w:rPr>
  </w:style>
  <w:style w:type="paragraph" w:customStyle="1" w:styleId="317">
    <w:name w:val="dandan6-13正文 Char Char Char"/>
    <w:basedOn w:val="1"/>
    <w:next w:val="1"/>
    <w:qFormat/>
    <w:uiPriority w:val="0"/>
    <w:pPr>
      <w:keepNext/>
      <w:keepLines/>
      <w:widowControl/>
      <w:adjustRightInd w:val="0"/>
      <w:spacing w:before="40" w:after="40" w:line="360" w:lineRule="auto"/>
      <w:ind w:firstLine="200" w:firstLineChars="200"/>
      <w:textAlignment w:val="baseline"/>
    </w:pPr>
    <w:rPr>
      <w:rFonts w:ascii="Calibri" w:hAnsi="Calibri"/>
      <w:szCs w:val="20"/>
    </w:rPr>
  </w:style>
  <w:style w:type="paragraph" w:customStyle="1" w:styleId="318">
    <w:name w:val="样式21"/>
    <w:basedOn w:val="1"/>
    <w:qFormat/>
    <w:uiPriority w:val="0"/>
    <w:pPr>
      <w:snapToGrid w:val="0"/>
      <w:spacing w:line="360" w:lineRule="auto"/>
      <w:ind w:firstLine="250" w:firstLineChars="250"/>
    </w:pPr>
    <w:rPr>
      <w:rFonts w:ascii="宋体" w:hAnsi="Calibri"/>
      <w:i/>
      <w:sz w:val="24"/>
    </w:rPr>
  </w:style>
  <w:style w:type="paragraph" w:customStyle="1" w:styleId="319">
    <w:name w:val="表格 32"/>
    <w:basedOn w:val="1"/>
    <w:qFormat/>
    <w:uiPriority w:val="0"/>
    <w:pPr>
      <w:autoSpaceDE w:val="0"/>
      <w:autoSpaceDN w:val="0"/>
      <w:adjustRightInd w:val="0"/>
      <w:jc w:val="center"/>
      <w:textAlignment w:val="baseline"/>
    </w:pPr>
    <w:rPr>
      <w:rFonts w:ascii="宋体" w:hAnsi="Calibri"/>
      <w:kern w:val="24"/>
      <w:sz w:val="24"/>
      <w:szCs w:val="20"/>
    </w:rPr>
  </w:style>
  <w:style w:type="paragraph" w:customStyle="1" w:styleId="320">
    <w:name w:val="样式16"/>
    <w:basedOn w:val="1"/>
    <w:qFormat/>
    <w:uiPriority w:val="0"/>
    <w:pPr>
      <w:snapToGrid w:val="0"/>
      <w:spacing w:line="360" w:lineRule="auto"/>
      <w:ind w:firstLine="200" w:firstLineChars="200"/>
    </w:pPr>
    <w:rPr>
      <w:rFonts w:ascii="宋体" w:hAnsi="Calibri"/>
      <w:sz w:val="24"/>
    </w:rPr>
  </w:style>
  <w:style w:type="paragraph" w:customStyle="1" w:styleId="321">
    <w:name w:val="CC Char Char Char Char Char Char"/>
    <w:basedOn w:val="25"/>
    <w:next w:val="25"/>
    <w:qFormat/>
    <w:uiPriority w:val="0"/>
    <w:pPr>
      <w:spacing w:after="120" w:line="480" w:lineRule="auto"/>
      <w:ind w:left="100" w:leftChars="100" w:right="100" w:rightChars="100" w:firstLine="0"/>
    </w:pPr>
    <w:rPr>
      <w:rFonts w:ascii="Times New Roman" w:hAnsi="Times New Roman"/>
      <w:sz w:val="21"/>
      <w:szCs w:val="24"/>
    </w:rPr>
  </w:style>
  <w:style w:type="paragraph" w:customStyle="1" w:styleId="322">
    <w:name w:val="我的样式7 Char"/>
    <w:basedOn w:val="1"/>
    <w:next w:val="1"/>
    <w:qFormat/>
    <w:uiPriority w:val="0"/>
    <w:pPr>
      <w:tabs>
        <w:tab w:val="left" w:pos="1"/>
      </w:tabs>
      <w:spacing w:line="520" w:lineRule="exact"/>
      <w:ind w:left="-419" w:firstLine="539"/>
    </w:pPr>
    <w:rPr>
      <w:rFonts w:ascii="Calibri" w:hAnsi="Calibri"/>
      <w:sz w:val="24"/>
    </w:rPr>
  </w:style>
  <w:style w:type="paragraph" w:customStyle="1" w:styleId="323">
    <w:name w:val="样式 标题 2 + (西文) Times New Roman (中文) 宋体"/>
    <w:basedOn w:val="3"/>
    <w:qFormat/>
    <w:uiPriority w:val="0"/>
    <w:pPr>
      <w:keepNext/>
      <w:keepLines/>
      <w:widowControl/>
      <w:tabs>
        <w:tab w:val="left" w:pos="720"/>
      </w:tabs>
      <w:spacing w:before="0" w:beforeAutospacing="0" w:after="0" w:afterAutospacing="0"/>
    </w:pPr>
    <w:rPr>
      <w:rFonts w:hint="default" w:ascii="Times New Roman" w:hAnsi="Times New Roman"/>
      <w:bCs w:val="0"/>
      <w:sz w:val="28"/>
      <w:szCs w:val="20"/>
    </w:rPr>
  </w:style>
  <w:style w:type="paragraph" w:customStyle="1" w:styleId="324">
    <w:name w:val="Char9"/>
    <w:basedOn w:val="1"/>
    <w:qFormat/>
    <w:uiPriority w:val="0"/>
    <w:pPr>
      <w:tabs>
        <w:tab w:val="left" w:pos="937"/>
      </w:tabs>
      <w:ind w:left="1"/>
    </w:pPr>
    <w:rPr>
      <w:rFonts w:ascii="Arial" w:hAnsi="Arial"/>
      <w:b/>
      <w:sz w:val="32"/>
      <w:szCs w:val="20"/>
    </w:rPr>
  </w:style>
  <w:style w:type="paragraph" w:customStyle="1" w:styleId="325">
    <w:name w:val="_Style 15"/>
    <w:qFormat/>
    <w:uiPriority w:val="0"/>
    <w:rPr>
      <w:rFonts w:ascii="Calibri" w:hAnsi="Calibri" w:eastAsia="宋体" w:cs="Times New Roman"/>
      <w:lang w:val="en-US" w:eastAsia="zh-CN" w:bidi="ar-SA"/>
    </w:rPr>
  </w:style>
  <w:style w:type="paragraph" w:customStyle="1" w:styleId="326">
    <w:name w:val="标题样式4"/>
    <w:basedOn w:val="6"/>
    <w:qFormat/>
    <w:uiPriority w:val="0"/>
    <w:pPr>
      <w:tabs>
        <w:tab w:val="left" w:pos="864"/>
      </w:tabs>
      <w:spacing w:before="0" w:after="0" w:line="360" w:lineRule="auto"/>
      <w:ind w:firstLine="200" w:firstLineChars="200"/>
    </w:pPr>
    <w:rPr>
      <w:rFonts w:ascii="黑体" w:hAnsi="黑体" w:eastAsia="Times New Roman"/>
      <w:szCs w:val="24"/>
      <w:lang w:val="zh-CN"/>
    </w:rPr>
  </w:style>
  <w:style w:type="paragraph" w:customStyle="1" w:styleId="327">
    <w:name w:val="样式 正文1 + 段前: 0.1 行"/>
    <w:basedOn w:val="1"/>
    <w:qFormat/>
    <w:uiPriority w:val="0"/>
    <w:pPr>
      <w:snapToGrid w:val="0"/>
      <w:spacing w:beforeLines="10" w:line="440" w:lineRule="atLeast"/>
      <w:ind w:firstLine="567"/>
    </w:pPr>
    <w:rPr>
      <w:rFonts w:ascii="Calibri" w:hAnsi="Calibri" w:cs="宋体"/>
      <w:sz w:val="24"/>
      <w:szCs w:val="20"/>
    </w:rPr>
  </w:style>
  <w:style w:type="paragraph" w:customStyle="1" w:styleId="328">
    <w:name w:val="Char Char2"/>
    <w:basedOn w:val="1"/>
    <w:qFormat/>
    <w:uiPriority w:val="0"/>
    <w:rPr>
      <w:rFonts w:ascii="Calibri" w:hAnsi="Calibri"/>
      <w:szCs w:val="21"/>
    </w:rPr>
  </w:style>
  <w:style w:type="paragraph" w:customStyle="1" w:styleId="329">
    <w:name w:val="注释"/>
    <w:basedOn w:val="1"/>
    <w:qFormat/>
    <w:uiPriority w:val="0"/>
    <w:pPr>
      <w:spacing w:line="360" w:lineRule="exact"/>
    </w:pPr>
    <w:rPr>
      <w:rFonts w:ascii="Calibri" w:hAnsi="Calibri"/>
    </w:rPr>
  </w:style>
  <w:style w:type="paragraph" w:customStyle="1" w:styleId="330">
    <w:name w:val="Char Char1"/>
    <w:basedOn w:val="1"/>
    <w:qFormat/>
    <w:uiPriority w:val="0"/>
    <w:rPr>
      <w:rFonts w:ascii="Calibri" w:hAnsi="Calibri"/>
      <w:szCs w:val="21"/>
    </w:rPr>
  </w:style>
  <w:style w:type="paragraph" w:customStyle="1" w:styleId="331">
    <w:name w:val="Char21"/>
    <w:basedOn w:val="1"/>
    <w:qFormat/>
    <w:uiPriority w:val="0"/>
    <w:pPr>
      <w:spacing w:line="360" w:lineRule="auto"/>
      <w:ind w:firstLine="200" w:firstLineChars="200"/>
    </w:pPr>
    <w:rPr>
      <w:rFonts w:ascii="Calibri" w:hAnsi="Calibri"/>
      <w:szCs w:val="21"/>
    </w:rPr>
  </w:style>
  <w:style w:type="paragraph" w:customStyle="1" w:styleId="332">
    <w:name w:val="Char1"/>
    <w:basedOn w:val="1"/>
    <w:qFormat/>
    <w:uiPriority w:val="0"/>
    <w:pPr>
      <w:tabs>
        <w:tab w:val="left" w:pos="937"/>
      </w:tabs>
      <w:ind w:left="1"/>
    </w:pPr>
    <w:rPr>
      <w:rFonts w:ascii="Arial" w:hAnsi="Arial" w:cs="Arial"/>
      <w:b/>
      <w:bCs/>
      <w:sz w:val="32"/>
      <w:szCs w:val="32"/>
    </w:rPr>
  </w:style>
  <w:style w:type="paragraph" w:customStyle="1" w:styleId="333">
    <w:name w:val="样式6"/>
    <w:basedOn w:val="230"/>
    <w:qFormat/>
    <w:uiPriority w:val="0"/>
    <w:pPr>
      <w:ind w:firstLine="482" w:firstLineChars="0"/>
    </w:pPr>
    <w:rPr>
      <w:color w:val="000000"/>
      <w:szCs w:val="24"/>
    </w:rPr>
  </w:style>
  <w:style w:type="paragraph" w:customStyle="1" w:styleId="334">
    <w:name w:val="字元 字元"/>
    <w:basedOn w:val="1"/>
    <w:qFormat/>
    <w:uiPriority w:val="0"/>
    <w:rPr>
      <w:rFonts w:ascii="Calibri" w:hAnsi="Calibri"/>
      <w:kern w:val="0"/>
      <w:sz w:val="24"/>
      <w:szCs w:val="20"/>
    </w:rPr>
  </w:style>
  <w:style w:type="paragraph" w:customStyle="1" w:styleId="335">
    <w:name w:val="样式7"/>
    <w:basedOn w:val="1"/>
    <w:qFormat/>
    <w:uiPriority w:val="0"/>
    <w:pPr>
      <w:adjustRightInd w:val="0"/>
      <w:snapToGrid w:val="0"/>
      <w:spacing w:line="300" w:lineRule="auto"/>
      <w:jc w:val="center"/>
    </w:pPr>
    <w:rPr>
      <w:rFonts w:ascii="黑体" w:hAnsi="Calibri" w:eastAsia="黑体"/>
      <w:szCs w:val="21"/>
      <w:lang w:val="zh-CN"/>
    </w:rPr>
  </w:style>
  <w:style w:type="paragraph" w:customStyle="1" w:styleId="336">
    <w:name w:val="样式 标题 1 + 非加粗 段前: 12 磅 段后: 6 磅 行距: 单倍行距1"/>
    <w:basedOn w:val="2"/>
    <w:qFormat/>
    <w:uiPriority w:val="0"/>
    <w:pPr>
      <w:keepLines/>
      <w:tabs>
        <w:tab w:val="left" w:pos="630"/>
      </w:tabs>
      <w:overflowPunct/>
      <w:snapToGrid/>
      <w:spacing w:before="240" w:after="120" w:line="240" w:lineRule="auto"/>
      <w:ind w:left="14" w:firstLine="14"/>
      <w:jc w:val="left"/>
    </w:pPr>
    <w:rPr>
      <w:rFonts w:eastAsia="宋体"/>
      <w:bCs w:val="0"/>
      <w:color w:val="auto"/>
      <w:sz w:val="44"/>
      <w:szCs w:val="20"/>
    </w:rPr>
  </w:style>
  <w:style w:type="paragraph" w:customStyle="1" w:styleId="337">
    <w:name w:val="表格样式3"/>
    <w:basedOn w:val="1"/>
    <w:qFormat/>
    <w:uiPriority w:val="0"/>
    <w:pPr>
      <w:spacing w:line="300" w:lineRule="exact"/>
      <w:ind w:left="-50" w:leftChars="-50" w:right="-50" w:rightChars="-50"/>
      <w:jc w:val="center"/>
    </w:pPr>
    <w:rPr>
      <w:rFonts w:ascii="宋体" w:hAnsi="Calibri"/>
      <w:szCs w:val="21"/>
    </w:rPr>
  </w:style>
  <w:style w:type="paragraph" w:customStyle="1" w:styleId="338">
    <w:name w:val="p16"/>
    <w:basedOn w:val="1"/>
    <w:qFormat/>
    <w:uiPriority w:val="0"/>
    <w:pPr>
      <w:widowControl/>
      <w:spacing w:line="360" w:lineRule="auto"/>
      <w:ind w:firstLine="420"/>
    </w:pPr>
    <w:rPr>
      <w:rFonts w:ascii="Calibri" w:hAnsi="Calibri"/>
      <w:kern w:val="0"/>
      <w:sz w:val="24"/>
    </w:rPr>
  </w:style>
  <w:style w:type="paragraph" w:customStyle="1" w:styleId="339">
    <w:name w:val="表格 21"/>
    <w:qFormat/>
    <w:uiPriority w:val="0"/>
    <w:pPr>
      <w:widowControl w:val="0"/>
      <w:autoSpaceDE w:val="0"/>
      <w:autoSpaceDN w:val="0"/>
      <w:adjustRightInd w:val="0"/>
      <w:jc w:val="center"/>
      <w:textAlignment w:val="baseline"/>
    </w:pPr>
    <w:rPr>
      <w:rFonts w:ascii="Calibri" w:hAnsi="Calibri" w:eastAsia="仿宋体" w:cs="Times New Roman"/>
      <w:sz w:val="28"/>
      <w:lang w:val="en-US" w:eastAsia="zh-CN" w:bidi="ar-SA"/>
    </w:rPr>
  </w:style>
  <w:style w:type="paragraph" w:customStyle="1" w:styleId="340">
    <w:name w:val="Char Char Char Char Char Char Char1 Char Char Char Char Char Char Char"/>
    <w:basedOn w:val="1"/>
    <w:qFormat/>
    <w:uiPriority w:val="0"/>
    <w:pPr>
      <w:tabs>
        <w:tab w:val="left" w:pos="432"/>
      </w:tabs>
      <w:ind w:left="432" w:hanging="432"/>
    </w:pPr>
    <w:rPr>
      <w:rFonts w:ascii="Tahoma" w:hAnsi="Tahoma"/>
      <w:sz w:val="24"/>
      <w:szCs w:val="20"/>
    </w:rPr>
  </w:style>
  <w:style w:type="paragraph" w:customStyle="1" w:styleId="341">
    <w:name w:val="样式25"/>
    <w:basedOn w:val="1"/>
    <w:qFormat/>
    <w:uiPriority w:val="0"/>
    <w:pPr>
      <w:adjustRightInd w:val="0"/>
      <w:snapToGrid w:val="0"/>
      <w:spacing w:line="360" w:lineRule="auto"/>
      <w:ind w:firstLine="200" w:firstLineChars="200"/>
    </w:pPr>
    <w:rPr>
      <w:rFonts w:ascii="宋体" w:hAnsi="Calibri"/>
      <w:kern w:val="24"/>
      <w:sz w:val="24"/>
    </w:rPr>
  </w:style>
  <w:style w:type="paragraph" w:customStyle="1" w:styleId="342">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hAnsi="Calibri"/>
      <w:sz w:val="24"/>
    </w:rPr>
  </w:style>
  <w:style w:type="paragraph" w:customStyle="1" w:styleId="343">
    <w:name w:val="Char Char Char Char Char Char Char1"/>
    <w:basedOn w:val="1"/>
    <w:qFormat/>
    <w:uiPriority w:val="0"/>
    <w:pPr>
      <w:spacing w:line="360" w:lineRule="auto"/>
      <w:ind w:firstLine="200" w:firstLineChars="200"/>
    </w:pPr>
    <w:rPr>
      <w:rFonts w:ascii="宋体" w:hAnsi="Calibri" w:cs="宋体"/>
      <w:sz w:val="24"/>
    </w:rPr>
  </w:style>
  <w:style w:type="paragraph" w:customStyle="1" w:styleId="344">
    <w:name w:val="样式 正文001 + 首行缩进:  2 字符1"/>
    <w:basedOn w:val="208"/>
    <w:qFormat/>
    <w:uiPriority w:val="0"/>
    <w:pPr>
      <w:spacing w:line="500" w:lineRule="atLeast"/>
      <w:ind w:firstLine="200" w:firstLineChars="200"/>
    </w:pPr>
    <w:rPr>
      <w:rFonts w:cs="宋体"/>
      <w:sz w:val="24"/>
    </w:rPr>
  </w:style>
  <w:style w:type="paragraph" w:customStyle="1" w:styleId="345">
    <w:name w:val="默认段落字体 Para Char"/>
    <w:basedOn w:val="1"/>
    <w:next w:val="1"/>
    <w:qFormat/>
    <w:uiPriority w:val="0"/>
    <w:pPr>
      <w:spacing w:line="360" w:lineRule="auto"/>
      <w:ind w:left="150" w:leftChars="150" w:firstLine="200" w:firstLineChars="200"/>
    </w:pPr>
    <w:rPr>
      <w:rFonts w:ascii="宋体" w:hAnsi="Calibri" w:cs="宋体"/>
      <w:sz w:val="24"/>
    </w:rPr>
  </w:style>
  <w:style w:type="paragraph" w:customStyle="1" w:styleId="346">
    <w:name w:val="3 Char"/>
    <w:basedOn w:val="1"/>
    <w:next w:val="1"/>
    <w:qFormat/>
    <w:uiPriority w:val="0"/>
    <w:pPr>
      <w:spacing w:line="360" w:lineRule="auto"/>
      <w:ind w:firstLine="200" w:firstLineChars="200"/>
    </w:pPr>
    <w:rPr>
      <w:rFonts w:ascii="宋体" w:hAnsi="宋体" w:eastAsia="汉鼎简书宋" w:cs="宋体"/>
      <w:sz w:val="24"/>
    </w:rPr>
  </w:style>
  <w:style w:type="paragraph" w:customStyle="1" w:styleId="347">
    <w:name w:val="111111正文"/>
    <w:basedOn w:val="1"/>
    <w:link w:val="348"/>
    <w:qFormat/>
    <w:uiPriority w:val="0"/>
    <w:pPr>
      <w:spacing w:line="360" w:lineRule="auto"/>
      <w:ind w:firstLine="200" w:firstLineChars="200"/>
    </w:pPr>
    <w:rPr>
      <w:rFonts w:ascii="Calibri" w:hAnsi="Calibri"/>
      <w:szCs w:val="21"/>
    </w:rPr>
  </w:style>
  <w:style w:type="character" w:customStyle="1" w:styleId="348">
    <w:name w:val="111111正文 Char Char"/>
    <w:link w:val="347"/>
    <w:qFormat/>
    <w:uiPriority w:val="0"/>
    <w:rPr>
      <w:rFonts w:ascii="Calibri" w:hAnsi="Calibri"/>
      <w:kern w:val="2"/>
      <w:sz w:val="21"/>
      <w:szCs w:val="21"/>
    </w:rPr>
  </w:style>
  <w:style w:type="paragraph" w:customStyle="1" w:styleId="349">
    <w:name w:val="样式18"/>
    <w:basedOn w:val="1"/>
    <w:qFormat/>
    <w:uiPriority w:val="0"/>
    <w:pPr>
      <w:widowControl/>
      <w:snapToGrid w:val="0"/>
      <w:jc w:val="center"/>
    </w:pPr>
    <w:rPr>
      <w:rFonts w:ascii="宋体" w:hAnsi="Calibri" w:cs="宋体"/>
      <w:kern w:val="0"/>
      <w:szCs w:val="21"/>
    </w:rPr>
  </w:style>
  <w:style w:type="paragraph" w:customStyle="1" w:styleId="350">
    <w:name w:val="样式29"/>
    <w:basedOn w:val="1"/>
    <w:qFormat/>
    <w:uiPriority w:val="0"/>
    <w:pPr>
      <w:tabs>
        <w:tab w:val="decimal" w:pos="8280"/>
      </w:tabs>
      <w:adjustRightInd w:val="0"/>
      <w:snapToGrid w:val="0"/>
      <w:jc w:val="center"/>
    </w:pPr>
    <w:rPr>
      <w:rFonts w:ascii="黑体" w:hAnsi="Calibri" w:eastAsia="黑体"/>
      <w:color w:val="000000"/>
      <w:szCs w:val="21"/>
    </w:rPr>
  </w:style>
  <w:style w:type="paragraph" w:customStyle="1" w:styleId="351">
    <w:name w:val="Char Char Char Char Char2 Char Char Char Char"/>
    <w:basedOn w:val="1"/>
    <w:qFormat/>
    <w:uiPriority w:val="0"/>
    <w:pPr>
      <w:adjustRightInd w:val="0"/>
      <w:snapToGrid w:val="0"/>
      <w:spacing w:line="360" w:lineRule="auto"/>
      <w:ind w:firstLine="200" w:firstLineChars="200"/>
    </w:pPr>
    <w:rPr>
      <w:rFonts w:ascii="Calibri" w:hAnsi="Calibri"/>
      <w:sz w:val="24"/>
      <w:szCs w:val="20"/>
    </w:rPr>
  </w:style>
  <w:style w:type="paragraph" w:customStyle="1" w:styleId="352">
    <w:name w:val="Char Char3"/>
    <w:basedOn w:val="1"/>
    <w:qFormat/>
    <w:uiPriority w:val="0"/>
    <w:rPr>
      <w:rFonts w:ascii="Calibri" w:hAnsi="Calibri"/>
      <w:szCs w:val="21"/>
    </w:rPr>
  </w:style>
  <w:style w:type="paragraph" w:customStyle="1" w:styleId="353">
    <w:name w:val="样式26"/>
    <w:basedOn w:val="1"/>
    <w:qFormat/>
    <w:uiPriority w:val="0"/>
    <w:pPr>
      <w:adjustRightInd w:val="0"/>
      <w:snapToGrid w:val="0"/>
      <w:spacing w:line="480" w:lineRule="auto"/>
      <w:jc w:val="center"/>
      <w:outlineLvl w:val="0"/>
    </w:pPr>
    <w:rPr>
      <w:rFonts w:ascii="黑体" w:hAnsi="Calibri" w:eastAsia="黑体"/>
      <w:sz w:val="32"/>
      <w:szCs w:val="32"/>
    </w:rPr>
  </w:style>
  <w:style w:type="paragraph" w:customStyle="1" w:styleId="354">
    <w:name w:val="默认段落字体 Para Char Char Char Char"/>
    <w:basedOn w:val="1"/>
    <w:qFormat/>
    <w:uiPriority w:val="0"/>
    <w:rPr>
      <w:rFonts w:ascii="Calibri" w:hAnsi="Calibri"/>
      <w:szCs w:val="20"/>
    </w:rPr>
  </w:style>
  <w:style w:type="paragraph" w:customStyle="1" w:styleId="355">
    <w:name w:val="Char Char22"/>
    <w:basedOn w:val="1"/>
    <w:qFormat/>
    <w:uiPriority w:val="0"/>
    <w:pPr>
      <w:spacing w:line="360" w:lineRule="auto"/>
      <w:ind w:firstLine="200" w:firstLineChars="200"/>
    </w:pPr>
    <w:rPr>
      <w:rFonts w:ascii="宋体" w:hAnsi="Calibri" w:cs="宋体"/>
      <w:sz w:val="24"/>
    </w:rPr>
  </w:style>
  <w:style w:type="paragraph" w:customStyle="1" w:styleId="356">
    <w:name w:val="xxxxx正文"/>
    <w:basedOn w:val="1"/>
    <w:qFormat/>
    <w:uiPriority w:val="0"/>
    <w:pPr>
      <w:topLinePunct/>
      <w:spacing w:line="360" w:lineRule="auto"/>
      <w:ind w:firstLine="200" w:firstLineChars="200"/>
    </w:pPr>
    <w:rPr>
      <w:rFonts w:ascii="宋体" w:hAnsi="Calibri"/>
      <w:sz w:val="24"/>
      <w:lang w:val="zh-CN"/>
    </w:rPr>
  </w:style>
  <w:style w:type="character" w:customStyle="1" w:styleId="357">
    <w:name w:val="apple-converted-space"/>
    <w:qFormat/>
    <w:uiPriority w:val="0"/>
  </w:style>
  <w:style w:type="character" w:customStyle="1" w:styleId="358">
    <w:name w:val="正文样式 Char"/>
    <w:qFormat/>
    <w:uiPriority w:val="0"/>
    <w:rPr>
      <w:rFonts w:ascii="宋体" w:eastAsia="宋体"/>
      <w:kern w:val="2"/>
      <w:sz w:val="24"/>
      <w:szCs w:val="24"/>
      <w:lang w:val="en-US" w:eastAsia="zh-CN" w:bidi="ar-SA"/>
    </w:rPr>
  </w:style>
  <w:style w:type="paragraph" w:customStyle="1" w:styleId="359">
    <w:name w:val="报告书正文"/>
    <w:basedOn w:val="40"/>
    <w:qFormat/>
    <w:uiPriority w:val="0"/>
    <w:pPr>
      <w:widowControl w:val="0"/>
      <w:snapToGrid/>
      <w:spacing w:before="0" w:after="0" w:line="360" w:lineRule="auto"/>
      <w:ind w:right="0" w:firstLine="200" w:firstLineChars="200"/>
    </w:pPr>
    <w:rPr>
      <w:kern w:val="2"/>
      <w:sz w:val="24"/>
      <w:szCs w:val="24"/>
    </w:rPr>
  </w:style>
  <w:style w:type="paragraph" w:customStyle="1" w:styleId="360">
    <w:name w:val="样式 样式5 + 首行缩进:  2 字符"/>
    <w:basedOn w:val="108"/>
    <w:qFormat/>
    <w:uiPriority w:val="0"/>
    <w:pPr>
      <w:keepNext/>
      <w:snapToGrid/>
      <w:ind w:firstLine="200" w:firstLineChars="200"/>
    </w:pPr>
    <w:rPr>
      <w:rFonts w:ascii="Calibri" w:hAnsi="Calibri" w:cs="宋体"/>
      <w:bCs/>
      <w:snapToGrid w:val="0"/>
      <w:color w:val="000000"/>
      <w:kern w:val="24"/>
    </w:rPr>
  </w:style>
  <w:style w:type="paragraph" w:customStyle="1" w:styleId="361">
    <w:name w:val="表头及表尾"/>
    <w:qFormat/>
    <w:uiPriority w:val="0"/>
    <w:pPr>
      <w:tabs>
        <w:tab w:val="center" w:pos="4200"/>
        <w:tab w:val="right" w:pos="8400"/>
      </w:tabs>
      <w:adjustRightInd w:val="0"/>
      <w:snapToGrid w:val="0"/>
      <w:spacing w:line="360" w:lineRule="auto"/>
      <w:jc w:val="center"/>
    </w:pPr>
    <w:rPr>
      <w:rFonts w:ascii="Calibri" w:hAnsi="Calibri" w:eastAsia="Times New Roman" w:cs="Times New Roman"/>
      <w:b/>
      <w:snapToGrid w:val="0"/>
      <w:sz w:val="21"/>
      <w:lang w:val="en-US" w:eastAsia="zh-CN" w:bidi="ar-SA"/>
    </w:rPr>
  </w:style>
  <w:style w:type="paragraph" w:customStyle="1" w:styleId="362">
    <w:name w:val="表格小4"/>
    <w:basedOn w:val="1"/>
    <w:qFormat/>
    <w:uiPriority w:val="0"/>
    <w:pPr>
      <w:widowControl/>
      <w:autoSpaceDE w:val="0"/>
      <w:autoSpaceDN w:val="0"/>
      <w:adjustRightInd w:val="0"/>
      <w:snapToGrid w:val="0"/>
      <w:jc w:val="center"/>
      <w:textAlignment w:val="bottom"/>
    </w:pPr>
    <w:rPr>
      <w:rFonts w:ascii="宋体" w:hAnsi="Calibri"/>
      <w:sz w:val="24"/>
    </w:rPr>
  </w:style>
  <w:style w:type="paragraph" w:customStyle="1" w:styleId="363">
    <w:name w:val="表格15"/>
    <w:basedOn w:val="1"/>
    <w:qFormat/>
    <w:uiPriority w:val="0"/>
    <w:pPr>
      <w:widowControl/>
      <w:spacing w:line="300" w:lineRule="exact"/>
      <w:jc w:val="center"/>
    </w:pPr>
    <w:rPr>
      <w:rFonts w:ascii="宋体" w:hAnsi="Calibri"/>
      <w:color w:val="000000"/>
    </w:rPr>
  </w:style>
  <w:style w:type="paragraph" w:customStyle="1" w:styleId="36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5">
    <w:name w:val="样式 行距: 固定值 25 磅"/>
    <w:basedOn w:val="1"/>
    <w:qFormat/>
    <w:uiPriority w:val="0"/>
    <w:pPr>
      <w:spacing w:line="540" w:lineRule="atLeast"/>
      <w:ind w:firstLine="200" w:firstLineChars="200"/>
    </w:pPr>
    <w:rPr>
      <w:rFonts w:cs="宋体"/>
      <w:szCs w:val="20"/>
    </w:rPr>
  </w:style>
  <w:style w:type="character" w:customStyle="1" w:styleId="366">
    <w:name w:val="正文缩进 Char1"/>
    <w:qFormat/>
    <w:uiPriority w:val="0"/>
    <w:rPr>
      <w:rFonts w:eastAsia="宋体"/>
      <w:kern w:val="2"/>
      <w:sz w:val="24"/>
      <w:szCs w:val="24"/>
      <w:lang w:val="en-US" w:eastAsia="zh-CN" w:bidi="ar-SA"/>
    </w:rPr>
  </w:style>
  <w:style w:type="paragraph" w:customStyle="1" w:styleId="367">
    <w:name w:val="表格1"/>
    <w:qFormat/>
    <w:uiPriority w:val="0"/>
    <w:pPr>
      <w:widowControl w:val="0"/>
      <w:adjustRightInd w:val="0"/>
      <w:snapToGrid w:val="0"/>
      <w:spacing w:line="340" w:lineRule="exact"/>
      <w:jc w:val="center"/>
    </w:pPr>
    <w:rPr>
      <w:rFonts w:ascii="Times New Roman" w:hAnsi="Times New Roman" w:eastAsia="宋体" w:cs="Times New Roman"/>
      <w:kern w:val="2"/>
      <w:sz w:val="21"/>
      <w:lang w:val="en-US" w:eastAsia="zh-CN" w:bidi="ar-SA"/>
    </w:rPr>
  </w:style>
  <w:style w:type="character" w:customStyle="1" w:styleId="368">
    <w:name w:val="fontstyle01"/>
    <w:qFormat/>
    <w:uiPriority w:val="0"/>
    <w:rPr>
      <w:rFonts w:ascii="宋体" w:eastAsia="宋体"/>
      <w:color w:val="000000"/>
      <w:sz w:val="24"/>
      <w:szCs w:val="24"/>
    </w:rPr>
  </w:style>
  <w:style w:type="paragraph" w:customStyle="1" w:styleId="369">
    <w:name w:val="22磅行间距"/>
    <w:next w:val="256"/>
    <w:qFormat/>
    <w:uiPriority w:val="0"/>
    <w:pPr>
      <w:widowControl w:val="0"/>
      <w:adjustRightInd w:val="0"/>
      <w:snapToGrid w:val="0"/>
      <w:spacing w:line="440" w:lineRule="exact"/>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370">
    <w:name w:val="环保表格"/>
    <w:basedOn w:val="1"/>
    <w:qFormat/>
    <w:uiPriority w:val="0"/>
    <w:pPr>
      <w:tabs>
        <w:tab w:val="left" w:pos="0"/>
      </w:tabs>
      <w:autoSpaceDE w:val="0"/>
      <w:autoSpaceDN w:val="0"/>
      <w:jc w:val="center"/>
    </w:pPr>
    <w:rPr>
      <w:rFonts w:ascii="宋体" w:hAnsi="宋体"/>
      <w:szCs w:val="21"/>
    </w:rPr>
  </w:style>
  <w:style w:type="paragraph" w:customStyle="1" w:styleId="371">
    <w:name w:val="TX-表头"/>
    <w:qFormat/>
    <w:uiPriority w:val="0"/>
    <w:pPr>
      <w:jc w:val="center"/>
    </w:pPr>
    <w:rPr>
      <w:rFonts w:ascii="Times New Roman" w:hAnsi="Times New Roman" w:eastAsia="仿宋" w:cs="Times New Roman"/>
      <w:b/>
      <w:kern w:val="2"/>
      <w:sz w:val="24"/>
      <w:szCs w:val="22"/>
      <w:lang w:val="en-US" w:eastAsia="zh-CN" w:bidi="ar-SA"/>
    </w:rPr>
  </w:style>
  <w:style w:type="paragraph" w:customStyle="1" w:styleId="372">
    <w:name w:val="fu正文"/>
    <w:basedOn w:val="1"/>
    <w:qFormat/>
    <w:uiPriority w:val="0"/>
    <w:pPr>
      <w:spacing w:line="360" w:lineRule="auto"/>
      <w:ind w:firstLine="200" w:firstLineChars="200"/>
    </w:pPr>
    <w:rPr>
      <w:rFonts w:ascii="宋体" w:hAnsi="宋体" w:eastAsia="仿宋"/>
      <w:color w:val="000000"/>
      <w:sz w:val="24"/>
      <w:szCs w:val="22"/>
    </w:rPr>
  </w:style>
  <w:style w:type="paragraph" w:customStyle="1" w:styleId="373">
    <w:name w:val="正文样式100"/>
    <w:basedOn w:val="1"/>
    <w:qFormat/>
    <w:uiPriority w:val="0"/>
    <w:pPr>
      <w:spacing w:line="360" w:lineRule="auto"/>
      <w:ind w:firstLine="480" w:firstLineChars="200"/>
    </w:pPr>
    <w:rPr>
      <w:rFonts w:hAnsi="Courier New" w:eastAsia="仿宋" w:cs="Courier New"/>
      <w:sz w:val="24"/>
      <w:szCs w:val="21"/>
    </w:rPr>
  </w:style>
  <w:style w:type="character" w:customStyle="1" w:styleId="374">
    <w:name w:val="其他_"/>
    <w:link w:val="375"/>
    <w:qFormat/>
    <w:uiPriority w:val="0"/>
    <w:rPr>
      <w:rFonts w:ascii="宋体" w:hAnsi="宋体" w:cs="宋体"/>
    </w:rPr>
  </w:style>
  <w:style w:type="paragraph" w:customStyle="1" w:styleId="375">
    <w:name w:val="其他"/>
    <w:basedOn w:val="1"/>
    <w:link w:val="374"/>
    <w:qFormat/>
    <w:uiPriority w:val="0"/>
    <w:pPr>
      <w:spacing w:line="384" w:lineRule="auto"/>
      <w:ind w:firstLine="400"/>
      <w:jc w:val="left"/>
    </w:pPr>
    <w:rPr>
      <w:rFonts w:ascii="宋体" w:hAnsi="宋体" w:cs="宋体"/>
      <w:kern w:val="0"/>
      <w:sz w:val="20"/>
      <w:szCs w:val="20"/>
    </w:rPr>
  </w:style>
  <w:style w:type="paragraph" w:customStyle="1" w:styleId="376">
    <w:name w:val="表格内容"/>
    <w:basedOn w:val="1"/>
    <w:link w:val="377"/>
    <w:qFormat/>
    <w:uiPriority w:val="0"/>
    <w:pPr>
      <w:widowControl/>
      <w:jc w:val="center"/>
    </w:pPr>
    <w:rPr>
      <w:rFonts w:ascii="仿宋_GB2312" w:hAnsi="仿宋_GB2312" w:eastAsia="仿宋"/>
      <w:color w:val="FF0000"/>
      <w:kern w:val="0"/>
      <w:szCs w:val="21"/>
    </w:rPr>
  </w:style>
  <w:style w:type="character" w:customStyle="1" w:styleId="377">
    <w:name w:val="表格内容 Char"/>
    <w:link w:val="376"/>
    <w:qFormat/>
    <w:uiPriority w:val="0"/>
    <w:rPr>
      <w:rFonts w:ascii="仿宋_GB2312" w:hAnsi="仿宋_GB2312" w:eastAsia="仿宋"/>
      <w:color w:val="FF0000"/>
      <w:sz w:val="21"/>
      <w:szCs w:val="21"/>
    </w:rPr>
  </w:style>
  <w:style w:type="character" w:customStyle="1" w:styleId="378">
    <w:name w:val="表头 Char Char"/>
    <w:qFormat/>
    <w:uiPriority w:val="0"/>
    <w:rPr>
      <w:rFonts w:eastAsia="黑体"/>
      <w:spacing w:val="-10"/>
      <w:sz w:val="21"/>
    </w:rPr>
  </w:style>
  <w:style w:type="table" w:customStyle="1" w:styleId="379">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380">
    <w:name w:val="HP 表格内容"/>
    <w:basedOn w:val="1"/>
    <w:qFormat/>
    <w:uiPriority w:val="0"/>
    <w:pPr>
      <w:widowControl/>
      <w:jc w:val="center"/>
    </w:pPr>
    <w:rPr>
      <w:kern w:val="0"/>
      <w:sz w:val="24"/>
    </w:rPr>
  </w:style>
  <w:style w:type="paragraph" w:customStyle="1" w:styleId="381">
    <w:name w:val="xl27"/>
    <w:basedOn w:val="1"/>
    <w:next w:val="1"/>
    <w:qFormat/>
    <w:uiPriority w:val="0"/>
    <w:pPr>
      <w:widowControl/>
      <w:pBdr>
        <w:bottom w:val="single" w:color="auto" w:sz="4" w:space="0"/>
        <w:right w:val="single" w:color="auto" w:sz="4" w:space="0"/>
      </w:pBdr>
      <w:spacing w:before="100" w:beforeAutospacing="1" w:after="100" w:afterAutospacing="1"/>
      <w:jc w:val="center"/>
    </w:pPr>
    <w:rPr>
      <w:rFonts w:ascii="Calibri" w:hAnsi="Calibri" w:cs="宋体"/>
      <w:kern w:val="0"/>
      <w:sz w:val="24"/>
      <w:szCs w:val="21"/>
    </w:rPr>
  </w:style>
  <w:style w:type="paragraph" w:customStyle="1" w:styleId="382">
    <w:name w:val="正文DG"/>
    <w:basedOn w:val="1"/>
    <w:link w:val="383"/>
    <w:qFormat/>
    <w:uiPriority w:val="0"/>
    <w:pPr>
      <w:spacing w:line="520" w:lineRule="exact"/>
      <w:ind w:firstLine="480" w:firstLineChars="200"/>
    </w:pPr>
    <w:rPr>
      <w:rFonts w:ascii="新宋体" w:hAnsi="新宋体" w:eastAsia="新宋体"/>
      <w:sz w:val="24"/>
    </w:rPr>
  </w:style>
  <w:style w:type="character" w:customStyle="1" w:styleId="383">
    <w:name w:val="正文DG Char Char"/>
    <w:link w:val="382"/>
    <w:qFormat/>
    <w:uiPriority w:val="0"/>
    <w:rPr>
      <w:rFonts w:ascii="新宋体" w:hAnsi="新宋体" w:eastAsia="新宋体"/>
      <w:kern w:val="2"/>
      <w:sz w:val="24"/>
      <w:szCs w:val="24"/>
    </w:rPr>
  </w:style>
  <w:style w:type="character" w:customStyle="1" w:styleId="384">
    <w:name w:val="7表格(治) Char"/>
    <w:link w:val="385"/>
    <w:qFormat/>
    <w:uiPriority w:val="0"/>
    <w:rPr>
      <w:sz w:val="21"/>
    </w:rPr>
  </w:style>
  <w:style w:type="paragraph" w:customStyle="1" w:styleId="385">
    <w:name w:val="7表格(治)"/>
    <w:link w:val="384"/>
    <w:qFormat/>
    <w:uiPriority w:val="0"/>
    <w:pPr>
      <w:jc w:val="center"/>
    </w:pPr>
    <w:rPr>
      <w:rFonts w:ascii="Times New Roman" w:hAnsi="Times New Roman" w:eastAsia="宋体" w:cs="Times New Roman"/>
      <w:sz w:val="21"/>
      <w:lang w:val="en-US" w:eastAsia="zh-CN" w:bidi="ar-SA"/>
    </w:rPr>
  </w:style>
  <w:style w:type="character" w:customStyle="1" w:styleId="386">
    <w:name w:val="6表(图)头(治) Char"/>
    <w:link w:val="387"/>
    <w:qFormat/>
    <w:uiPriority w:val="0"/>
    <w:rPr>
      <w:rFonts w:eastAsia="仿宋_GB2312"/>
      <w:color w:val="000000"/>
      <w:kern w:val="2"/>
      <w:sz w:val="24"/>
    </w:rPr>
  </w:style>
  <w:style w:type="paragraph" w:customStyle="1" w:styleId="387">
    <w:name w:val="6表(图)头(治)"/>
    <w:next w:val="1"/>
    <w:link w:val="386"/>
    <w:qFormat/>
    <w:uiPriority w:val="0"/>
    <w:pPr>
      <w:widowControl w:val="0"/>
      <w:adjustRightInd w:val="0"/>
      <w:snapToGrid w:val="0"/>
      <w:spacing w:line="360" w:lineRule="auto"/>
      <w:ind w:firstLine="480" w:firstLineChars="200"/>
      <w:jc w:val="both"/>
    </w:pPr>
    <w:rPr>
      <w:rFonts w:ascii="Times New Roman" w:hAnsi="Times New Roman" w:eastAsia="仿宋_GB2312" w:cs="Times New Roman"/>
      <w:color w:val="000000"/>
      <w:kern w:val="2"/>
      <w:sz w:val="24"/>
      <w:lang w:val="en-US" w:eastAsia="zh-CN" w:bidi="ar-SA"/>
    </w:rPr>
  </w:style>
  <w:style w:type="character" w:customStyle="1" w:styleId="388">
    <w:name w:val="5文章(治) Char"/>
    <w:link w:val="389"/>
    <w:qFormat/>
    <w:uiPriority w:val="0"/>
    <w:rPr>
      <w:color w:val="000000"/>
      <w:kern w:val="2"/>
      <w:sz w:val="24"/>
      <w:szCs w:val="24"/>
    </w:rPr>
  </w:style>
  <w:style w:type="paragraph" w:customStyle="1" w:styleId="389">
    <w:name w:val="5文章(治)"/>
    <w:basedOn w:val="1"/>
    <w:link w:val="388"/>
    <w:qFormat/>
    <w:uiPriority w:val="0"/>
    <w:pPr>
      <w:spacing w:line="360" w:lineRule="auto"/>
      <w:ind w:firstLine="480" w:firstLineChars="200"/>
    </w:pPr>
    <w:rPr>
      <w:color w:val="000000"/>
      <w:sz w:val="24"/>
    </w:rPr>
  </w:style>
  <w:style w:type="character" w:customStyle="1" w:styleId="390">
    <w:name w:val="表格文字 Char Char"/>
    <w:qFormat/>
    <w:uiPriority w:val="0"/>
    <w:rPr>
      <w:rFonts w:ascii="宋体" w:hAnsi="宋体" w:eastAsia="宋体"/>
      <w:kern w:val="2"/>
      <w:sz w:val="21"/>
      <w:lang w:val="en-US" w:eastAsia="zh-CN" w:bidi="ar-SA"/>
    </w:rPr>
  </w:style>
  <w:style w:type="paragraph" w:customStyle="1" w:styleId="391">
    <w:name w:val="表内"/>
    <w:basedOn w:val="23"/>
    <w:link w:val="392"/>
    <w:qFormat/>
    <w:uiPriority w:val="0"/>
    <w:pPr>
      <w:spacing w:line="240" w:lineRule="auto"/>
      <w:jc w:val="center"/>
    </w:pPr>
    <w:rPr>
      <w:rFonts w:ascii="Times New Roman" w:hAnsi="Times New Roman"/>
      <w:bCs/>
      <w:color w:val="000000"/>
      <w:kern w:val="0"/>
      <w:szCs w:val="21"/>
    </w:rPr>
  </w:style>
  <w:style w:type="character" w:customStyle="1" w:styleId="392">
    <w:name w:val="表内 Char"/>
    <w:link w:val="391"/>
    <w:qFormat/>
    <w:uiPriority w:val="0"/>
    <w:rPr>
      <w:bCs/>
      <w:color w:val="000000"/>
      <w:sz w:val="21"/>
      <w:szCs w:val="21"/>
    </w:rPr>
  </w:style>
  <w:style w:type="paragraph" w:customStyle="1" w:styleId="393">
    <w:name w:val="02表格文字-环评报告"/>
    <w:basedOn w:val="1"/>
    <w:qFormat/>
    <w:uiPriority w:val="0"/>
    <w:pPr>
      <w:spacing w:line="240" w:lineRule="auto"/>
      <w:ind w:firstLine="0" w:firstLineChars="0"/>
      <w:jc w:val="center"/>
    </w:pPr>
    <w:rPr>
      <w:sz w:val="21"/>
      <w:szCs w:val="21"/>
    </w:rPr>
  </w:style>
  <w:style w:type="table" w:customStyle="1" w:styleId="394">
    <w:name w:val="环评报告表格样式1"/>
    <w:basedOn w:val="41"/>
    <w:qFormat/>
    <w:uiPriority w:val="99"/>
    <w:pPr>
      <w:jc w:val="center"/>
    </w:pPr>
    <w:rPr>
      <w:rFonts w:cs="Times New Roman"/>
      <w:kern w:val="2"/>
      <w:sz w:val="21"/>
      <w:szCs w:val="24"/>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rPr>
      <w:jc w:val="center"/>
    </w:trPr>
    <w:tcPr>
      <w:vAlign w:val="center"/>
    </w:tcPr>
  </w:style>
  <w:style w:type="paragraph" w:customStyle="1" w:styleId="395">
    <w:name w:val="白正文"/>
    <w:basedOn w:val="1"/>
    <w:qFormat/>
    <w:uiPriority w:val="0"/>
    <w:pPr>
      <w:spacing w:line="360" w:lineRule="auto"/>
      <w:ind w:firstLine="200" w:firstLineChars="200"/>
    </w:pPr>
    <w:rPr>
      <w:rFonts w:ascii="宋体" w:hAnsi="宋体"/>
      <w:color w:val="000000"/>
      <w:sz w:val="24"/>
      <w:szCs w:val="24"/>
    </w:rPr>
  </w:style>
  <w:style w:type="paragraph" w:customStyle="1" w:styleId="396">
    <w:name w:val="dan6-16正文"/>
    <w:basedOn w:val="1"/>
    <w:qFormat/>
    <w:uiPriority w:val="0"/>
    <w:pPr>
      <w:spacing w:before="40" w:after="40" w:line="360" w:lineRule="auto"/>
      <w:ind w:firstLine="200" w:firstLineChars="200"/>
    </w:pPr>
    <w:rPr>
      <w:sz w:val="24"/>
      <w:szCs w:val="24"/>
    </w:rPr>
  </w:style>
  <w:style w:type="paragraph" w:customStyle="1" w:styleId="397">
    <w:name w:val="付正文"/>
    <w:basedOn w:val="1"/>
    <w:qFormat/>
    <w:uiPriority w:val="0"/>
    <w:pPr>
      <w:spacing w:line="360" w:lineRule="auto"/>
      <w:ind w:firstLine="200" w:firstLineChars="200"/>
    </w:pPr>
    <w:rPr>
      <w:rFonts w:ascii="宋体"/>
      <w:color w:val="000000"/>
      <w:sz w:val="24"/>
      <w:szCs w:val="21"/>
    </w:rPr>
  </w:style>
  <w:style w:type="paragraph" w:customStyle="1" w:styleId="398">
    <w:name w:val="0表格格式"/>
    <w:basedOn w:val="1"/>
    <w:qFormat/>
    <w:uiPriority w:val="0"/>
    <w:pPr>
      <w:jc w:val="center"/>
    </w:pPr>
    <w:rPr>
      <w:rFonts w:ascii="Times New Roman" w:hAnsi="Times New Roman" w:cs="Times New Roman"/>
      <w:szCs w:val="21"/>
    </w:rPr>
  </w:style>
  <w:style w:type="paragraph" w:customStyle="1" w:styleId="399">
    <w:name w:val="c正文"/>
    <w:qFormat/>
    <w:uiPriority w:val="0"/>
    <w:pPr>
      <w:widowControl w:val="0"/>
      <w:spacing w:line="360" w:lineRule="auto"/>
      <w:ind w:firstLine="200" w:firstLineChars="200"/>
      <w:jc w:val="both"/>
    </w:pPr>
    <w:rPr>
      <w:rFonts w:ascii="Times New Roman" w:hAnsi="Times New Roman" w:eastAsia="宋体" w:cs="Times New Roman"/>
      <w:color w:val="000000"/>
      <w:kern w:val="44"/>
      <w:sz w:val="24"/>
      <w:szCs w:val="24"/>
      <w:lang w:val="en-US" w:eastAsia="zh-CN" w:bidi="ar-SA"/>
    </w:rPr>
  </w:style>
  <w:style w:type="paragraph" w:customStyle="1" w:styleId="400">
    <w:name w:val="Table Text"/>
    <w:basedOn w:val="1"/>
    <w:semiHidden/>
    <w:qFormat/>
    <w:uiPriority w:val="0"/>
    <w:rPr>
      <w:rFonts w:ascii="宋体" w:hAnsi="宋体" w:eastAsia="宋体" w:cs="宋体"/>
      <w:sz w:val="24"/>
      <w:szCs w:val="24"/>
      <w:lang w:val="en-US" w:eastAsia="en-US" w:bidi="ar-SA"/>
    </w:rPr>
  </w:style>
  <w:style w:type="paragraph" w:customStyle="1" w:styleId="401">
    <w:name w:val="[1]正文"/>
    <w:basedOn w:val="1"/>
    <w:qFormat/>
    <w:uiPriority w:val="0"/>
    <w:pPr>
      <w:widowControl/>
      <w:snapToGrid w:val="0"/>
      <w:spacing w:line="360" w:lineRule="auto"/>
      <w:ind w:firstLine="200" w:firstLineChars="200"/>
      <w:jc w:val="left"/>
    </w:pPr>
    <w:rPr>
      <w:rFonts w:ascii="Calibri" w:hAnsi="Calibri"/>
      <w:kern w:val="0"/>
      <w:sz w:val="24"/>
      <w:szCs w:val="28"/>
    </w:rPr>
  </w:style>
  <w:style w:type="paragraph" w:customStyle="1" w:styleId="402">
    <w:name w:val="1正文"/>
    <w:basedOn w:val="1"/>
    <w:qFormat/>
    <w:uiPriority w:val="0"/>
    <w:pPr>
      <w:spacing w:line="360" w:lineRule="auto"/>
      <w:ind w:firstLine="198"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2" Type="http://schemas.openxmlformats.org/officeDocument/2006/relationships/fontTable" Target="fontTable.xml"/><Relationship Id="rId41" Type="http://schemas.openxmlformats.org/officeDocument/2006/relationships/customXml" Target="../customXml/item2.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e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3.bin"/><Relationship Id="rId17" Type="http://schemas.openxmlformats.org/officeDocument/2006/relationships/image" Target="media/image6.emf"/><Relationship Id="rId16" Type="http://schemas.openxmlformats.org/officeDocument/2006/relationships/oleObject" Target="embeddings/oleObject2.bin"/><Relationship Id="rId15" Type="http://schemas.openxmlformats.org/officeDocument/2006/relationships/image" Target="media/image5.emf"/><Relationship Id="rId14" Type="http://schemas.openxmlformats.org/officeDocument/2006/relationships/oleObject" Target="embeddings/oleObject1.bin"/><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e382ac28-3685-480c-8f07-16a02368ce43</errorID>
      <errorWord>危险物质</errorWord>
      <group>L1_Word</group>
      <groupName>字词问题</groupName>
      <ability>L2_Typo</ability>
      <abilityName>字词错误</abilityName>
      <candidateList>
        <item>危险物资</item>
      </candidateList>
      <explain/>
      <paraID>7836AC42</paraID>
      <start>3</start>
      <end>7</end>
      <status>unmodified</status>
      <modifiedWord/>
      <trackRevisions>false</trackRevisions>
    </reviewItem>
    <reviewItem>
      <errorID>31c5f4dd-b184-40d9-b401-614009dedb1d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5C04F5E1</paraID>
      <start>24</start>
      <end>25</end>
      <status>unmodified</status>
      <modifiedWord/>
      <trackRevisions>false</trackRevisions>
    </reviewItem>
    <reviewItem>
      <errorID>40376b8b-e583-4884-8426-f4f1862d0ad1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360CBBCF</paraID>
      <start>46</start>
      <end>47</end>
      <status>unmodified</status>
      <modifiedWord/>
      <trackRevisions>false</trackRevisions>
    </reviewItem>
    <reviewItem>
      <errorID>c380a5ad-ca61-4864-921f-38c9d89d8774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729BEB82</paraID>
      <start>100</start>
      <end>101</end>
      <status>unmodified</status>
      <modifiedWord/>
      <trackRevisions>false</trackRevisions>
    </reviewItem>
    <reviewItem>
      <errorID>c10ea16a-900e-43ac-9b77-17f38a0000d7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74F6E21</paraID>
      <start>54</start>
      <end>55</end>
      <status>unmodified</status>
      <modifiedWord/>
      <trackRevisions>false</trackRevisions>
    </reviewItem>
    <reviewItem>
      <errorID>fb8387b5-56de-4265-bb8e-3e0c2a35645a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74F6E21</paraID>
      <start>116</start>
      <end>117</end>
      <status>unmodified</status>
      <modifiedWord/>
      <trackRevisions>false</trackRevisions>
    </reviewItem>
    <reviewItem>
      <errorID>c641ecd4-e424-48e7-8dce-52946e1cf0f0</errorID>
      <errorWord>并要</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❺〈书〉〈介〉用法跟“连”相同（常跟“而”、“亦”呼应）：～此而不知｜～此浅近原理亦不能明。</explain>
      <paraID>27C1A2B5</paraID>
      <start>64</start>
      <end>66</end>
      <status>unmodified</status>
      <modifiedWord/>
      <trackRevisions>false</trackRevisions>
    </reviewItem>
    <reviewItem>
      <errorID>2bff93c5-2f9e-42ff-ad82-45ab999c4d8c</errorID>
      <errorWord>防治</errorWord>
      <group>L1_Word</group>
      <groupName>字词问题</groupName>
      <ability>L2_Typo</ability>
      <abilityName>字词错误</abilityName>
      <candidateList>
        <item>防止</item>
      </candidateList>
      <explain>〈动〉预先设法制止（坏事发生）：～煤气中毒｜～交通事故。</explain>
      <paraID>5C509BF7</paraID>
      <start>28</start>
      <end>30</end>
      <status>unmodified</status>
      <modifiedWord/>
      <trackRevisions>false</trackRevisions>
    </reviewItem>
    <reviewItem>
      <errorID>b28c268c-011c-4896-bf7a-a8ca58ae1d0e</errorID>
      <errorWord>上线</errorWord>
      <group>L1_Word</group>
      <groupName>字词问题</groupName>
      <ability>L2_Typo</ability>
      <abilityName>字词错误</abilityName>
      <candidateList>
        <item>上限</item>
      </candidateList>
      <explain/>
      <paraID>18ACC161</paraID>
      <start>10</start>
      <end>12</end>
      <status>unmodified</status>
      <modifiedWord/>
      <trackRevisions>false</trackRevisions>
    </reviewItem>
    <reviewItem>
      <errorID>a0d2a352-0b1d-4c42-980b-6f47214b46f1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5756BBD8</paraID>
      <start>0</start>
      <end>2</end>
      <status>unmodified</status>
      <modifiedWord/>
      <trackRevisions>false</trackRevisions>
    </reviewItem>
    <reviewItem>
      <errorID>017d9b2d-0cb0-4786-93a9-f81020220364</errorID>
      <errorWord>少</errorWord>
      <group>L1_Word</group>
      <groupName>字词问题</groupName>
      <ability>L2_Typo</ability>
      <abilityName>字词错误</abilityName>
      <candidateList>
        <item>小</item>
      </candidateList>
      <explain>存在字形相近字词的误用。</explain>
      <paraID>373B7431</paraID>
      <start>40</start>
      <end>41</end>
      <status>unmodified</status>
      <modifiedWord/>
      <trackRevisions>false</trackRevisions>
    </reviewItem>
    <reviewItem>
      <errorID>51b6eddd-69d9-4b4f-990a-a228f6bfc923</errorID>
      <errorWord>上线</errorWord>
      <group>L1_Word</group>
      <groupName>字词问题</groupName>
      <ability>L2_Typo</ability>
      <abilityName>字词错误</abilityName>
      <candidateList>
        <item>上限</item>
      </candidateList>
      <explain/>
      <paraID>373B7431</paraID>
      <start>48</start>
      <end>50</end>
      <status>unmodified</status>
      <modifiedWord/>
      <trackRevisions>false</trackRevisions>
    </reviewItem>
    <reviewItem>
      <errorID>5a875a86-be17-4da9-940e-b59c939a330b</errorID>
      <errorWord>-</errorWord>
      <group>L1_Format</group>
      <groupName>格式问题</groupName>
      <ability>L2_HalfPunc</ability>
      <abilityName>全半角检查</abilityName>
      <candidateList>
        <item>－</item>
      </candidateList>
      <explain>文本全半角错误。</explain>
      <paraID>7F96334D</paraID>
      <start>22</start>
      <end>23</end>
      <status>unmodified</status>
      <modifiedWord/>
      <trackRevisions>false</trackRevisions>
    </reviewItem>
    <reviewItem>
      <errorID>23ebfef1-6999-467c-8471-49603a7cd40e</errorID>
      <errorWord>《产业结构调整指定目录》（2024年本）</errorWord>
      <group>L1_Knowledge</group>
      <groupName>知识性问题</groupName>
      <ability>L2_Knowledge</ability>
      <abilityName>其他知识</abilityName>
      <candidateList>
        <item>《产业结构调整指定目录（2024年本）》</item>
      </candidateList>
      <explain>疑似政策文件、法律法规名称等书写不规范，请注意检查。</explain>
      <paraID>7FF7FCD7</paraID>
      <start>24</start>
      <end>44</end>
      <status>unmodified</status>
      <modifiedWord/>
      <trackRevisions>false</trackRevisions>
    </reviewItem>
    <reviewItem>
      <errorID>826bcaa1-baea-4619-a612-7fd2bd788c61</errorID>
      <errorWord>,</errorWord>
      <group>L1_Format</group>
      <groupName>格式问题</groupName>
      <ability>L2_HalfPunc</ability>
      <abilityName>全半角检查</abilityName>
      <candidateList>
        <item>，</item>
      </candidateList>
      <explain>文本全半角错误。</explain>
      <paraID>297BBC79</paraID>
      <start>489</start>
      <end>490</end>
      <status>unmodified</status>
      <modifiedWord/>
      <trackRevisions>false</trackRevisions>
    </reviewItem>
    <reviewItem>
      <errorID>34b8d340-b2e6-472c-8023-3e3e1addb8ac</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31A67611</paraID>
      <start>77</start>
      <end>78</end>
      <status>unmodified</status>
      <modifiedWord/>
      <trackRevisions>false</trackRevisions>
    </reviewItem>
    <reviewItem>
      <errorID>8fa65e02-d4dd-4f25-ad4b-405f830030a4</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31A67611</paraID>
      <start>81</start>
      <end>82</end>
      <status>unmodified</status>
      <modifiedWord/>
      <trackRevisions>false</trackRevisions>
    </reviewItem>
    <reviewItem>
      <errorID>6f375da9-e284-4c03-bef7-9120f80adba9</errorID>
      <errorWord>竟争力</errorWord>
      <group>L1_Word</group>
      <groupName>字词问题</groupName>
      <ability>L2_Typo</ability>
      <abilityName>字词错误</abilityName>
      <candidateList>
        <item>竞争力</item>
      </candidateList>
      <explain/>
      <paraID> 81E9DA9</paraID>
      <start>103</start>
      <end>106</end>
      <status>unmodified</status>
      <modifiedWord/>
      <trackRevisions>false</trackRevisions>
    </reviewItem>
    <reviewItem>
      <errorID>910a3902-166c-4275-b012-c9f6131e5eb9</errorID>
      <errorWord>'</errorWord>
      <group>L1_Format</group>
      <groupName>格式问题</groupName>
      <ability>L2_HalfPunc</ability>
      <abilityName>全半角检查</abilityName>
      <candidateList/>
      <explain>文本全半角错误。</explain>
      <paraID> 6A3CA42</paraID>
      <start>77</start>
      <end>78</end>
      <status>unmodified</status>
      <modifiedWord/>
      <trackRevisions>false</trackRevisions>
    </reviewItem>
    <reviewItem>
      <errorID>fc7e6df4-32b4-4dce-b2cb-1b6f5e91b07a</errorID>
      <errorWord>'</errorWord>
      <group>L1_Format</group>
      <groupName>格式问题</groupName>
      <ability>L2_HalfPunc</ability>
      <abilityName>全半角检查</abilityName>
      <candidateList/>
      <explain>文本全半角错误。</explain>
      <paraID> 6A3CA42</paraID>
      <start>94</start>
      <end>95</end>
      <status>unmodified</status>
      <modifiedWord/>
      <trackRevisions>false</trackRevisions>
    </reviewItem>
    <reviewItem>
      <errorID>b18566c9-38ff-4ac2-898a-0ea27313456d</errorID>
      <errorWord>生活给水</errorWord>
      <group>L1_Knowledge</group>
      <groupName>知识性问题</groupName>
      <ability>L2_Term</ability>
      <abilityName>专业术语</abilityName>
      <candidateList>
        <item>生活污水</item>
      </candidateList>
      <explain/>
      <paraID>767E29A8</paraID>
      <start>2</start>
      <end>6</end>
      <status>unmodified</status>
      <modifiedWord/>
      <trackRevisions>false</trackRevisions>
    </reviewItem>
    <reviewItem>
      <errorID>4678741a-7577-4cd3-9186-b3580b9b4bb3</errorID>
      <errorWord>KW</errorWord>
      <group>L1_Word</group>
      <groupName>字词问题</groupName>
      <ability>L2_Typo</ability>
      <abilityName>字词错误</abilityName>
      <candidateList>
        <item>kW</item>
      </candidateList>
      <explain/>
      <paraID>14AC3B94</paraID>
      <start>0</start>
      <end>2</end>
      <status>unmodified</status>
      <modifiedWord/>
      <trackRevisions>false</trackRevisions>
    </reviewItem>
    <reviewItem>
      <errorID>24c29f6e-ce56-4237-913c-7422be408366</errorID>
      <errorWord>壳程</errorWord>
      <group>L1_Word</group>
      <groupName>字词问题</groupName>
      <ability>L2_Typo</ability>
      <abilityName>字词错误</abilityName>
      <candidateList>
        <item>课程</item>
      </candidateList>
      <explain/>
      <paraID> 745A951</paraID>
      <start>0</start>
      <end>2</end>
      <status>unmodified</status>
      <modifiedWord/>
      <trackRevisions>false</trackRevisions>
    </reviewItem>
    <reviewItem>
      <errorID>50250ca5-dc08-4e21-b2f3-ba124b48355c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44A1CF90</paraID>
      <start>10</start>
      <end>11</end>
      <status>unmodified</status>
      <modifiedWord/>
      <trackRevisions>false</trackRevisions>
    </reviewItem>
    <reviewItem>
      <errorID>e49c14c2-66c8-4cc0-b9c2-9463ce6eeac3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3C9BD858</paraID>
      <start>13</start>
      <end>14</end>
      <status>unmodified</status>
      <modifiedWord/>
      <trackRevisions>false</trackRevisions>
    </reviewItem>
    <reviewItem>
      <errorID>b66e7e4d-7ff4-4ae6-9601-aa961f26458a</errorID>
      <errorWord>精致单元</errorWord>
      <group>L1_Word</group>
      <groupName>字词问题</groupName>
      <ability>L2_Typo</ability>
      <abilityName>字词错误</abilityName>
      <candidateList>
        <item>精制单元</item>
      </candidateList>
      <explain/>
      <paraID>21203943</paraID>
      <start>19</start>
      <end>23</end>
      <status>unmodified</status>
      <modifiedWord/>
      <trackRevisions>false</trackRevisions>
    </reviewItem>
    <reviewItem>
      <errorID>cb0ba1ca-1885-4969-bd29-615605501bd5</errorID>
      <errorWord>加氢精致</errorWord>
      <group>L1_Word</group>
      <groupName>字词问题</groupName>
      <ability>L2_Typo</ability>
      <abilityName>字词错误</abilityName>
      <candidateList>
        <item>加氢精制</item>
      </candidateList>
      <explain/>
      <paraID>70927C5D</paraID>
      <start>8</start>
      <end>12</end>
      <status>unmodified</status>
      <modifiedWord/>
      <trackRevisions>false</trackRevisions>
    </reviewItem>
    <reviewItem>
      <errorID>307feab6-7c78-4809-a311-4bcc48d83bff</errorID>
      <errorWord>生产污水</errorWord>
      <group>L1_Knowledge</group>
      <groupName>知识性问题</groupName>
      <ability>L2_Term</ability>
      <abilityName>专业术语</abilityName>
      <candidateList>
        <item>生产废水</item>
      </candidateList>
      <explain/>
      <paraID>65ABB828</paraID>
      <start>3</start>
      <end>7</end>
      <status>unmodified</status>
      <modifiedWord/>
      <trackRevisions>false</trackRevisions>
    </reviewItem>
    <reviewItem>
      <errorID>aaa647da-f61f-4b60-9e94-ddd8be1be79e</errorID>
      <errorWord>混和</errorWord>
      <group>L1_Word</group>
      <groupName>字词问题</groupName>
      <ability>L2_Typo</ability>
      <abilityName>字词错误</abilityName>
      <candidateList>
        <item>混合</item>
      </candidateList>
      <explain>〈动〉❶掺杂在一起：男女～双打｜客货～列车。❷把两种或两种以上相互间不发生化学反应的物质掺和在一起。</explain>
      <paraID>428F4670</paraID>
      <start>160</start>
      <end>162</end>
      <status>unmodified</status>
      <modifiedWord/>
      <trackRevisions>false</trackRevisions>
    </reviewItem>
    <reviewItem>
      <errorID>39a448e5-b51b-465a-bd4a-3427616e41f8</errorID>
      <errorWord>原油品</errorWord>
      <group>L1_Word</group>
      <groupName>字词问题</groupName>
      <ability>L2_Typo</ability>
      <abilityName>字词错误</abilityName>
      <candidateList>
        <item>原油</item>
      </candidateList>
      <explain/>
      <paraID> 9CC89E4</paraID>
      <start>168</start>
      <end>171</end>
      <status>unmodified</status>
      <modifiedWord/>
      <trackRevisions>false</trackRevisions>
    </reviewItem>
    <reviewItem>
      <errorID>a597c851-d23f-4929-aa0a-8114bd4ea8e0</errorID>
      <errorWord>加氢精致</errorWord>
      <group>L1_Word</group>
      <groupName>字词问题</groupName>
      <ability>L2_Typo</ability>
      <abilityName>字词错误</abilityName>
      <candidateList>
        <item>加氢精制</item>
      </candidateList>
      <explain/>
      <paraID>2041B1DC</paraID>
      <start>50</start>
      <end>54</end>
      <status>unmodified</status>
      <modifiedWord/>
      <trackRevisions>false</trackRevisions>
    </reviewItem>
    <reviewItem>
      <errorID>c4053d36-3343-4d97-b1d9-97ac33b9366d</errorID>
      <errorWord>高压氧内</errorWord>
      <group>L1_Knowledge</group>
      <groupName>知识性问题</groupName>
      <ability>L2_Term</ability>
      <abilityName>专业术语</abilityName>
      <candidateList>
        <item>高压氧舱</item>
      </candidateList>
      <explain/>
      <paraID>689F45ED</paraID>
      <start>86</start>
      <end>90</end>
      <status>unmodified</status>
      <modifiedWord/>
      <trackRevisions>false</trackRevisions>
    </reviewItem>
    <reviewItem>
      <errorID>d66ad510-015d-4b56-8bbb-4b12b35a96f2</errorID>
      <errorWord>，，</errorWord>
      <group>L1_Punc</group>
      <groupName>标点问题</groupName>
      <ability>L2_Punc</ability>
      <abilityName>标点符号检查</abilityName>
      <candidateList>
        <item>，</item>
      </candidateList>
      <explain/>
      <paraID>78D60AD5</paraID>
      <start>46</start>
      <end>48</end>
      <status>unmodified</status>
      <modifiedWord/>
      <trackRevisions>false</trackRevisions>
    </reviewItem>
    <reviewItem>
      <errorID>7099aa4c-0d21-4e7f-a721-b0cd3353fba4</errorID>
      <errorWord>原油品</errorWord>
      <group>L1_Word</group>
      <groupName>字词问题</groupName>
      <ability>L2_Typo</ability>
      <abilityName>字词错误</abilityName>
      <candidateList>
        <item>原油</item>
      </candidateList>
      <explain/>
      <paraID>7B5B47B0</paraID>
      <start>125</start>
      <end>128</end>
      <status>unmodified</status>
      <modifiedWord/>
      <trackRevisions>false</trackRevisions>
    </reviewItem>
    <reviewItem>
      <errorID>aa9d1576-3e1b-45bf-8c29-4749011518ac</errorID>
      <errorWord>拔出</errorWord>
      <group>L1_Word</group>
      <groupName>字词问题</groupName>
      <ability>L2_Typo</ability>
      <abilityName>字词错误</abilityName>
      <candidateList>
        <item>出</item>
      </candidateList>
      <explain>〈动〉趋向动词。用在动词后表示向外、显露或完成：看得～｜看不～｜拿～一张纸｜跑～大门｜看～问题｜做～成绩。</explain>
      <paraID>7B5B47B0</paraID>
      <start>168</start>
      <end>170</end>
      <status>unmodified</status>
      <modifiedWord/>
      <trackRevisions>false</trackRevisions>
    </reviewItem>
    <reviewItem>
      <errorID>c177cbbd-7077-43c7-94b6-341a36b390d6</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6A40C582</paraID>
      <start>103</start>
      <end>107</end>
      <status>unmodified</status>
      <modifiedWord/>
      <trackRevisions>false</trackRevisions>
    </reviewItem>
    <reviewItem>
      <errorID>75ea87b2-bc95-432c-81d2-8940b2a83443</errorID>
      <errorWord>渣蜡</errorWord>
      <group>L1_Word</group>
      <groupName>字词问题</groupName>
      <ability>L2_Typo</ability>
      <abilityName>字词错误</abilityName>
      <candidateList>
        <item>蜡渣</item>
      </candidateList>
      <explain/>
      <paraID>  E0B679</paraID>
      <start>161</start>
      <end>163</end>
      <status>unmodified</status>
      <modifiedWord/>
      <trackRevisions>false</trackRevisions>
    </reviewItem>
    <reviewItem>
      <errorID>f3fb874b-bb12-4db2-8fd9-1c2c25aa6cf5</errorID>
      <errorWord>消音器</errorWord>
      <group>L1_Word</group>
      <groupName>字词问题</groupName>
      <ability>L2_Typo</ability>
      <abilityName>字词错误</abilityName>
      <candidateList>
        <item>消声器</item>
      </candidateList>
      <explain/>
      <paraID> C18C156</paraID>
      <start>55</start>
      <end>58</end>
      <status>unmodified</status>
      <modifiedWord/>
      <trackRevisions>false</trackRevisions>
    </reviewItem>
    <reviewItem>
      <errorID>f7d3dddb-b560-4903-969b-c9bc74db4e96</errorID>
      <errorWord>~</errorWord>
      <group>L1_Format</group>
      <groupName>格式问题</groupName>
      <ability>L2_HalfPunc</ability>
      <abilityName>全半角检查</abilityName>
      <candidateList>
        <item>～</item>
      </candidateList>
      <explain>文本全半角错误。</explain>
      <paraID>6A4862EE</paraID>
      <start>77</start>
      <end>78</end>
      <status>unmodified</status>
      <modifiedWord/>
      <trackRevisions>false</trackRevisions>
    </reviewItem>
    <reviewItem>
      <errorID>d139c238-109b-4cfc-bfc9-2ac16b6acc8b</errorID>
      <errorWord>~</errorWord>
      <group>L1_Format</group>
      <groupName>格式问题</groupName>
      <ability>L2_HalfPunc</ability>
      <abilityName>全半角检查</abilityName>
      <candidateList>
        <item>～</item>
      </candidateList>
      <explain>文本全半角错误。</explain>
      <paraID>6A4862EE</paraID>
      <start>98</start>
      <end>99</end>
      <status>unmodified</status>
      <modifiedWord/>
      <trackRevisions>false</trackRevisions>
    </reviewItem>
    <reviewItem>
      <errorID>541798ad-3420-48b7-a0d1-996bfb74a521</errorID>
      <errorWord>）</errorWord>
      <group>L1_Word</group>
      <groupName>字词问题</groupName>
      <ability>L2_Typo</ability>
      <abilityName>字词错误</abilityName>
      <candidateList>
        <item>）第</item>
      </candidateList>
      <explain/>
      <paraID>6A4862EE</paraID>
      <start>146</start>
      <end>147</end>
      <status>unmodified</status>
      <modifiedWord/>
      <trackRevisions>false</trackRevisions>
    </reviewItem>
    <reviewItem>
      <errorID>db87f7a2-98f4-4674-8636-ae94936f126f</errorID>
      <errorWord>监测</errorWord>
      <group>L1_Word</group>
      <groupName>字词问题</groupName>
      <ability>L2_Typo</ability>
      <abilityName>字词错误</abilityName>
      <candidateList>
        <item>检测</item>
      </candidateList>
      <explain/>
      <paraID>3649B8FE</paraID>
      <start>22</start>
      <end>24</end>
      <status>unmodified</status>
      <modifiedWord/>
      <trackRevisions>false</trackRevisions>
    </reviewItem>
    <reviewItem>
      <errorID>c1a1fe7a-c9dd-4ded-9fea-f1f1b48d1710</errorID>
      <errorWord>水场</errorWord>
      <group>L1_Word</group>
      <groupName>字词问题</groupName>
      <ability>L2_Typo</ability>
      <abilityName>字词错误</abilityName>
      <candidateList>
        <item>水厂</item>
      </candidateList>
      <explain/>
      <paraID>2CEA6EEA</paraID>
      <start>5</start>
      <end>7</end>
      <status>unmodified</status>
      <modifiedWord/>
      <trackRevisions>false</trackRevisions>
    </reviewItem>
    <reviewItem>
      <errorID>3da15f07-7881-4dee-8b67-a6e31f306ed8</errorID>
      <errorWord>水场</errorWord>
      <group>L1_Word</group>
      <groupName>字词问题</groupName>
      <ability>L2_Typo</ability>
      <abilityName>字词错误</abilityName>
      <candidateList>
        <item>水厂</item>
      </candidateList>
      <explain/>
      <paraID>63583E49</paraID>
      <start>5</start>
      <end>7</end>
      <status>unmodified</status>
      <modifiedWord/>
      <trackRevisions>false</trackRevisions>
    </reviewItem>
    <reviewItem>
      <errorID>419bdab0-1465-47b9-85b3-aeef69c7c2dd</errorID>
      <errorWord>＜</errorWord>
      <group>L1_Format</group>
      <groupName>格式问题</groupName>
      <ability>L2_HalfPunc</ability>
      <abilityName>全半角检查</abilityName>
      <candidateList>
        <item>&lt;</item>
      </candidateList>
      <explain>文本全半角错误。</explain>
      <paraID>5CBACC33</paraID>
      <start>0</start>
      <end>1</end>
      <status>unmodified</status>
      <modifiedWord/>
      <trackRevisions>false</trackRevisions>
    </reviewItem>
    <reviewItem>
      <errorID>86dbe0c1-b59c-4024-8b94-fce249fdefbd</errorID>
      <errorWord>水场</errorWord>
      <group>L1_Word</group>
      <groupName>字词问题</groupName>
      <ability>L2_Typo</ability>
      <abilityName>字词错误</abilityName>
      <candidateList>
        <item>水厂</item>
      </candidateList>
      <explain/>
      <paraID>63A07F52</paraID>
      <start>5</start>
      <end>7</end>
      <status>unmodified</status>
      <modifiedWord/>
      <trackRevisions>false</trackRevisions>
    </reviewItem>
    <reviewItem>
      <errorID>60dca7b5-dfb0-4f22-b77d-b9401731742b</errorID>
      <errorWord>水场</errorWord>
      <group>L1_Word</group>
      <groupName>字词问题</groupName>
      <ability>L2_Typo</ability>
      <abilityName>字词错误</abilityName>
      <candidateList>
        <item>水厂</item>
      </candidateList>
      <explain/>
      <paraID>7784FE9C</paraID>
      <start>5</start>
      <end>7</end>
      <status>unmodified</status>
      <modifiedWord/>
      <trackRevisions>false</trackRevisions>
    </reviewItem>
    <reviewItem>
      <errorID>b49480ec-cd12-44cd-9eaf-9d94c455ccd0</errorID>
      <errorWord>水场</errorWord>
      <group>L1_Word</group>
      <groupName>字词问题</groupName>
      <ability>L2_Typo</ability>
      <abilityName>字词错误</abilityName>
      <candidateList>
        <item>水厂</item>
      </candidateList>
      <explain/>
      <paraID>7DDE4FBD</paraID>
      <start>5</start>
      <end>7</end>
      <status>unmodified</status>
      <modifiedWord/>
      <trackRevisions>false</trackRevisions>
    </reviewItem>
    <reviewItem>
      <errorID>8a5191c5-75db-4b9c-ac36-fcb90ac64716</errorID>
      <errorWord>水场</errorWord>
      <group>L1_Word</group>
      <groupName>字词问题</groupName>
      <ability>L2_Typo</ability>
      <abilityName>字词错误</abilityName>
      <candidateList>
        <item>水厂</item>
      </candidateList>
      <explain/>
      <paraID>791CE721</paraID>
      <start>5</start>
      <end>7</end>
      <status>unmodified</status>
      <modifiedWord/>
      <trackRevisions>false</trackRevisions>
    </reviewItem>
    <reviewItem>
      <errorID>5c7a448a-3e39-4cf7-a0e0-22277d93f159</errorID>
      <errorWord>（</errorWord>
      <group>L1_Format</group>
      <groupName>格式问题</groupName>
      <ability>L2_HalfPunc</ability>
      <abilityName>全半角检查</abilityName>
      <candidateList>
        <item>(</item>
      </candidateList>
      <explain>文本全半角错误。</explain>
      <paraID>20AA814C</paraID>
      <start>0</start>
      <end>1</end>
      <status>unmodified</status>
      <modifiedWord/>
      <trackRevisions>false</trackRevisions>
    </reviewItem>
    <reviewItem>
      <errorID>78008551-32b1-426b-96c0-006b5600d5ed</errorID>
      <errorWord>）</errorWord>
      <group>L1_Format</group>
      <groupName>格式问题</groupName>
      <ability>L2_HalfPunc</ability>
      <abilityName>全半角检查</abilityName>
      <candidateList>
        <item>)</item>
      </candidateList>
      <explain>文本全半角错误。</explain>
      <paraID>20AA814C</paraID>
      <start>4</start>
      <end>5</end>
      <status>unmodified</status>
      <modifiedWord/>
      <trackRevisions>false</trackRevisions>
    </reviewItem>
    <reviewItem>
      <errorID>3b9d6183-8281-4560-8916-1a42010241fe</errorID>
      <errorWord>真空带式</errorWord>
      <group>L1_Word</group>
      <groupName>字词问题</groupName>
      <ability>L2_Typo</ability>
      <abilityName>字词错误</abilityName>
      <candidateList>
        <item>真空袋式</item>
      </candidateList>
      <explain/>
      <paraID> 2C2FFE7</paraID>
      <start>0</start>
      <end>4</end>
      <status>unmodified</status>
      <modifiedWord/>
      <trackRevisions>false</trackRevisions>
    </reviewItem>
    <reviewItem>
      <errorID>6291c504-3f05-4895-bdc5-95cd0612dbb4</errorID>
      <errorWord>真空带式</errorWord>
      <group>L1_Word</group>
      <groupName>字词问题</groupName>
      <ability>L2_Typo</ability>
      <abilityName>字词错误</abilityName>
      <candidateList>
        <item>真空袋式</item>
      </candidateList>
      <explain/>
      <paraID>23D0B234</paraID>
      <start>0</start>
      <end>4</end>
      <status>unmodified</status>
      <modifiedWord/>
      <trackRevisions>false</trackRevisions>
    </reviewItem>
    <reviewItem>
      <errorID>ef5149e5-ed87-45c9-a0bd-00b7dd0734ef</errorID>
      <errorWord>》（试行）</errorWord>
      <group>L1_Word</group>
      <groupName>字词问题</groupName>
      <ability>L2_Typo</ability>
      <abilityName>字词错误</abilityName>
      <candidateList>
        <item>（试行）》</item>
      </candidateList>
      <explain/>
      <paraID>3A371EF4</paraID>
      <start>51</start>
      <end>56</end>
      <status>unmodified</status>
      <modifiedWord/>
      <trackRevisions>false</trackRevisions>
    </reviewItem>
    <reviewItem>
      <errorID>2c140001-9017-420e-a9ba-a3ccd1728575</errorID>
      <errorWord>》（试行）</errorWord>
      <group>L1_Word</group>
      <groupName>字词问题</groupName>
      <ability>L2_Typo</ability>
      <abilityName>字词错误</abilityName>
      <candidateList>
        <item>（试行）》</item>
      </candidateList>
      <explain/>
      <paraID>663A108B</paraID>
      <start>27</start>
      <end>32</end>
      <status>unmodified</status>
      <modifiedWord/>
      <trackRevisions>false</trackRevisions>
    </reviewItem>
    <reviewItem>
      <errorID>bce289ea-92b5-4396-b58e-0c1ca26fd0c9</errorID>
      <errorWord>间</errorWord>
      <group>L1_Word</group>
      <groupName>字词问题</groupName>
      <ability>L2_Typo</ability>
      <abilityName>字词错误</abilityName>
      <candidateList>
        <item>钾</item>
      </candidateList>
      <explain>存在发音相近字词的误用。</explain>
      <paraID> 54E98A4</paraID>
      <start>69</start>
      <end>70</end>
      <status>unmodified</status>
      <modifiedWord/>
      <trackRevisions>false</trackRevisions>
    </reviewItem>
    <reviewItem>
      <errorID>3dc0baf8-19ce-43e3-bb71-ff5b123f351d</errorID>
      <errorWord>-</errorWord>
      <group>L1_Format</group>
      <groupName>格式问题</groupName>
      <ability>L2_HalfPunc</ability>
      <abilityName>全半角检查</abilityName>
      <candidateList>
        <item>－</item>
      </candidateList>
      <explain>文本全半角错误。</explain>
      <paraID> 54E98A4</paraID>
      <start>72</start>
      <end>73</end>
      <status>unmodified</status>
      <modifiedWord/>
      <trackRevisions>false</trackRevisions>
    </reviewItem>
    <reviewItem>
      <errorID>306808a6-0a07-4c8c-8132-c265bd1b4e4c</errorID>
      <errorWord>-</errorWord>
      <group>L1_Format</group>
      <groupName>格式问题</groupName>
      <ability>L2_HalfPunc</ability>
      <abilityName>全半角检查</abilityName>
      <candidateList>
        <item>－</item>
      </candidateList>
      <explain>文本全半角错误。</explain>
      <paraID>430C0AC2</paraID>
      <start>3</start>
      <end>4</end>
      <status>unmodified</status>
      <modifiedWord/>
      <trackRevisions>false</trackRevisions>
    </reviewItem>
    <reviewItem>
      <errorID>37358027-162c-4e38-b262-fb39a72e43c3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3540B76</paraID>
      <start>4</start>
      <end>5</end>
      <status>unmodified</status>
      <modifiedWord/>
      <trackRevisions>false</trackRevisions>
    </reviewItem>
    <reviewItem>
      <errorID>7f65fb4b-81d0-41e4-926f-ef811bb2967c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176DCAA4</paraID>
      <start>4</start>
      <end>5</end>
      <status>unmodified</status>
      <modifiedWord/>
      <trackRevisions>false</trackRevisions>
    </reviewItem>
    <reviewItem>
      <errorID>86e3ed92-51eb-48d1-a9bd-c731b443c693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120C3D1C</paraID>
      <start>4</start>
      <end>5</end>
      <status>unmodified</status>
      <modifiedWord/>
      <trackRevisions>false</trackRevisions>
    </reviewItem>
    <reviewItem>
      <errorID>97b0d8be-d27e-481f-8460-8c577f8f78f1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6FA71F2B</paraID>
      <start>4</start>
      <end>5</end>
      <status>unmodified</status>
      <modifiedWord/>
      <trackRevisions>false</trackRevisions>
    </reviewItem>
    <reviewItem>
      <errorID>7a3682fb-e5a0-41ef-8770-6114f15dcd5e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EC48043</paraID>
      <start>4</start>
      <end>5</end>
      <status>unmodified</status>
      <modifiedWord/>
      <trackRevisions>false</trackRevisions>
    </reviewItem>
    <reviewItem>
      <errorID>6d2ddd4d-0ed5-4298-a8f6-09cd3df6c5c8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3E78029A</paraID>
      <start>4</start>
      <end>5</end>
      <status>unmodified</status>
      <modifiedWord/>
      <trackRevisions>false</trackRevisions>
    </reviewItem>
    <reviewItem>
      <errorID>521fbd9f-8ed4-4c8a-ba5e-f4fb2296ae93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263E55CB</paraID>
      <start>4</start>
      <end>5</end>
      <status>unmodified</status>
      <modifiedWord/>
      <trackRevisions>false</trackRevisions>
    </reviewItem>
    <reviewItem>
      <errorID>f2aa103e-3633-40e8-a787-5df907bfdeee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463EFAA5</paraID>
      <start>4</start>
      <end>5</end>
      <status>unmodified</status>
      <modifiedWord/>
      <trackRevisions>false</trackRevisions>
    </reviewItem>
    <reviewItem>
      <errorID>5bb23c5b-0e3c-4938-a7ff-e290781907c9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7F129FB6</paraID>
      <start>4</start>
      <end>5</end>
      <status>unmodified</status>
      <modifiedWord/>
      <trackRevisions>false</trackRevisions>
    </reviewItem>
    <reviewItem>
      <errorID>d5e6df50-909f-4a79-b008-39db1d084b78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4285A3A9</paraID>
      <start>4</start>
      <end>5</end>
      <status>unmodified</status>
      <modifiedWord/>
      <trackRevisions>false</trackRevisions>
    </reviewItem>
    <reviewItem>
      <errorID>098ccd52-5b47-4609-91d6-67f60c60409f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660D553E</paraID>
      <start>4</start>
      <end>5</end>
      <status>unmodified</status>
      <modifiedWord/>
      <trackRevisions>false</trackRevisions>
    </reviewItem>
    <reviewItem>
      <errorID>506c4306-3158-421a-ac80-6a9b04080f5e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250FE468</paraID>
      <start>4</start>
      <end>5</end>
      <status>unmodified</status>
      <modifiedWord/>
      <trackRevisions>false</trackRevisions>
    </reviewItem>
    <reviewItem>
      <errorID>606f7317-431d-4f13-a0a6-03b42f6c5a4c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2C3E63C9</paraID>
      <start>4</start>
      <end>5</end>
      <status>unmodified</status>
      <modifiedWord/>
      <trackRevisions>false</trackRevisions>
    </reviewItem>
    <reviewItem>
      <errorID>325972df-d090-407a-9145-f724779bd2a2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487BBD4B</paraID>
      <start>4</start>
      <end>5</end>
      <status>unmodified</status>
      <modifiedWord/>
      <trackRevisions>false</trackRevisions>
    </reviewItem>
    <reviewItem>
      <errorID>497b7527-c3ff-4bc9-ac48-7222fbb01334</errorID>
      <errorWord>-</errorWord>
      <group>L1_Format</group>
      <groupName>格式问题</groupName>
      <ability>L2_HalfPunc</ability>
      <abilityName>全半角检查</abilityName>
      <candidateList>
        <item>－</item>
      </candidateList>
      <explain>文本全半角错误。</explain>
      <paraID>67A6E79F</paraID>
      <start>3</start>
      <end>4</end>
      <status>unmodified</status>
      <modifiedWord/>
      <trackRevisions>false</trackRevisions>
    </reviewItem>
    <reviewItem>
      <errorID>ed12d893-33b9-442f-92c8-64c55740b6cb</errorID>
      <errorWord>》（试行）</errorWord>
      <group>L1_Word</group>
      <groupName>字词问题</groupName>
      <ability>L2_Typo</ability>
      <abilityName>字词错误</abilityName>
      <candidateList>
        <item>（试行）》</item>
      </candidateList>
      <explain/>
      <paraID>  7E418C</paraID>
      <start>51</start>
      <end>56</end>
      <status>unmodified</status>
      <modifiedWord/>
      <trackRevisions>false</trackRevisions>
    </reviewItem>
    <reviewItem>
      <errorID>d32136bc-683d-4237-ac6c-b39912e89c65</errorID>
      <errorWord>III类</errorWord>
      <group>L1_Knowledge</group>
      <groupName>知识性问题</groupName>
      <ability>L2_Knowledge</ability>
      <abilityName>其他知识</abilityName>
      <candidateList>
        <item>Ⅲ类</item>
      </candidateList>
      <explain/>
      <paraID>73049863</paraID>
      <start>25</start>
      <end>29</end>
      <status>unmodified</status>
      <modifiedWord/>
      <trackRevisions>false</trackRevisions>
    </reviewItem>
    <reviewItem>
      <errorID>88b80198-7088-4974-9ab1-43a05ae29b56</errorID>
      <errorWord>\</errorWord>
      <group>L1_Punc</group>
      <groupName>标点问题</groupName>
      <ability>L2_Punc</ability>
      <abilityName>标点符号检查</abilityName>
      <candidateList/>
      <explain/>
      <paraID> 7709FF5</paraID>
      <start>0</start>
      <end>1</end>
      <status>unmodified</status>
      <modifiedWord/>
      <trackRevisions>false</trackRevisions>
    </reviewItem>
    <reviewItem>
      <errorID>9fc999f6-e715-4ee6-b94d-ad62fc5073b3</errorID>
      <errorWord>\</errorWord>
      <group>L1_Punc</group>
      <groupName>标点问题</groupName>
      <ability>L2_Punc</ability>
      <abilityName>标点符号检查</abilityName>
      <candidateList/>
      <explain/>
      <paraID>5EB85AAF</paraID>
      <start>0</start>
      <end>1</end>
      <status>unmodified</status>
      <modifiedWord/>
      <trackRevisions>false</trackRevisions>
    </reviewItem>
    <reviewItem>
      <errorID>67aa050a-2b4e-4a58-83f3-77dae97073a8</errorID>
      <errorWord>\</errorWord>
      <group>L1_Punc</group>
      <groupName>标点问题</groupName>
      <ability>L2_Punc</ability>
      <abilityName>标点符号检查</abilityName>
      <candidateList/>
      <explain/>
      <paraID>2BA75D67</paraID>
      <start>0</start>
      <end>1</end>
      <status>unmodified</status>
      <modifiedWord/>
      <trackRevisions>false</trackRevisions>
    </reviewItem>
    <reviewItem>
      <errorID>9bf39602-c6eb-4bf9-ab8c-fad11dc7ecee</errorID>
      <errorWord>\</errorWord>
      <group>L1_Punc</group>
      <groupName>标点问题</groupName>
      <ability>L2_Punc</ability>
      <abilityName>标点符号检查</abilityName>
      <candidateList/>
      <explain/>
      <paraID>3216EC62</paraID>
      <start>0</start>
      <end>1</end>
      <status>unmodified</status>
      <modifiedWord/>
      <trackRevisions>false</trackRevisions>
    </reviewItem>
    <reviewItem>
      <errorID>94379aaf-0c76-44ea-aedc-6efec8988346</errorID>
      <errorWord>处理场</errorWord>
      <group>L1_Word</group>
      <groupName>字词问题</groupName>
      <ability>L2_Typo</ability>
      <abilityName>字词错误</abilityName>
      <candidateList>
        <item>处理厂</item>
      </candidateList>
      <explain/>
      <paraID>32A79A52</paraID>
      <start>11</start>
      <end>14</end>
      <status>unmodified</status>
      <modifiedWord/>
      <trackRevisions>false</trackRevisions>
    </reviewItem>
    <reviewItem>
      <errorID>c27b2c86-8b4f-4f42-88e4-8eec7c181d34</errorID>
      <errorWord>散体</errorWord>
      <group>L1_Word</group>
      <groupName>字词问题</groupName>
      <ability>L2_Typo</ability>
      <abilityName>字词错误</abilityName>
      <candidateList>
        <item>固体</item>
      </candidateList>
      <explain/>
      <paraID>2090E43E</paraID>
      <start>21</start>
      <end>23</end>
      <status>unmodified</status>
      <modifiedWord/>
      <trackRevisions>false</trackRevisions>
    </reviewItem>
    <reviewItem>
      <errorID>382ab77a-2942-49a0-a887-6f03c16b51dd</errorID>
      <errorWord>-</errorWord>
      <group>L1_Format</group>
      <groupName>格式问题</groupName>
      <ability>L2_HalfPunc</ability>
      <abilityName>全半角检查</abilityName>
      <candidateList>
        <item>－</item>
      </candidateList>
      <explain>文本全半角错误。</explain>
      <paraID> D5E955D</paraID>
      <start>3</start>
      <end>4</end>
      <status>unmodified</status>
      <modifiedWord/>
      <trackRevisions>false</trackRevisions>
    </reviewItem>
    <reviewItem>
      <errorID>8591630e-6a50-4bc0-bbca-6e6136091156</errorID>
      <errorWord>-</errorWord>
      <group>L1_Format</group>
      <groupName>格式问题</groupName>
      <ability>L2_HalfPunc</ability>
      <abilityName>全半角检查</abilityName>
      <candidateList>
        <item>－</item>
      </candidateList>
      <explain>文本全半角错误。</explain>
      <paraID>629D08A2</paraID>
      <start>3</start>
      <end>4</end>
      <status>unmodified</status>
      <modifiedWord/>
      <trackRevisions>false</trackRevisions>
    </reviewItem>
    <reviewItem>
      <errorID>a8d10e4c-e78a-41e2-9c03-d12e7ba4e58d</errorID>
      <errorWord>蒸气</errorWord>
      <group>L1_Word</group>
      <groupName>字词问题</groupName>
      <ability>L2_Typo</ability>
      <abilityName>字词错误</abilityName>
      <candidateList>
        <item>蒸汽</item>
      </candidateList>
      <explain/>
      <paraID>631AA22A</paraID>
      <start>2</start>
      <end>4</end>
      <status>unmodified</status>
      <modifiedWord/>
      <trackRevisions>false</trackRevisions>
    </reviewItem>
    <reviewItem>
      <errorID>44ef4f87-191f-4443-9b81-4c180d8f58c0</errorID>
      <errorWord>（</errorWord>
      <group>L1_Format</group>
      <groupName>格式问题</groupName>
      <ability>L2_HalfPunc</ability>
      <abilityName>全半角检查</abilityName>
      <candidateList>
        <item>(</item>
      </candidateList>
      <explain>文本全半角错误。</explain>
      <paraID>7D7FC23C</paraID>
      <start>10</start>
      <end>11</end>
      <status>unmodified</status>
      <modifiedWord/>
      <trackRevisions>false</trackRevisions>
    </reviewItem>
    <reviewItem>
      <errorID>43126346-b3ed-43e8-94b6-7371f1327821</errorID>
      <errorWord>）</errorWord>
      <group>L1_Format</group>
      <groupName>格式问题</groupName>
      <ability>L2_HalfPunc</ability>
      <abilityName>全半角检查</abilityName>
      <candidateList>
        <item>)</item>
      </candidateList>
      <explain>文本全半角错误。</explain>
      <paraID>7D7FC23C</paraID>
      <start>18</start>
      <end>19</end>
      <status>unmodified</status>
      <modifiedWord/>
      <trackRevisions>false</trackRevisions>
    </reviewItem>
    <reviewItem>
      <errorID>569d1d17-d1d0-4449-a047-9d15e9b7ee61</errorID>
      <errorWord>季</errorWord>
      <group>L1_Word</group>
      <groupName>字词问题</groupName>
      <ability>L2_Typo</ability>
      <abilityName>字词错误</abilityName>
      <candidateList>
        <item>季度</item>
      </candidateList>
      <explain/>
      <paraID>5A527508</paraID>
      <start>1</start>
      <end>2</end>
      <status>unmodified</status>
      <modifiedWord/>
      <trackRevisions>false</trackRevisions>
    </reviewItem>
    <reviewItem>
      <errorID>2cf7264b-f679-4ecd-940b-578a07cd4563</errorID>
      <errorWord>蒸气</errorWord>
      <group>L1_Word</group>
      <groupName>字词问题</groupName>
      <ability>L2_Typo</ability>
      <abilityName>字词错误</abilityName>
      <candidateList>
        <item>蒸汽</item>
      </candidateList>
      <explain/>
      <paraID>53E5221A</paraID>
      <start>17</start>
      <end>19</end>
      <status>unmodified</status>
      <modifiedWord/>
      <trackRevisions>false</trackRevisions>
    </reviewItem>
    <reviewItem>
      <errorID>57171e25-193c-456a-9424-8a3fe93469d0</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45D74FCB</paraID>
      <start>0</start>
      <end>2</end>
      <status>unmodified</status>
      <modifiedWord/>
      <trackRevisions>false</trackRevisions>
    </reviewItem>
    <reviewItem>
      <errorID>e63f66ba-3d72-45d1-9c92-0ac7f76d56ce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3391449D</paraID>
      <start>0</start>
      <end>2</end>
      <status>unmodified</status>
      <modifiedWord/>
      <trackRevisions>false</trackRevisions>
    </reviewItem>
    <reviewItem>
      <errorID>65af8aed-9412-4ba9-97ad-3c73e9300682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244E776E</paraID>
      <start>0</start>
      <end>2</end>
      <status>unmodified</status>
      <modifiedWord/>
      <trackRevisions>false</trackRevisions>
    </reviewItem>
    <reviewItem>
      <errorID>5783f8df-4d8f-41bb-a1cb-4a35686c23a6</errorID>
      <errorWord>维护结构</errorWord>
      <group>L1_Word</group>
      <groupName>字词问题</groupName>
      <ability>L2_Typo</ability>
      <abilityName>字词错误</abilityName>
      <candidateList>
        <item>围护结构</item>
      </candidateList>
      <explain/>
      <paraID>244E776E</paraID>
      <start>8</start>
      <end>12</end>
      <status>unmodified</status>
      <modifiedWord/>
      <trackRevisions>false</trackRevisions>
    </reviewItem>
    <reviewItem>
      <errorID>c893a24f-b117-4247-a61f-11ac45646731</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43351C71</paraID>
      <start>0</start>
      <end>2</end>
      <status>unmodified</status>
      <modifiedWord/>
      <trackRevisions>false</trackRevisions>
    </reviewItem>
    <reviewItem>
      <errorID>15f33adc-848b-4959-ad6e-8c8998be3509</errorID>
      <errorWord>点源</errorWord>
      <group>L1_Word</group>
      <groupName>字词问题</groupName>
      <ability>L2_Typo</ability>
      <abilityName>字词错误</abilityName>
      <candidateList>
        <item>电源</item>
      </candidateList>
      <explain/>
      <paraID>79168090</paraID>
      <start>3</start>
      <end>5</end>
      <status>unmodified</status>
      <modifiedWord/>
      <trackRevisions>false</trackRevisions>
    </reviewItem>
    <reviewItem>
      <errorID>8f02bf63-ceff-40fb-9576-822f31f7b1e6</errorID>
      <errorWord>（</errorWord>
      <group>L1_Format</group>
      <groupName>格式问题</groupName>
      <ability>L2_HalfPunc</ability>
      <abilityName>全半角检查</abilityName>
      <candidateList>
        <item>(</item>
      </candidateList>
      <explain>文本全半角错误。</explain>
      <paraID>6FF664CA</paraID>
      <start>3</start>
      <end>4</end>
      <status>unmodified</status>
      <modifiedWord/>
      <trackRevisions>false</trackRevisions>
    </reviewItem>
    <reviewItem>
      <errorID>bdfeaadd-e147-408e-a8ad-ddfa73ed62cd</errorID>
      <errorWord>）</errorWord>
      <group>L1_Format</group>
      <groupName>格式问题</groupName>
      <ability>L2_HalfPunc</ability>
      <abilityName>全半角检查</abilityName>
      <candidateList>
        <item>)</item>
      </candidateList>
      <explain>文本全半角错误。</explain>
      <paraID>6FF664CA</paraID>
      <start>5</start>
      <end>6</end>
      <status>unmodified</status>
      <modifiedWord/>
      <trackRevisions>false</trackRevisions>
    </reviewItem>
    <reviewItem>
      <errorID>8a757a0f-b763-4232-9cda-582ae209538d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4291E398</paraID>
      <start>166</start>
      <end>167</end>
      <status>unmodified</status>
      <modifiedWord/>
      <trackRevisions>false</trackRevisions>
    </reviewItem>
    <reviewItem>
      <errorID>0cb4f032-9c38-4a5a-a6df-89e131625722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22610FB9</paraID>
      <start>26</start>
      <end>27</end>
      <status>unmodified</status>
      <modifiedWord/>
      <trackRevisions>false</trackRevisions>
    </reviewItem>
    <reviewItem>
      <errorID>f63d43b2-9b82-47af-a482-e0b0d8c1dc8a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490E6A4D</paraID>
      <start>26</start>
      <end>27</end>
      <status>unmodified</status>
      <modifiedWord/>
      <trackRevisions>false</trackRevisions>
    </reviewItem>
    <reviewItem>
      <errorID>25123f7c-6fb5-4e22-aa04-ef81622591a1</errorID>
      <errorWord>标</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473DB02A</paraID>
      <start>21</start>
      <end>22</end>
      <status>unmodified</status>
      <modifiedWord/>
      <trackRevisions>false</trackRevisions>
    </reviewItem>
    <reviewItem>
      <errorID>1085dcfd-9e2a-4a88-8a94-969112b0c2bc</errorID>
      <errorWord>在量</errorWord>
      <group>L1_Word</group>
      <groupName>字词问题</groupName>
      <ability>L2_Typo</ability>
      <abilityName>字词错误</abilityName>
      <candidateList>
        <item>载量</item>
      </candidateList>
      <explain/>
      <paraID>1DE8B78F</paraID>
      <start>5</start>
      <end>7</end>
      <status>unmodified</status>
      <modifiedWord/>
      <trackRevisions>false</trackRevisions>
    </reviewItem>
    <reviewItem>
      <errorID>e9f5333e-8b18-4955-820e-0cc938868011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20E4AF9F</paraID>
      <start>15</start>
      <end>18</end>
      <status>unmodified</status>
      <modifiedWord/>
      <trackRevisions>false</trackRevisions>
    </reviewItem>
    <reviewItem>
      <errorID>b6ca4cfc-e784-4164-90bc-6db6604b821c</errorID>
      <errorWord>,</errorWord>
      <group>L1_Format</group>
      <groupName>格式问题</groupName>
      <ability>L2_HalfPunc</ability>
      <abilityName>全半角检查</abilityName>
      <candidateList>
        <item>，</item>
      </candidateList>
      <explain>文本全半角错误。</explain>
      <paraID>404DDD57</paraID>
      <start>4</start>
      <end>5</end>
      <status>unmodified</status>
      <modifiedWord/>
      <trackRevisions>false</trackRevisions>
    </reviewItem>
    <reviewItem>
      <errorID>2409d5d7-b794-4cc1-8128-96f217238627</errorID>
      <errorWord>泡沫痰</errorWord>
      <group>L1_Knowledge</group>
      <groupName>知识性问题</groupName>
      <ability>L2_Term</ability>
      <abilityName>专业术语</abilityName>
      <candidateList>
        <item>泡沫样痰</item>
      </candidateList>
      <explain>医学名词[泡沫痰]为不规范表述或旧称，其规范书面表述为[泡沫样痰]。</explain>
      <paraID>260A5D67</paraID>
      <start>16</start>
      <end>19</end>
      <status>unmodified</status>
      <modifiedWord/>
      <trackRevisions>false</trackRevisions>
    </reviewItem>
    <reviewItem>
      <errorID>2dd11521-430b-4e3c-a4e0-12fa9e6f2335</errorID>
      <errorWord>成份</errorWord>
      <group>L1_Word</group>
      <groupName>字词问题</groupName>
      <ability>L2_Variant</ability>
      <abilityName>异形词</abilityName>
      <candidateList>
        <item>成分</item>
      </candidateList>
      <explain>词汇[成份]的规范词形写作[成分]。</explain>
      <paraID>1C2281CC</paraID>
      <start>38</start>
      <end>40</end>
      <status>unmodified</status>
      <modifiedWord/>
      <trackRevisions>false</trackRevisions>
    </reviewItem>
    <reviewItem>
      <errorID>e3e89907-8c65-4199-a1c8-73282da35f13</errorID>
      <errorWord>的成份</errorWord>
      <group>L1_Word</group>
      <groupName>字词问题</groupName>
      <ability>L2_Variant</ability>
      <abilityName>异形词</abilityName>
      <candidateList>
        <item>的成分</item>
      </candidateList>
      <explain>词汇[的成份]的规范词形写作[的成分]。</explain>
      <paraID>69FC01D4</paraID>
      <start>7</start>
      <end>10</end>
      <status>unmodified</status>
      <modifiedWord/>
      <trackRevisions>false</trackRevisions>
    </reviewItem>
    <reviewItem>
      <errorID>fde5dcc1-fb51-4d20-8e9b-faa136d21899</errorID>
      <errorWord>编制有</errorWord>
      <group>L1_Word</group>
      <groupName>字词问题</groupName>
      <ability>L2_Typo</ability>
      <abilityName>字词错误</abilityName>
      <candidateList>
        <item>编制</item>
      </candidateList>
      <explain>❶〈动〉把细长的东西交叉组织起来，制成器物：用柳条～的筐子。❷〈动〉根据资料做出（规程、方案、计划等）：～教学方案。❸〈名〉组织机构的设置及其人员数量的定额和职务的分配：扩大～。</explain>
      <paraID>1C14DBF6</paraID>
      <start>30</start>
      <end>33</end>
      <status>unmodified</status>
      <modifiedWord/>
      <trackRevisions>false</trackRevisions>
    </reviewItem>
    <reviewItem>
      <errorID>135ba979-65a6-44bf-bac1-2ae5760ebf76</errorID>
      <errorWord>连锁效应</errorWord>
      <group>L1_Knowledge</group>
      <groupName>知识性问题</groupName>
      <ability>L2_Idiom</ability>
      <abilityName>成语和诗歌</abilityName>
      <candidateList>
        <item>连锁反应</item>
      </candidateList>
      <explain>1.链式反应
                    2.链式反应
                    3.比喻若干个相关的事物，只要一个发生变化，其他都跟着发生变化：商品市场扩大了，就会引起工业生产的～。</explain>
      <paraID>74F5E1E3</paraID>
      <start>5</start>
      <end>9</end>
      <status>unmodified</status>
      <modifiedWord/>
      <trackRevisions>false</trackRevisions>
    </reviewItem>
    <reviewItem>
      <errorID>5d4a0475-5fb6-424d-927a-862d7612d5d0</errorID>
      <errorWord>连锁效应</errorWord>
      <group>L1_Knowledge</group>
      <groupName>知识性问题</groupName>
      <ability>L2_Idiom</ability>
      <abilityName>成语和诗歌</abilityName>
      <candidateList>
        <item>连锁反应</item>
      </candidateList>
      <explain>1.链式反应
                    2.链式反应
                    3.比喻若干个相关的事物，只要一个发生变化，其他都跟着发生变化：商品市场扩大了，就会引起工业生产的～。</explain>
      <paraID>14EACFB0</paraID>
      <start>6</start>
      <end>10</end>
      <status>unmodified</status>
      <modifiedWord/>
      <trackRevisions>false</trackRevisions>
    </reviewItem>
    <reviewItem>
      <errorID>09df5929-2b1a-4943-a991-2b1b6351f3cc</errorID>
      <errorWord>能量能</errorWord>
      <group>L1_Word</group>
      <groupName>字词问题</groupName>
      <ability>L2_Typo</ability>
      <abilityName>字词错误</abilityName>
      <candidateList>
        <item>能量</item>
      </candidateList>
      <explain/>
      <paraID>14EACFB0</paraID>
      <start>199</start>
      <end>202</end>
      <status>unmodified</status>
      <modifiedWord/>
      <trackRevisions>false</trackRevisions>
    </reviewItem>
    <reviewItem>
      <errorID>d8166f66-9efb-4d6c-9891-a2f696d6c306</errorID>
      <errorWord>连锁效应</errorWord>
      <group>L1_Knowledge</group>
      <groupName>知识性问题</groupName>
      <ability>L2_Idiom</ability>
      <abilityName>成语和诗歌</abilityName>
      <candidateList>
        <item>连锁反应</item>
      </candidateList>
      <explain>1.链式反应
                    2.链式反应
                    3.比喻若干个相关的事物，只要一个发生变化，其他都跟着发生变化：商品市场扩大了，就会引起工业生产的～。</explain>
      <paraID>14EACFB0</paraID>
      <start>238</start>
      <end>242</end>
      <status>unmodified</status>
      <modifiedWord/>
      <trackRevisions>false</trackRevisions>
    </reviewItem>
    <reviewItem>
      <errorID>15894f21-80a1-4514-9514-5e249ce21389</errorID>
      <errorWord>总图</errorWord>
      <group>L1_Word</group>
      <groupName>字词问题</groupName>
      <ability>L2_Typo</ability>
      <abilityName>字词错误</abilityName>
      <candidateList>
        <item>总体</item>
      </candidateList>
      <explain/>
      <paraID>6BBF452E</paraID>
      <start>36</start>
      <end>38</end>
      <status>unmodified</status>
      <modifiedWord/>
      <trackRevisions>false</trackRevisions>
    </reviewItem>
    <reviewItem>
      <errorID>1f960459-467c-44e7-83ee-a80ecd4145f4</errorID>
      <errorWord>电讯</errorWord>
      <group>L1_Word</group>
      <groupName>字词问题</groupName>
      <ability>L2_Typo</ability>
      <abilityName>字词错误</abilityName>
      <candidateList>
        <item>电信</item>
      </candidateList>
      <explain>存在发音相近字词的误用。</explain>
      <paraID>6BBF452E</paraID>
      <start>87</start>
      <end>89</end>
      <status>unmodified</status>
      <modifiedWord/>
      <trackRevisions>false</trackRevisions>
    </reviewItem>
    <reviewItem>
      <errorID>002dd479-0ff5-4ba1-b92e-e0922b3f1600</errorID>
      <errorWord>施</errorWord>
      <group>L1_Word</group>
      <groupName>字词问题</groupName>
      <ability>L2_Typo</ability>
      <abilityName>字词错误</abilityName>
      <candidateList>
        <item>施等</item>
      </candidateList>
      <explain/>
      <paraID>6BBF452E</paraID>
      <start>114</start>
      <end>115</end>
      <status>unmodified</status>
      <modifiedWord/>
      <trackRevisions>false</trackRevisions>
    </reviewItem>
    <reviewItem>
      <errorID>fc4fa951-6aff-4865-a0e1-e45708841dcb</errorID>
      <errorWord>设</errorWord>
      <group>L1_Word</group>
      <groupName>字词问题</groupName>
      <ability>L2_Typo</ability>
      <abilityName>字词错误</abilityName>
      <candidateList>
        <item>设置</item>
      </candidateList>
      <explain>〈动〉❶设立：这座剧院是为儿童～的。❷安放；安装：～障碍。</explain>
      <paraID>4E70EFB6</paraID>
      <start>218</start>
      <end>219</end>
      <status>unmodified</status>
      <modifiedWord/>
      <trackRevisions>false</trackRevisions>
    </reviewItem>
    <reviewItem>
      <errorID>456f0fbf-bbb3-4083-a5d3-0c4611e57405</errorID>
      <errorWord>（</errorWord>
      <group>L1_Format</group>
      <groupName>格式问题</groupName>
      <ability>L2_HalfPunc</ability>
      <abilityName>全半角检查</abilityName>
      <candidateList>
        <item>(</item>
      </candidateList>
      <explain>文本全半角错误。</explain>
      <paraID>7FEF94D2</paraID>
      <start>7</start>
      <end>8</end>
      <status>unmodified</status>
      <modifiedWord/>
      <trackRevisions>false</trackRevisions>
    </reviewItem>
    <reviewItem>
      <errorID>55c5e12f-e9c0-45af-a72e-c5acf2f478ff</errorID>
      <errorWord>）</errorWord>
      <group>L1_Format</group>
      <groupName>格式问题</groupName>
      <ability>L2_HalfPunc</ability>
      <abilityName>全半角检查</abilityName>
      <candidateList>
        <item>)</item>
      </candidateList>
      <explain>文本全半角错误。</explain>
      <paraID>7FEF94D2</paraID>
      <start>9</start>
      <end>10</end>
      <status>unmodified</status>
      <modifiedWord/>
      <trackRevisions>false</trackRevisions>
    </reviewItem>
    <reviewItem>
      <errorID>ae129ffc-49d8-4cc2-afea-b3e1a1e15a5b</errorID>
      <errorWord>一座</errorWord>
      <group>L1_Knowledge</group>
      <groupName>知识性问题</groupName>
      <ability>L2_Knowledge</ability>
      <abilityName>其他知识</abilityName>
      <candidateList>
        <item>一处</item>
      </candidateList>
      <explain/>
      <paraID>1BAC3AF2</paraID>
      <start>96</start>
      <end>98</end>
      <status>unmodified</status>
      <modifiedWord/>
      <trackRevisions>false</trackRevisions>
    </reviewItem>
    <reviewItem>
      <errorID>2f7fa045-3ffc-41cf-8891-f1cd29084631</errorID>
      <errorWord>因为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1BAC3AF2</paraID>
      <start>123</start>
      <end>125</end>
      <status>unmodified</status>
      <modifiedWord/>
      <trackRevisions>false</trackRevisions>
    </reviewItem>
    <reviewItem>
      <errorID>87db61e5-58cd-4bc4-9343-026983932942</errorID>
      <errorWord>内内</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 C471B0F</paraID>
      <start>0</start>
      <end>2</end>
      <status>unmodified</status>
      <modifiedWord/>
      <trackRevisions>false</trackRevisions>
    </reviewItem>
    <reviewItem>
      <errorID>e23e3e5d-a87c-4794-9efa-7fe5145294b4</errorID>
      <errorWord>，</errorWord>
      <group>L1_Word</group>
      <groupName>字词问题</groupName>
      <ability>L2_Typo</ability>
      <abilityName>字词错误</abilityName>
      <candidateList>
        <item>，在</item>
      </candidateList>
      <explain/>
      <paraID>4174095A</paraID>
      <start>75</start>
      <end>76</end>
      <status>unmodified</status>
      <modifiedWord/>
      <trackRevisions>false</trackRevisions>
    </reviewItem>
    <reviewItem>
      <errorID>0a712b99-e54e-46e3-bd78-64e5cab0c1c0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5406DBFC</paraID>
      <start>36</start>
      <end>37</end>
      <status>unmodified</status>
      <modifiedWord/>
      <trackRevisions>false</trackRevisions>
    </reviewItem>
    <reviewItem>
      <errorID>13d4f063-bd99-47b0-9726-7d947ac1cf4c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7C4F506F</paraID>
      <start>40</start>
      <end>41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8466ef-86e9-4811-a67e-10d3685d8a0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91</Pages>
  <Words>21007</Words>
  <Characters>23854</Characters>
  <Lines>282</Lines>
  <Paragraphs>79</Paragraphs>
  <TotalTime>41</TotalTime>
  <ScaleCrop>false</ScaleCrop>
  <LinksUpToDate>false</LinksUpToDate>
  <CharactersWithSpaces>25849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唯有你</cp:lastModifiedBy>
  <cp:lastPrinted>2025-04-18T07:33:00Z</cp:lastPrinted>
  <dcterms:modified xsi:type="dcterms:W3CDTF">2025-12-24T09:29:06Z</dcterms:modified>
  <dc:title>附件2</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69E0A324DB4343089E4E620CFABD7CFB_13</vt:lpwstr>
  </property>
  <property fmtid="{D5CDD505-2E9C-101B-9397-08002B2CF9AE}" pid="4" name="KSOTemplateDocerSaveRecord">
    <vt:lpwstr>eyJoZGlkIjoiM2M1MzQ5YjJjYTY4ZmZjN2I1YmFhNzM4MjFjYTdlY2IiLCJ1c2VySWQiOiI2MDEyMTE3NDEifQ==</vt:lpwstr>
  </property>
</Properties>
</file>